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CE68C">
      <w:pPr>
        <w:adjustRightInd w:val="0"/>
        <w:rPr>
          <w:caps/>
          <w:color w:val="000000" w:themeColor="text1"/>
          <w:sz w:val="44"/>
          <w:szCs w:val="44"/>
          <w14:textFill>
            <w14:solidFill>
              <w14:schemeClr w14:val="tx1"/>
            </w14:solidFill>
          </w14:textFill>
        </w:rPr>
      </w:pPr>
    </w:p>
    <w:p w14:paraId="5E395EEA">
      <w:pPr>
        <w:pStyle w:val="21"/>
        <w:rPr>
          <w:color w:val="000000" w:themeColor="text1"/>
          <w:lang w:val="zh-CN"/>
          <w14:textFill>
            <w14:solidFill>
              <w14:schemeClr w14:val="tx1"/>
            </w14:solidFill>
          </w14:textFill>
        </w:rPr>
      </w:pPr>
    </w:p>
    <w:p w14:paraId="52C05614">
      <w:pPr>
        <w:widowControl/>
        <w:shd w:val="clear" w:color="auto" w:fill="FFFFFF"/>
        <w:spacing w:line="360" w:lineRule="auto"/>
        <w:jc w:val="center"/>
        <w:rPr>
          <w:b/>
          <w:color w:val="000000" w:themeColor="text1"/>
          <w:sz w:val="48"/>
          <w:szCs w:val="48"/>
          <w14:textFill>
            <w14:solidFill>
              <w14:schemeClr w14:val="tx1"/>
            </w14:solidFill>
          </w14:textFill>
        </w:rPr>
      </w:pPr>
      <w:r>
        <w:rPr>
          <w:rFonts w:hint="eastAsia"/>
          <w:b/>
          <w:color w:val="000000" w:themeColor="text1"/>
          <w:sz w:val="44"/>
          <w:szCs w:val="44"/>
          <w14:textFill>
            <w14:solidFill>
              <w14:schemeClr w14:val="tx1"/>
            </w14:solidFill>
          </w14:textFill>
        </w:rPr>
        <w:t>中国药科大学</w:t>
      </w:r>
    </w:p>
    <w:p w14:paraId="7E5E6474">
      <w:pPr>
        <w:widowControl/>
        <w:shd w:val="clear" w:color="auto" w:fill="FFFFFF"/>
        <w:spacing w:line="360" w:lineRule="auto"/>
        <w:jc w:val="center"/>
        <w:rPr>
          <w:color w:val="000000" w:themeColor="text1"/>
          <w:sz w:val="32"/>
          <w:szCs w:val="32"/>
          <w14:textFill>
            <w14:solidFill>
              <w14:schemeClr w14:val="tx1"/>
            </w14:solidFill>
          </w14:textFill>
        </w:rPr>
      </w:pPr>
      <w:r>
        <w:rPr>
          <w:rFonts w:hint="eastAsia"/>
          <w:b/>
          <w:color w:val="000000" w:themeColor="text1"/>
          <w:sz w:val="44"/>
          <w:szCs w:val="44"/>
          <w14:textFill>
            <w14:solidFill>
              <w14:schemeClr w14:val="tx1"/>
            </w14:solidFill>
          </w14:textFill>
        </w:rPr>
        <w:t>中国药科大学江宁校区教学楼空调更换项目</w:t>
      </w:r>
      <w:r>
        <w:rPr>
          <w:b/>
          <w:color w:val="000000" w:themeColor="text1"/>
          <w:sz w:val="44"/>
          <w:szCs w:val="44"/>
          <w14:textFill>
            <w14:solidFill>
              <w14:schemeClr w14:val="tx1"/>
            </w14:solidFill>
          </w14:textFill>
        </w:rPr>
        <w:t xml:space="preserve"> </w:t>
      </w:r>
    </w:p>
    <w:p w14:paraId="2EB613F6">
      <w:pPr>
        <w:widowControl/>
        <w:spacing w:line="360" w:lineRule="auto"/>
        <w:jc w:val="center"/>
        <w:rPr>
          <w:color w:val="000000" w:themeColor="text1"/>
          <w14:textFill>
            <w14:solidFill>
              <w14:schemeClr w14:val="tx1"/>
            </w14:solidFill>
          </w14:textFill>
        </w:rPr>
      </w:pPr>
    </w:p>
    <w:p w14:paraId="31BFC2B8">
      <w:pPr>
        <w:widowControl/>
        <w:spacing w:line="360" w:lineRule="auto"/>
        <w:jc w:val="center"/>
        <w:rPr>
          <w:color w:val="000000" w:themeColor="text1"/>
          <w14:textFill>
            <w14:solidFill>
              <w14:schemeClr w14:val="tx1"/>
            </w14:solidFill>
          </w14:textFill>
        </w:rPr>
      </w:pPr>
    </w:p>
    <w:p w14:paraId="11346DF7">
      <w:pPr>
        <w:widowControl/>
        <w:spacing w:line="360" w:lineRule="auto"/>
        <w:jc w:val="center"/>
        <w:rPr>
          <w:color w:val="000000" w:themeColor="text1"/>
          <w14:textFill>
            <w14:solidFill>
              <w14:schemeClr w14:val="tx1"/>
            </w14:solidFill>
          </w14:textFill>
        </w:rPr>
      </w:pPr>
    </w:p>
    <w:p w14:paraId="5C971F84">
      <w:pPr>
        <w:jc w:val="center"/>
        <w:rPr>
          <w:rFonts w:asciiTheme="minorEastAsia" w:hAnsiTheme="minorEastAsia" w:eastAsiaTheme="minorEastAsia"/>
          <w:color w:val="000000" w:themeColor="text1"/>
          <w:sz w:val="4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drawing>
          <wp:inline distT="0" distB="0" distL="0" distR="0">
            <wp:extent cx="1714500" cy="2133600"/>
            <wp:effectExtent l="0" t="0" r="7620" b="0"/>
            <wp:docPr id="5"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我的插图-1"/>
                    <pic:cNvPicPr>
                      <a:picLocks noChangeAspect="1" noChangeArrowheads="1"/>
                    </pic:cNvPicPr>
                  </pic:nvPicPr>
                  <pic:blipFill>
                    <a:blip r:embed="rId11" cstate="print"/>
                    <a:srcRect/>
                    <a:stretch>
                      <a:fillRect/>
                    </a:stretch>
                  </pic:blipFill>
                  <pic:spPr>
                    <a:xfrm>
                      <a:off x="0" y="0"/>
                      <a:ext cx="1714500" cy="2133600"/>
                    </a:xfrm>
                    <a:prstGeom prst="rect">
                      <a:avLst/>
                    </a:prstGeom>
                    <a:noFill/>
                    <a:ln w="9525">
                      <a:noFill/>
                      <a:miter lim="800000"/>
                      <a:headEnd/>
                      <a:tailEnd/>
                    </a:ln>
                  </pic:spPr>
                </pic:pic>
              </a:graphicData>
            </a:graphic>
          </wp:inline>
        </w:drawing>
      </w:r>
    </w:p>
    <w:p w14:paraId="0DA72895">
      <w:pPr>
        <w:rPr>
          <w:rFonts w:asciiTheme="minorEastAsia" w:hAnsiTheme="minorEastAsia" w:eastAsiaTheme="minorEastAsia"/>
          <w:color w:val="000000" w:themeColor="text1"/>
          <w:sz w:val="44"/>
          <w14:textFill>
            <w14:solidFill>
              <w14:schemeClr w14:val="tx1"/>
            </w14:solidFill>
          </w14:textFill>
        </w:rPr>
      </w:pPr>
    </w:p>
    <w:tbl>
      <w:tblPr>
        <w:tblStyle w:val="65"/>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4"/>
      </w:tblGrid>
      <w:tr w14:paraId="2780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204" w:type="dxa"/>
            <w:tcBorders>
              <w:top w:val="nil"/>
              <w:left w:val="nil"/>
              <w:bottom w:val="nil"/>
              <w:right w:val="nil"/>
            </w:tcBorders>
          </w:tcPr>
          <w:p w14:paraId="55EAF5AB">
            <w:pPr>
              <w:ind w:firstLine="720" w:firstLineChars="200"/>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项目编号：DCHGZB031260067（校方编号）</w:t>
            </w:r>
          </w:p>
          <w:p w14:paraId="710C7742">
            <w:pPr>
              <w:ind w:firstLine="2520" w:firstLineChars="700"/>
              <w:rPr>
                <w:rFonts w:asciiTheme="minorEastAsia" w:hAnsiTheme="minorEastAsia" w:eastAsiaTheme="minorEastAsia"/>
                <w:color w:val="000000" w:themeColor="text1"/>
                <w:sz w:val="36"/>
                <w:szCs w:val="36"/>
                <w14:textFill>
                  <w14:solidFill>
                    <w14:schemeClr w14:val="tx1"/>
                  </w14:solidFill>
                </w14:textFill>
              </w:rPr>
            </w:pPr>
            <w:r>
              <w:rPr>
                <w:rFonts w:asciiTheme="minorEastAsia" w:hAnsiTheme="minorEastAsia" w:eastAsiaTheme="minorEastAsia"/>
                <w:color w:val="000000" w:themeColor="text1"/>
                <w:sz w:val="36"/>
                <w:szCs w:val="36"/>
                <w14:textFill>
                  <w14:solidFill>
                    <w14:schemeClr w14:val="tx1"/>
                  </w14:solidFill>
                </w14:textFill>
              </w:rPr>
              <w:t>SNZX-</w:t>
            </w:r>
            <w:r>
              <w:rPr>
                <w:rFonts w:hint="eastAsia" w:asciiTheme="minorEastAsia" w:hAnsiTheme="minorEastAsia" w:eastAsiaTheme="minorEastAsia"/>
                <w:color w:val="000000" w:themeColor="text1"/>
                <w:sz w:val="36"/>
                <w:szCs w:val="36"/>
                <w14:textFill>
                  <w14:solidFill>
                    <w14:schemeClr w14:val="tx1"/>
                  </w14:solidFill>
                </w14:textFill>
              </w:rPr>
              <w:t>20260103  （代理编号）</w:t>
            </w:r>
          </w:p>
          <w:p w14:paraId="3622D489">
            <w:pPr>
              <w:ind w:firstLine="720" w:firstLineChars="200"/>
              <w:rPr>
                <w:rFonts w:asciiTheme="minorEastAsia" w:hAnsiTheme="minorEastAsia" w:eastAsiaTheme="minorEastAsia"/>
                <w:color w:val="000000" w:themeColor="text1"/>
                <w:sz w:val="36"/>
                <w:szCs w:val="36"/>
                <w14:textFill>
                  <w14:solidFill>
                    <w14:schemeClr w14:val="tx1"/>
                  </w14:solidFill>
                </w14:textFill>
              </w:rPr>
            </w:pPr>
          </w:p>
          <w:p w14:paraId="738EB601">
            <w:pPr>
              <w:ind w:firstLine="720" w:firstLineChars="200"/>
              <w:rPr>
                <w:rFonts w:asciiTheme="minorEastAsia" w:hAnsiTheme="minorEastAsia" w:eastAsiaTheme="minorEastAsia"/>
                <w:color w:val="000000" w:themeColor="text1"/>
                <w:sz w:val="44"/>
                <w:szCs w:val="44"/>
                <w:lang w:val="zh-CN"/>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采购类别：货物类</w:t>
            </w:r>
          </w:p>
        </w:tc>
      </w:tr>
    </w:tbl>
    <w:p w14:paraId="639FFA7A">
      <w:pPr>
        <w:rPr>
          <w:rFonts w:asciiTheme="minorEastAsia" w:hAnsiTheme="minorEastAsia" w:eastAsiaTheme="minorEastAsia"/>
          <w:color w:val="000000" w:themeColor="text1"/>
          <w:sz w:val="44"/>
          <w14:textFill>
            <w14:solidFill>
              <w14:schemeClr w14:val="tx1"/>
            </w14:solidFill>
          </w14:textFill>
        </w:rPr>
      </w:pPr>
    </w:p>
    <w:p w14:paraId="0C78485C">
      <w:pPr>
        <w:rPr>
          <w:rFonts w:asciiTheme="minorEastAsia" w:hAnsiTheme="minorEastAsia" w:eastAsiaTheme="minorEastAsia"/>
          <w:color w:val="000000" w:themeColor="text1"/>
          <w:sz w:val="44"/>
          <w14:textFill>
            <w14:solidFill>
              <w14:schemeClr w14:val="tx1"/>
            </w14:solidFill>
          </w14:textFill>
        </w:rPr>
      </w:pPr>
    </w:p>
    <w:p w14:paraId="56E0CBAE">
      <w:pPr>
        <w:rPr>
          <w:rFonts w:asciiTheme="minorEastAsia" w:hAnsiTheme="minorEastAsia" w:eastAsiaTheme="minorEastAsia"/>
          <w:color w:val="000000" w:themeColor="text1"/>
          <w:sz w:val="44"/>
          <w14:textFill>
            <w14:solidFill>
              <w14:schemeClr w14:val="tx1"/>
            </w14:solidFill>
          </w14:textFill>
        </w:rPr>
      </w:pPr>
    </w:p>
    <w:p w14:paraId="1C3FA551">
      <w:pPr>
        <w:rPr>
          <w:rFonts w:asciiTheme="minorEastAsia" w:hAnsiTheme="minorEastAsia" w:eastAsiaTheme="minorEastAsia"/>
          <w:color w:val="000000" w:themeColor="text1"/>
          <w:sz w:val="44"/>
          <w14:textFill>
            <w14:solidFill>
              <w14:schemeClr w14:val="tx1"/>
            </w14:solidFill>
          </w14:textFill>
        </w:rPr>
      </w:pPr>
    </w:p>
    <w:p w14:paraId="6BF809F9">
      <w:pPr>
        <w:rPr>
          <w:color w:val="000000" w:themeColor="text1"/>
          <w14:textFill>
            <w14:solidFill>
              <w14:schemeClr w14:val="tx1"/>
            </w14:solidFill>
          </w14:textFill>
        </w:rPr>
      </w:pPr>
    </w:p>
    <w:p w14:paraId="26D43DD8">
      <w:pPr>
        <w:ind w:firstLine="720" w:firstLineChars="200"/>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采购人：中国药科大学</w:t>
      </w:r>
    </w:p>
    <w:p w14:paraId="6F9AC2F4">
      <w:pPr>
        <w:ind w:firstLine="720" w:firstLineChars="200"/>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代理机构：南京苏宁工程咨询有限公司</w:t>
      </w:r>
    </w:p>
    <w:p w14:paraId="3E8D6D24">
      <w:pPr>
        <w:ind w:firstLine="720" w:firstLineChars="200"/>
        <w:rPr>
          <w:rFonts w:asciiTheme="minorEastAsia" w:hAnsiTheme="minorEastAsia" w:eastAsiaTheme="minorEastAsia"/>
          <w:color w:val="000000" w:themeColor="text1"/>
          <w:sz w:val="36"/>
          <w:szCs w:val="36"/>
          <w14:textFill>
            <w14:solidFill>
              <w14:schemeClr w14:val="tx1"/>
            </w14:solidFill>
          </w14:textFill>
        </w:rPr>
        <w:sectPr>
          <w:headerReference r:id="rId3" w:type="default"/>
          <w:footerReference r:id="rId4" w:type="default"/>
          <w:endnotePr>
            <w:numFmt w:val="decimal"/>
          </w:endnotePr>
          <w:pgSz w:w="11906" w:h="16838"/>
          <w:pgMar w:top="850" w:right="850" w:bottom="850" w:left="1417" w:header="340" w:footer="567" w:gutter="0"/>
          <w:cols w:space="720" w:num="1"/>
          <w:rtlGutter w:val="1"/>
        </w:sectPr>
      </w:pPr>
      <w:r>
        <w:rPr>
          <w:rFonts w:hint="eastAsia" w:asciiTheme="minorEastAsia" w:hAnsiTheme="minorEastAsia" w:eastAsiaTheme="minorEastAsia"/>
          <w:color w:val="000000" w:themeColor="text1"/>
          <w:sz w:val="36"/>
          <w:szCs w:val="36"/>
          <w14:textFill>
            <w14:solidFill>
              <w14:schemeClr w14:val="tx1"/>
            </w14:solidFill>
          </w14:textFill>
        </w:rPr>
        <w:t>日期：二〇二六年</w:t>
      </w:r>
      <w:r>
        <w:rPr>
          <w:rFonts w:hint="eastAsia" w:asciiTheme="minorEastAsia" w:hAnsiTheme="minorEastAsia" w:eastAsiaTheme="minorEastAsia"/>
          <w:color w:val="000000" w:themeColor="text1"/>
          <w:sz w:val="36"/>
          <w:szCs w:val="36"/>
          <w:lang w:eastAsia="zh-CN"/>
          <w14:textFill>
            <w14:solidFill>
              <w14:schemeClr w14:val="tx1"/>
            </w14:solidFill>
          </w14:textFill>
        </w:rPr>
        <w:t>六</w:t>
      </w:r>
      <w:r>
        <w:rPr>
          <w:rFonts w:hint="eastAsia" w:asciiTheme="minorEastAsia" w:hAnsiTheme="minorEastAsia" w:eastAsiaTheme="minorEastAsia"/>
          <w:color w:val="000000" w:themeColor="text1"/>
          <w:sz w:val="36"/>
          <w:szCs w:val="36"/>
          <w14:textFill>
            <w14:solidFill>
              <w14:schemeClr w14:val="tx1"/>
            </w14:solidFill>
          </w14:textFill>
        </w:rPr>
        <w:t>月</w:t>
      </w:r>
    </w:p>
    <w:sdt>
      <w:sdtPr>
        <w:rPr>
          <w:color w:val="000000" w:themeColor="text1"/>
          <w:sz w:val="32"/>
          <w:szCs w:val="32"/>
          <w14:textFill>
            <w14:solidFill>
              <w14:schemeClr w14:val="tx1"/>
            </w14:solidFill>
          </w14:textFill>
        </w:rPr>
        <w:id w:val="147480390"/>
        <w:docPartObj>
          <w:docPartGallery w:val="Table of Contents"/>
          <w:docPartUnique/>
        </w:docPartObj>
      </w:sdtPr>
      <w:sdtEndPr>
        <w:rPr>
          <w:color w:val="000000" w:themeColor="text1"/>
          <w:sz w:val="32"/>
          <w:szCs w:val="32"/>
          <w14:textFill>
            <w14:solidFill>
              <w14:schemeClr w14:val="tx1"/>
            </w14:solidFill>
          </w14:textFill>
        </w:rPr>
      </w:sdtEndPr>
      <w:sdtContent>
        <w:p w14:paraId="42543B8A">
          <w:pPr>
            <w:spacing w:line="360" w:lineRule="auto"/>
            <w:jc w:val="center"/>
            <w:rPr>
              <w:b/>
              <w:bCs/>
              <w:color w:val="000000" w:themeColor="text1"/>
              <w:sz w:val="40"/>
              <w:szCs w:val="40"/>
              <w14:textFill>
                <w14:solidFill>
                  <w14:schemeClr w14:val="tx1"/>
                </w14:solidFill>
              </w14:textFill>
            </w:rPr>
          </w:pPr>
          <w:r>
            <w:rPr>
              <w:b/>
              <w:bCs/>
              <w:color w:val="000000" w:themeColor="text1"/>
              <w:sz w:val="40"/>
              <w:szCs w:val="40"/>
              <w14:textFill>
                <w14:solidFill>
                  <w14:schemeClr w14:val="tx1"/>
                </w14:solidFill>
              </w14:textFill>
            </w:rPr>
            <w:t>目录</w:t>
          </w:r>
        </w:p>
        <w:p w14:paraId="2DD68621">
          <w:pPr>
            <w:pStyle w:val="45"/>
            <w:tabs>
              <w:tab w:val="right" w:leader="dot" w:pos="9639"/>
            </w:tabs>
            <w:spacing w:line="48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TOC \o "1-1" \h \u </w:instrText>
          </w:r>
          <w:r>
            <w:rPr>
              <w:color w:val="000000" w:themeColor="text1"/>
              <w:sz w:val="32"/>
              <w:szCs w:val="32"/>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"_Toc19825" </w:instrText>
          </w:r>
          <w:r>
            <w:rPr>
              <w:color w:val="000000" w:themeColor="text1"/>
              <w14:textFill>
                <w14:solidFill>
                  <w14:schemeClr w14:val="tx1"/>
                </w14:solidFill>
              </w14:textFill>
            </w:rPr>
            <w:fldChar w:fldCharType="separate"/>
          </w:r>
          <w:r>
            <w:rPr>
              <w:rFonts w:hint="eastAsia"/>
              <w:color w:val="000000" w:themeColor="text1"/>
              <w:sz w:val="32"/>
              <w:szCs w:val="52"/>
              <w:lang w:val="zh-CN"/>
              <w14:textFill>
                <w14:solidFill>
                  <w14:schemeClr w14:val="tx1"/>
                </w14:solidFill>
              </w14:textFill>
            </w:rPr>
            <w:t>第一章 投标邀请</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_Toc19825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3</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4CFD106E">
          <w:pPr>
            <w:pStyle w:val="45"/>
            <w:tabs>
              <w:tab w:val="right" w:leader="dot" w:pos="9639"/>
            </w:tabs>
            <w:spacing w:line="480" w:lineRule="auto"/>
            <w:rPr>
              <w:color w:val="000000" w:themeColor="text1"/>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"_Toc13239" </w:instrText>
          </w:r>
          <w:r>
            <w:rPr>
              <w:color w:val="000000" w:themeColor="text1"/>
              <w14:textFill>
                <w14:solidFill>
                  <w14:schemeClr w14:val="tx1"/>
                </w14:solidFill>
              </w14:textFill>
            </w:rPr>
            <w:fldChar w:fldCharType="separate"/>
          </w:r>
          <w:r>
            <w:rPr>
              <w:rFonts w:hint="eastAsia"/>
              <w:color w:val="000000" w:themeColor="text1"/>
              <w:sz w:val="32"/>
              <w:szCs w:val="52"/>
              <w:lang w:val="zh-CN"/>
              <w14:textFill>
                <w14:solidFill>
                  <w14:schemeClr w14:val="tx1"/>
                </w14:solidFill>
              </w14:textFill>
            </w:rPr>
            <w:t>第二章</w:t>
          </w:r>
          <w:r>
            <w:rPr>
              <w:rFonts w:hint="eastAsia"/>
              <w:color w:val="000000" w:themeColor="text1"/>
              <w:sz w:val="32"/>
              <w:szCs w:val="52"/>
              <w14:textFill>
                <w14:solidFill>
                  <w14:schemeClr w14:val="tx1"/>
                </w14:solidFill>
              </w14:textFill>
            </w:rPr>
            <w:t xml:space="preserve"> </w:t>
          </w:r>
          <w:r>
            <w:rPr>
              <w:rFonts w:hint="eastAsia"/>
              <w:color w:val="000000" w:themeColor="text1"/>
              <w:sz w:val="32"/>
              <w:szCs w:val="52"/>
              <w:lang w:val="zh-CN"/>
              <w14:textFill>
                <w14:solidFill>
                  <w14:schemeClr w14:val="tx1"/>
                </w14:solidFill>
              </w14:textFill>
            </w:rPr>
            <w:t>供应商须知</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_Toc13239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6</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0CF82C63">
          <w:pPr>
            <w:pStyle w:val="45"/>
            <w:tabs>
              <w:tab w:val="right" w:leader="dot" w:pos="9639"/>
            </w:tabs>
            <w:spacing w:line="480" w:lineRule="auto"/>
            <w:rPr>
              <w:color w:val="000000" w:themeColor="text1"/>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"_Toc11696" </w:instrText>
          </w:r>
          <w:r>
            <w:rPr>
              <w:color w:val="000000" w:themeColor="text1"/>
              <w14:textFill>
                <w14:solidFill>
                  <w14:schemeClr w14:val="tx1"/>
                </w14:solidFill>
              </w14:textFill>
            </w:rPr>
            <w:fldChar w:fldCharType="separate"/>
          </w:r>
          <w:r>
            <w:rPr>
              <w:rFonts w:hint="eastAsia"/>
              <w:color w:val="000000" w:themeColor="text1"/>
              <w:sz w:val="32"/>
              <w:szCs w:val="52"/>
              <w14:textFill>
                <w14:solidFill>
                  <w14:schemeClr w14:val="tx1"/>
                </w14:solidFill>
              </w14:textFill>
            </w:rPr>
            <w:t>第三章 评标标准</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_Toc11696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14</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231328F4">
          <w:pPr>
            <w:pStyle w:val="45"/>
            <w:tabs>
              <w:tab w:val="right" w:leader="dot" w:pos="9639"/>
            </w:tabs>
            <w:spacing w:line="480" w:lineRule="auto"/>
            <w:rPr>
              <w:color w:val="000000" w:themeColor="text1"/>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"_Toc27607" </w:instrText>
          </w:r>
          <w:r>
            <w:rPr>
              <w:color w:val="000000" w:themeColor="text1"/>
              <w14:textFill>
                <w14:solidFill>
                  <w14:schemeClr w14:val="tx1"/>
                </w14:solidFill>
              </w14:textFill>
            </w:rPr>
            <w:fldChar w:fldCharType="separate"/>
          </w:r>
          <w:r>
            <w:rPr>
              <w:rFonts w:hint="eastAsia"/>
              <w:color w:val="000000" w:themeColor="text1"/>
              <w:sz w:val="32"/>
              <w:szCs w:val="52"/>
              <w:lang w:val="zh-CN"/>
              <w14:textFill>
                <w14:solidFill>
                  <w14:schemeClr w14:val="tx1"/>
                </w14:solidFill>
              </w14:textFill>
            </w:rPr>
            <w:t>第五章 合同主要条款及格式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_Toc27607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28</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5907629B">
          <w:pPr>
            <w:pStyle w:val="45"/>
            <w:tabs>
              <w:tab w:val="right" w:leader="dot" w:pos="9639"/>
            </w:tabs>
            <w:spacing w:line="480" w:lineRule="auto"/>
            <w:rPr>
              <w:color w:val="000000" w:themeColor="text1"/>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"_Toc21979" </w:instrText>
          </w:r>
          <w:r>
            <w:rPr>
              <w:color w:val="000000" w:themeColor="text1"/>
              <w14:textFill>
                <w14:solidFill>
                  <w14:schemeClr w14:val="tx1"/>
                </w14:solidFill>
              </w14:textFill>
            </w:rPr>
            <w:fldChar w:fldCharType="separate"/>
          </w:r>
          <w:r>
            <w:rPr>
              <w:rFonts w:hint="eastAsia"/>
              <w:color w:val="000000" w:themeColor="text1"/>
              <w:sz w:val="32"/>
              <w:szCs w:val="52"/>
              <w:lang w:val="zh-CN"/>
              <w14:textFill>
                <w14:solidFill>
                  <w14:schemeClr w14:val="tx1"/>
                </w14:solidFill>
              </w14:textFill>
            </w:rPr>
            <w:t>第六章 投标文件格式及附件</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_Toc21979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38</w:t>
          </w:r>
          <w:r>
            <w:rPr>
              <w:color w:val="000000" w:themeColor="text1"/>
              <w:sz w:val="32"/>
              <w:szCs w:val="32"/>
              <w14:textFill>
                <w14:solidFill>
                  <w14:schemeClr w14:val="tx1"/>
                </w14:solidFill>
              </w14:textFill>
            </w:rPr>
            <w:fldChar w:fldCharType="end"/>
          </w:r>
          <w:r>
            <w:rPr>
              <w:color w:val="000000" w:themeColor="text1"/>
              <w:sz w:val="32"/>
              <w:szCs w:val="32"/>
              <w14:textFill>
                <w14:solidFill>
                  <w14:schemeClr w14:val="tx1"/>
                </w14:solidFill>
              </w14:textFill>
            </w:rPr>
            <w:fldChar w:fldCharType="end"/>
          </w:r>
        </w:p>
        <w:p w14:paraId="61231163">
          <w:pPr>
            <w:spacing w:line="480" w:lineRule="auto"/>
            <w:rPr>
              <w:color w:val="000000" w:themeColor="text1"/>
              <w14:textFill>
                <w14:solidFill>
                  <w14:schemeClr w14:val="tx1"/>
                </w14:solidFill>
              </w14:textFill>
            </w:rPr>
          </w:pPr>
          <w:r>
            <w:rPr>
              <w:color w:val="000000" w:themeColor="text1"/>
              <w:sz w:val="32"/>
              <w:szCs w:val="32"/>
              <w14:textFill>
                <w14:solidFill>
                  <w14:schemeClr w14:val="tx1"/>
                </w14:solidFill>
              </w14:textFill>
            </w:rPr>
            <w:fldChar w:fldCharType="end"/>
          </w:r>
        </w:p>
      </w:sdtContent>
    </w:sdt>
    <w:p w14:paraId="6BB4B488">
      <w:pPr>
        <w:adjustRightInd w:val="0"/>
        <w:jc w:val="center"/>
        <w:outlineLvl w:val="0"/>
        <w:rPr>
          <w:color w:val="000000" w:themeColor="text1"/>
          <w:sz w:val="36"/>
          <w:szCs w:val="36"/>
          <w:lang w:val="zh-CN"/>
          <w14:textFill>
            <w14:solidFill>
              <w14:schemeClr w14:val="tx1"/>
            </w14:solidFill>
          </w14:textFill>
        </w:rPr>
        <w:sectPr>
          <w:endnotePr>
            <w:numFmt w:val="decimal"/>
          </w:endnotePr>
          <w:pgSz w:w="11906" w:h="16838"/>
          <w:pgMar w:top="850" w:right="850" w:bottom="850" w:left="1417" w:header="340" w:footer="720" w:gutter="0"/>
          <w:cols w:space="720" w:num="1"/>
          <w:rtlGutter w:val="1"/>
        </w:sectPr>
      </w:pPr>
    </w:p>
    <w:p w14:paraId="4FD198A0">
      <w:pPr>
        <w:adjustRightInd w:val="0"/>
        <w:jc w:val="center"/>
        <w:outlineLvl w:val="0"/>
        <w:rPr>
          <w:color w:val="000000" w:themeColor="text1"/>
          <w:sz w:val="28"/>
          <w:szCs w:val="28"/>
          <w14:textFill>
            <w14:solidFill>
              <w14:schemeClr w14:val="tx1"/>
            </w14:solidFill>
          </w14:textFill>
        </w:rPr>
      </w:pPr>
      <w:bookmarkStart w:id="0" w:name="_Toc19825"/>
      <w:r>
        <w:rPr>
          <w:rFonts w:hint="eastAsia"/>
          <w:color w:val="000000" w:themeColor="text1"/>
          <w:sz w:val="36"/>
          <w:szCs w:val="36"/>
          <w:lang w:val="zh-CN"/>
          <w14:textFill>
            <w14:solidFill>
              <w14:schemeClr w14:val="tx1"/>
            </w14:solidFill>
          </w14:textFill>
        </w:rPr>
        <w:t>第一章 投标邀请</w:t>
      </w:r>
      <w:bookmarkEnd w:id="0"/>
    </w:p>
    <w:p w14:paraId="1AE0EBD0">
      <w:pPr>
        <w:pBdr>
          <w:top w:val="single" w:color="auto" w:sz="4" w:space="0"/>
          <w:left w:val="single" w:color="auto" w:sz="4" w:space="0"/>
          <w:bottom w:val="single" w:color="auto" w:sz="4" w:space="0"/>
          <w:right w:val="single" w:color="auto" w:sz="4" w:space="0"/>
        </w:pBd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项目概况</w:t>
      </w:r>
    </w:p>
    <w:p w14:paraId="520989D6">
      <w:pPr>
        <w:pBdr>
          <w:top w:val="single" w:color="auto" w:sz="4" w:space="0"/>
          <w:left w:val="single" w:color="auto" w:sz="4" w:space="0"/>
          <w:bottom w:val="single" w:color="auto" w:sz="4" w:space="0"/>
          <w:right w:val="single" w:color="auto" w:sz="4" w:space="0"/>
        </w:pBdr>
        <w:spacing w:line="360" w:lineRule="auto"/>
        <w:ind w:firstLine="420" w:firstLineChars="200"/>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中国药科大学江宁校区教学楼空调更换项目</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招标项目的潜在投标人应在</w:t>
      </w:r>
      <w:r>
        <w:rPr>
          <w:rFonts w:hint="eastAsia"/>
          <w:color w:val="000000" w:themeColor="text1"/>
          <w:u w:val="single"/>
          <w14:textFill>
            <w14:solidFill>
              <w14:schemeClr w14:val="tx1"/>
            </w14:solidFill>
          </w14:textFill>
        </w:rPr>
        <w:t>南京市中山路99号12楼1212室</w:t>
      </w:r>
      <w:r>
        <w:rPr>
          <w:rFonts w:hint="eastAsia"/>
          <w:color w:val="000000" w:themeColor="text1"/>
          <w14:textFill>
            <w14:solidFill>
              <w14:schemeClr w14:val="tx1"/>
            </w14:solidFill>
          </w14:textFill>
        </w:rPr>
        <w:t>获取招标文件，并于</w:t>
      </w:r>
      <w:r>
        <w:rPr>
          <w:rFonts w:hint="eastAsia"/>
          <w:color w:val="000000" w:themeColor="text1"/>
          <w:u w:val="single"/>
          <w14:textFill>
            <w14:solidFill>
              <w14:schemeClr w14:val="tx1"/>
            </w14:solidFill>
          </w14:textFill>
        </w:rPr>
        <w:t>2026年</w:t>
      </w:r>
      <w:r>
        <w:rPr>
          <w:rFonts w:hint="eastAsia"/>
          <w:color w:val="000000" w:themeColor="text1"/>
          <w:u w:val="single"/>
          <w:lang w:val="en-US" w:eastAsia="zh-CN"/>
          <w14:textFill>
            <w14:solidFill>
              <w14:schemeClr w14:val="tx1"/>
            </w14:solidFill>
          </w14:textFill>
        </w:rPr>
        <w:t>6</w:t>
      </w:r>
      <w:r>
        <w:rPr>
          <w:rFonts w:hint="eastAsia"/>
          <w:color w:val="000000" w:themeColor="text1"/>
          <w:u w:val="single"/>
          <w14:textFill>
            <w14:solidFill>
              <w14:schemeClr w14:val="tx1"/>
            </w14:solidFill>
          </w14:textFill>
        </w:rPr>
        <w:t>月</w:t>
      </w:r>
      <w:r>
        <w:rPr>
          <w:rFonts w:hint="eastAsia"/>
          <w:color w:val="000000" w:themeColor="text1"/>
          <w:u w:val="single"/>
          <w:lang w:val="en-US" w:eastAsia="zh-CN"/>
          <w14:textFill>
            <w14:solidFill>
              <w14:schemeClr w14:val="tx1"/>
            </w14:solidFill>
          </w14:textFill>
        </w:rPr>
        <w:t>26</w:t>
      </w:r>
      <w:r>
        <w:rPr>
          <w:rFonts w:hint="eastAsia"/>
          <w:color w:val="000000" w:themeColor="text1"/>
          <w:u w:val="single"/>
          <w14:textFill>
            <w14:solidFill>
              <w14:schemeClr w14:val="tx1"/>
            </w14:solidFill>
          </w14:textFill>
        </w:rPr>
        <w:t>日</w:t>
      </w:r>
      <w:r>
        <w:rPr>
          <w:rFonts w:hint="eastAsia"/>
          <w:color w:val="000000" w:themeColor="text1"/>
          <w:u w:val="single"/>
          <w:lang w:val="en-US" w:eastAsia="zh-CN"/>
          <w14:textFill>
            <w14:solidFill>
              <w14:schemeClr w14:val="tx1"/>
            </w14:solidFill>
          </w14:textFill>
        </w:rPr>
        <w:t>9</w:t>
      </w:r>
      <w:r>
        <w:rPr>
          <w:rFonts w:hint="eastAsia"/>
          <w:color w:val="000000" w:themeColor="text1"/>
          <w:u w:val="single"/>
          <w14:textFill>
            <w14:solidFill>
              <w14:schemeClr w14:val="tx1"/>
            </w14:solidFill>
          </w14:textFill>
        </w:rPr>
        <w:t>点</w:t>
      </w:r>
      <w:r>
        <w:rPr>
          <w:rFonts w:hint="eastAsia"/>
          <w:color w:val="000000" w:themeColor="text1"/>
          <w:u w:val="single"/>
          <w:lang w:val="en-US" w:eastAsia="zh-CN"/>
          <w14:textFill>
            <w14:solidFill>
              <w14:schemeClr w14:val="tx1"/>
            </w14:solidFill>
          </w14:textFill>
        </w:rPr>
        <w:t>30</w:t>
      </w:r>
      <w:r>
        <w:rPr>
          <w:rFonts w:hint="eastAsia"/>
          <w:color w:val="000000" w:themeColor="text1"/>
          <w:u w:val="single"/>
          <w14:textFill>
            <w14:solidFill>
              <w14:schemeClr w14:val="tx1"/>
            </w14:solidFill>
          </w14:textFill>
        </w:rPr>
        <w:t>分</w:t>
      </w:r>
      <w:r>
        <w:rPr>
          <w:rFonts w:hint="eastAsia"/>
          <w:color w:val="000000" w:themeColor="text1"/>
          <w14:textFill>
            <w14:solidFill>
              <w14:schemeClr w14:val="tx1"/>
            </w14:solidFill>
          </w14:textFill>
        </w:rPr>
        <w:t>（北京时间）前递交投标文件。</w:t>
      </w:r>
    </w:p>
    <w:p w14:paraId="593B6CB9">
      <w:pPr>
        <w:spacing w:line="360" w:lineRule="auto"/>
        <w:rPr>
          <w:color w:val="000000" w:themeColor="text1"/>
          <w14:textFill>
            <w14:solidFill>
              <w14:schemeClr w14:val="tx1"/>
            </w14:solidFill>
          </w14:textFill>
        </w:rPr>
      </w:pPr>
      <w:bookmarkStart w:id="1" w:name="_Toc35393621"/>
      <w:bookmarkStart w:id="2" w:name="_Toc35393790"/>
      <w:bookmarkStart w:id="3" w:name="_Toc28359079"/>
      <w:bookmarkStart w:id="4" w:name="_Toc28359002"/>
      <w:bookmarkStart w:id="5" w:name="_Hlk24379207"/>
      <w:r>
        <w:rPr>
          <w:rFonts w:hint="eastAsia"/>
          <w:color w:val="000000" w:themeColor="text1"/>
          <w14:textFill>
            <w14:solidFill>
              <w14:schemeClr w14:val="tx1"/>
            </w14:solidFill>
          </w14:textFill>
        </w:rPr>
        <w:t>一、项目基本情况</w:t>
      </w:r>
      <w:bookmarkEnd w:id="1"/>
      <w:bookmarkEnd w:id="2"/>
      <w:bookmarkEnd w:id="3"/>
      <w:bookmarkEnd w:id="4"/>
    </w:p>
    <w:p w14:paraId="3CE9999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项目编号：DCHGZB031260067（校方编号）、SNZX-20260103（代理编号）</w:t>
      </w:r>
    </w:p>
    <w:p w14:paraId="380E7D5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项目名称：</w:t>
      </w:r>
      <w:bookmarkEnd w:id="5"/>
      <w:r>
        <w:rPr>
          <w:rFonts w:hint="eastAsia"/>
          <w:color w:val="000000" w:themeColor="text1"/>
          <w14:textFill>
            <w14:solidFill>
              <w14:schemeClr w14:val="tx1"/>
            </w14:solidFill>
          </w14:textFill>
        </w:rPr>
        <w:t>中国药科大学江宁校区教学楼空调更换项目</w:t>
      </w:r>
      <w:r>
        <w:rPr>
          <w:color w:val="000000" w:themeColor="text1"/>
          <w14:textFill>
            <w14:solidFill>
              <w14:schemeClr w14:val="tx1"/>
            </w14:solidFill>
          </w14:textFill>
        </w:rPr>
        <w:t xml:space="preserve"> </w:t>
      </w:r>
    </w:p>
    <w:p w14:paraId="5D7954C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预算金额：200万元</w:t>
      </w:r>
    </w:p>
    <w:p w14:paraId="20B69C4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最高限价：193.669951 万元，投标报价超过最高限价的为无效投标。</w:t>
      </w:r>
    </w:p>
    <w:p w14:paraId="3B7B275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采购需求：教学楼部分老旧空调更新，包含新空调等一切配件，以及运输、安装、调试、保修等服务；原旧机器拆除以及老旧线路的重新铺设，控制系统改造。具体详见招标文件及图纸。</w:t>
      </w:r>
    </w:p>
    <w:p w14:paraId="75C98BE8">
      <w:pPr>
        <w:spacing w:line="360" w:lineRule="auto"/>
        <w:ind w:firstLine="420" w:firstLineChars="200"/>
        <w:rPr>
          <w:color w:val="000000" w:themeColor="text1"/>
          <w:szCs w:val="24"/>
          <w14:textFill>
            <w14:solidFill>
              <w14:schemeClr w14:val="tx1"/>
            </w14:solidFill>
          </w14:textFill>
        </w:rPr>
      </w:pPr>
      <w:r>
        <w:rPr>
          <w:rFonts w:hint="eastAsia"/>
          <w:color w:val="000000" w:themeColor="text1"/>
          <w14:textFill>
            <w14:solidFill>
              <w14:schemeClr w14:val="tx1"/>
            </w14:solidFill>
          </w14:textFill>
        </w:rPr>
        <w:t>合同履行期限（供货期）：</w:t>
      </w:r>
      <w:bookmarkStart w:id="6" w:name="_Toc35393622"/>
      <w:bookmarkStart w:id="7" w:name="_Toc28359080"/>
      <w:bookmarkStart w:id="8" w:name="_Toc35393791"/>
      <w:bookmarkStart w:id="9" w:name="_Toc28359003"/>
      <w:r>
        <w:rPr>
          <w:rFonts w:hint="eastAsia"/>
          <w:color w:val="000000" w:themeColor="text1"/>
          <w:szCs w:val="24"/>
          <w14:textFill>
            <w14:solidFill>
              <w14:schemeClr w14:val="tx1"/>
            </w14:solidFill>
          </w14:textFill>
        </w:rPr>
        <w:t>合同签订后50天内完成安装、调试、提供相应技术服务。</w:t>
      </w:r>
    </w:p>
    <w:p w14:paraId="45A2CD8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本项目不接受联合体投标。</w:t>
      </w:r>
    </w:p>
    <w:p w14:paraId="246C0030">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二、申请人的资格要求：</w:t>
      </w:r>
      <w:bookmarkEnd w:id="6"/>
      <w:bookmarkEnd w:id="7"/>
      <w:bookmarkEnd w:id="8"/>
      <w:bookmarkEnd w:id="9"/>
    </w:p>
    <w:p w14:paraId="3CCC7A8A">
      <w:pPr>
        <w:spacing w:line="360" w:lineRule="auto"/>
        <w:ind w:firstLine="420" w:firstLineChars="200"/>
        <w:rPr>
          <w:color w:val="000000" w:themeColor="text1"/>
          <w14:textFill>
            <w14:solidFill>
              <w14:schemeClr w14:val="tx1"/>
            </w14:solidFill>
          </w14:textFill>
        </w:rPr>
      </w:pPr>
      <w:bookmarkStart w:id="10" w:name="_Toc28359004"/>
      <w:bookmarkStart w:id="11" w:name="_Toc28359081"/>
      <w:bookmarkStart w:id="12" w:name="OLE_LINK5"/>
      <w:r>
        <w:rPr>
          <w:rFonts w:hint="eastAsia"/>
          <w:color w:val="000000" w:themeColor="text1"/>
          <w14:textFill>
            <w14:solidFill>
              <w14:schemeClr w14:val="tx1"/>
            </w14:solidFill>
          </w14:textFill>
        </w:rPr>
        <w:t>1.满足《中华人民共和国政府采购法》第二十二条规定；</w:t>
      </w:r>
    </w:p>
    <w:p w14:paraId="4B22D4A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（1）具有独立承担民事责任的能力（提供法人或者其他组织的营业执照，自然人的身份证）；</w:t>
      </w:r>
    </w:p>
    <w:p w14:paraId="6BA945A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00DF3EC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（3）具有履行合同所必需的设备和专业技术能力（根据项目需求提供履行合同所必需的设备和专业技术能力的证明材料或相关加盖公章的声明函）；  </w:t>
      </w:r>
    </w:p>
    <w:p w14:paraId="1FAA9B8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（4）有依法缴纳税收和社会保障资金的良好记录</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提供投标截止时间前六个月内任意一个月的纳税证明文件（依法免缴的应提供相应文件说明），并提供投标截止时间前六个月内任意一个月的依法为员工缴纳社会保障资金的证明文件（依法免缴的应提供相应文件说明）</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w:t>
      </w:r>
    </w:p>
    <w:p w14:paraId="2D97014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70A1195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（6）法律、行政法规规定的其他条件。（符合并提供承诺书加盖供应商公章编入响应文件中）。</w:t>
      </w:r>
    </w:p>
    <w:p w14:paraId="6755930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（7）注：①第（5）条所称重大违法记录，是指供应商因违法经营受到刑事处罚或者责令停产停业、吊销许可证或者执照、较大数额罚款等行政处罚。</w:t>
      </w:r>
    </w:p>
    <w:p w14:paraId="5538255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②供应商在参加政府采购活动前3年内因违法经营被禁止在一定期限内参加政府采购活动，期限届满的，可以参加政府采购活动。</w:t>
      </w:r>
    </w:p>
    <w:p w14:paraId="48DB55E6">
      <w:pPr>
        <w:spacing w:line="360" w:lineRule="auto"/>
        <w:ind w:firstLine="420" w:firstLineChars="200"/>
        <w:rPr>
          <w:color w:val="000000" w:themeColor="text1"/>
          <w:shd w:val="clear" w:color="auto" w:fill="FFFFFF"/>
          <w14:textFill>
            <w14:solidFill>
              <w14:schemeClr w14:val="tx1"/>
            </w14:solidFill>
          </w14:textFill>
        </w:rPr>
      </w:pPr>
      <w:r>
        <w:rPr>
          <w:rFonts w:hint="eastAsia"/>
          <w:color w:val="000000" w:themeColor="text1"/>
          <w14:textFill>
            <w14:solidFill>
              <w14:schemeClr w14:val="tx1"/>
            </w14:solidFill>
          </w14:textFill>
        </w:rPr>
        <w:t>2.落实政府采购政策需满足的资格要求</w:t>
      </w:r>
      <w:bookmarkStart w:id="13" w:name="OLE_LINK4"/>
      <w:r>
        <w:rPr>
          <w:rFonts w:hint="eastAsia"/>
          <w:color w:val="000000" w:themeColor="text1"/>
          <w14:textFill>
            <w14:solidFill>
              <w14:schemeClr w14:val="tx1"/>
            </w14:solidFill>
          </w14:textFill>
        </w:rPr>
        <w:t>：</w:t>
      </w:r>
      <w:r>
        <w:rPr>
          <w:rFonts w:hint="eastAsia"/>
          <w:color w:val="000000" w:themeColor="text1"/>
          <w:shd w:val="clear" w:color="auto" w:fill="FFFFFF"/>
          <w14:textFill>
            <w14:solidFill>
              <w14:schemeClr w14:val="tx1"/>
            </w14:solidFill>
          </w14:textFill>
        </w:rPr>
        <w:t>本项目非专门面向中小企业采购的项目</w:t>
      </w:r>
      <w:bookmarkEnd w:id="13"/>
      <w:r>
        <w:rPr>
          <w:rFonts w:hint="eastAsia"/>
          <w:color w:val="000000" w:themeColor="text1"/>
          <w:shd w:val="clear" w:color="auto" w:fill="FFFFFF"/>
          <w14:textFill>
            <w14:solidFill>
              <w14:schemeClr w14:val="tx1"/>
            </w14:solidFill>
          </w14:textFill>
        </w:rPr>
        <w:t>。供应商如为中小微型企业、监狱企业、残疾人福利性单位，提供的产品为国家认定的节能产品和环保产品的，须按要求提供相关材料。</w:t>
      </w:r>
    </w:p>
    <w:p w14:paraId="371D62C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3.本项目的特定资格要求：无。</w:t>
      </w:r>
    </w:p>
    <w:p w14:paraId="41B1FE45">
      <w:pPr>
        <w:spacing w:line="360" w:lineRule="auto"/>
        <w:ind w:firstLine="420" w:firstLineChars="200"/>
        <w:rPr>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t>4.拒绝下述供应商参加本次采购活动（提供承诺书加盖供应商公章编入响应文件中）：</w:t>
      </w:r>
    </w:p>
    <w:p w14:paraId="63404D0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（1）供应商单位负责人为同一人或者存在直接控股、管理关系的不同供应商，不得参加同一合同项下的采购活动。</w:t>
      </w:r>
    </w:p>
    <w:p w14:paraId="45CE0B3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（2）凡为采购项目提供整体设计、规范编制或者项目管理、监理、检测等服务的供应商，不得再参加本项目的采购活动。</w:t>
      </w:r>
    </w:p>
    <w:p w14:paraId="6C8F9F5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p>
    <w:p w14:paraId="541A5F1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注：采购人或代理机构通过 “信用中国”网站（www.creditchina.gov.cn）、“中国政府采购网”网站（www.ccgp.gov.cn）等渠道查询供应商信用记录并保存。</w:t>
      </w:r>
    </w:p>
    <w:bookmarkEnd w:id="10"/>
    <w:bookmarkEnd w:id="11"/>
    <w:bookmarkEnd w:id="12"/>
    <w:p w14:paraId="53B9C85C">
      <w:pPr>
        <w:spacing w:line="360" w:lineRule="auto"/>
        <w:rPr>
          <w:color w:val="000000" w:themeColor="text1"/>
          <w14:textFill>
            <w14:solidFill>
              <w14:schemeClr w14:val="tx1"/>
            </w14:solidFill>
          </w14:textFill>
        </w:rPr>
      </w:pPr>
      <w:bookmarkStart w:id="14" w:name="_Toc35393623"/>
      <w:bookmarkStart w:id="15" w:name="_Toc35393792"/>
      <w:bookmarkStart w:id="16" w:name="_Toc28359082"/>
      <w:bookmarkStart w:id="17" w:name="_Toc28359005"/>
      <w:bookmarkStart w:id="18" w:name="_Toc35393793"/>
      <w:bookmarkStart w:id="19" w:name="_Toc35393624"/>
      <w:r>
        <w:rPr>
          <w:rFonts w:hint="eastAsia"/>
          <w:color w:val="000000" w:themeColor="text1"/>
          <w14:textFill>
            <w14:solidFill>
              <w14:schemeClr w14:val="tx1"/>
            </w14:solidFill>
          </w14:textFill>
        </w:rPr>
        <w:t>三、获取招标文件</w:t>
      </w:r>
      <w:bookmarkEnd w:id="14"/>
      <w:bookmarkEnd w:id="15"/>
    </w:p>
    <w:p w14:paraId="4F47B3C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1、时间：2026年</w:t>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日上午09:00至2026年</w:t>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11</w:t>
      </w:r>
      <w:r>
        <w:rPr>
          <w:rFonts w:hint="eastAsia"/>
          <w:color w:val="000000" w:themeColor="text1"/>
          <w14:textFill>
            <w14:solidFill>
              <w14:schemeClr w14:val="tx1"/>
            </w14:solidFill>
          </w14:textFill>
        </w:rPr>
        <w:t>日下午17:00</w:t>
      </w:r>
    </w:p>
    <w:p w14:paraId="13696C87">
      <w:pPr>
        <w:spacing w:line="360" w:lineRule="exact"/>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获取方式：本项目获取网址为：https://njsnzx.cn/#/detail?id=3103；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68C980C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北京时间，法定节假日除外；未按照上述要求合法获取招标（采购）文件的，招标（采购）人将不予受理其投标（响应）。</w:t>
      </w:r>
    </w:p>
    <w:p w14:paraId="5D63FF7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售价：￥500元，本公告包含的招标文件售价总和。</w:t>
      </w:r>
    </w:p>
    <w:p w14:paraId="3D28F7F9">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四、提交投标文件</w:t>
      </w:r>
      <w:bookmarkEnd w:id="16"/>
      <w:bookmarkEnd w:id="17"/>
      <w:r>
        <w:rPr>
          <w:rFonts w:hint="eastAsia"/>
          <w:color w:val="000000" w:themeColor="text1"/>
          <w14:textFill>
            <w14:solidFill>
              <w14:schemeClr w14:val="tx1"/>
            </w14:solidFill>
          </w14:textFill>
        </w:rPr>
        <w:t>截止时间、开标时间和地点</w:t>
      </w:r>
      <w:bookmarkEnd w:id="18"/>
      <w:bookmarkEnd w:id="19"/>
    </w:p>
    <w:p w14:paraId="2486501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截止时间及开标时间：2026年</w:t>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26</w:t>
      </w:r>
      <w:r>
        <w:rPr>
          <w:rFonts w:hint="eastAsia"/>
          <w:color w:val="000000" w:themeColor="text1"/>
          <w14:textFill>
            <w14:solidFill>
              <w14:schemeClr w14:val="tx1"/>
            </w14:solidFill>
          </w14:textFill>
        </w:rPr>
        <w:t>日</w:t>
      </w:r>
      <w:r>
        <w:rPr>
          <w:rFonts w:hint="eastAsia"/>
          <w:color w:val="000000" w:themeColor="text1"/>
          <w:lang w:val="en-US" w:eastAsia="zh-CN"/>
          <w14:textFill>
            <w14:solidFill>
              <w14:schemeClr w14:val="tx1"/>
            </w14:solidFill>
          </w14:textFill>
        </w:rPr>
        <w:t>9</w:t>
      </w:r>
      <w:r>
        <w:rPr>
          <w:rFonts w:hint="eastAsia"/>
          <w:color w:val="000000" w:themeColor="text1"/>
          <w14:textFill>
            <w14:solidFill>
              <w14:schemeClr w14:val="tx1"/>
            </w14:solidFill>
          </w14:textFill>
        </w:rPr>
        <w:t>点30分（北京时间）</w:t>
      </w:r>
    </w:p>
    <w:p w14:paraId="255AAE7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地点：南京市中山路99号12楼1212室</w:t>
      </w:r>
    </w:p>
    <w:p w14:paraId="03CAB57F">
      <w:pPr>
        <w:spacing w:line="360" w:lineRule="auto"/>
        <w:rPr>
          <w:color w:val="000000" w:themeColor="text1"/>
          <w14:textFill>
            <w14:solidFill>
              <w14:schemeClr w14:val="tx1"/>
            </w14:solidFill>
          </w14:textFill>
        </w:rPr>
      </w:pPr>
      <w:bookmarkStart w:id="20" w:name="_Toc28359007"/>
      <w:bookmarkStart w:id="21" w:name="_Toc35393625"/>
      <w:bookmarkStart w:id="22" w:name="_Toc35393794"/>
      <w:bookmarkStart w:id="23" w:name="_Toc28359084"/>
      <w:r>
        <w:rPr>
          <w:rFonts w:hint="eastAsia"/>
          <w:color w:val="000000" w:themeColor="text1"/>
          <w14:textFill>
            <w14:solidFill>
              <w14:schemeClr w14:val="tx1"/>
            </w14:solidFill>
          </w14:textFill>
        </w:rPr>
        <w:t>五、公告期限</w:t>
      </w:r>
      <w:bookmarkEnd w:id="20"/>
      <w:bookmarkEnd w:id="21"/>
      <w:bookmarkEnd w:id="22"/>
      <w:bookmarkEnd w:id="23"/>
    </w:p>
    <w:p w14:paraId="4FB8A2F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自本公告发布之日起5个工作日。</w:t>
      </w:r>
    </w:p>
    <w:p w14:paraId="0A88D016">
      <w:pPr>
        <w:spacing w:line="360" w:lineRule="auto"/>
        <w:rPr>
          <w:color w:val="000000" w:themeColor="text1"/>
          <w14:textFill>
            <w14:solidFill>
              <w14:schemeClr w14:val="tx1"/>
            </w14:solidFill>
          </w14:textFill>
        </w:rPr>
      </w:pPr>
      <w:bookmarkStart w:id="24" w:name="_Toc35393795"/>
      <w:bookmarkStart w:id="25" w:name="_Toc35393626"/>
      <w:r>
        <w:rPr>
          <w:rFonts w:hint="eastAsia"/>
          <w:color w:val="000000" w:themeColor="text1"/>
          <w14:textFill>
            <w14:solidFill>
              <w14:schemeClr w14:val="tx1"/>
            </w14:solidFill>
          </w14:textFill>
        </w:rPr>
        <w:t>六、其他补充事宜</w:t>
      </w:r>
      <w:bookmarkEnd w:id="24"/>
      <w:bookmarkEnd w:id="25"/>
    </w:p>
    <w:p w14:paraId="66640994">
      <w:pPr>
        <w:pStyle w:val="8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1.本项目是否属专门面向中小企业采购项目：</w:t>
      </w:r>
      <w:r>
        <w:rPr>
          <w:rFonts w:hint="eastAsia" w:ascii="宋体" w:hAnsi="宋体"/>
          <w:color w:val="000000" w:themeColor="text1"/>
          <w:sz w:val="21"/>
          <w:szCs w:val="21"/>
          <w:shd w:val="clear" w:color="auto" w:fill="FFFFFF"/>
          <w14:textFill>
            <w14:solidFill>
              <w14:schemeClr w14:val="tx1"/>
            </w14:solidFill>
          </w14:textFill>
        </w:rPr>
        <w:t>否。</w:t>
      </w:r>
    </w:p>
    <w:p w14:paraId="7DA9C374">
      <w:pPr>
        <w:pStyle w:val="8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2.采购标的对应中小企业划分标准所属行业：工业（制造业）</w:t>
      </w:r>
    </w:p>
    <w:p w14:paraId="6036E76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3.本项目不接受转包、分包。</w:t>
      </w:r>
    </w:p>
    <w:p w14:paraId="16FD315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4.本项目不接受进口产品投标（注：本文件所称进口产品是指通过中国海关报关验放进入中国境内且产自关境外的产品）。</w:t>
      </w:r>
    </w:p>
    <w:p w14:paraId="4AD7805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5.集中勘察或答疑：</w:t>
      </w:r>
    </w:p>
    <w:p w14:paraId="7B90F9C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采购人不组织，供应商可自行勘察。未踏勘现场或踏勘工作不详细的供应商中标后，不得以不完全了解现场情况为理由而向采购人提出任何索赔或其他要求，对此采购人不承担任何责任并将不作任何答复。</w:t>
      </w:r>
    </w:p>
    <w:p w14:paraId="1B2E429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响应文件份数：一式伍份（壹份正本、肆份副本），电子版响应文件壹份（电子版须为响应文件盖公章（红章）正本的PDF扫描件，扫描件内容应与纸质文件完全一致。文件名建议修改为公司名+项目编号简写、U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p>
    <w:p w14:paraId="4AEF1E7E">
      <w:pPr>
        <w:spacing w:line="360" w:lineRule="auto"/>
        <w:ind w:firstLine="420" w:firstLineChars="200"/>
        <w:rPr>
          <w:color w:val="000000" w:themeColor="text1"/>
          <w14:textFill>
            <w14:solidFill>
              <w14:schemeClr w14:val="tx1"/>
            </w14:solidFill>
          </w14:textFill>
        </w:rPr>
      </w:pPr>
      <w:bookmarkStart w:id="26" w:name="_Toc35393796"/>
      <w:bookmarkStart w:id="27" w:name="_Toc28359085"/>
      <w:bookmarkStart w:id="28" w:name="_Toc35393627"/>
      <w:bookmarkStart w:id="29" w:name="_Toc28359008"/>
      <w:r>
        <w:rPr>
          <w:rFonts w:hint="eastAsia"/>
          <w:color w:val="000000" w:themeColor="text1"/>
          <w14:textFill>
            <w14:solidFill>
              <w14:schemeClr w14:val="tx1"/>
            </w14:solidFill>
          </w14:textFill>
        </w:rPr>
        <w:t>7.公告媒体</w:t>
      </w:r>
    </w:p>
    <w:p w14:paraId="549DAC6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（1）本公告在中国政府采购网、中国药科大学招投标办公室网站发布，敬请各投标人关注；</w:t>
      </w:r>
    </w:p>
    <w:p w14:paraId="20679BA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3A0C6B7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8.采购项目需要落实的政府采购政策：</w:t>
      </w:r>
    </w:p>
    <w:p w14:paraId="3C0CC01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（1）政府采购促进中小企业发展</w:t>
      </w:r>
    </w:p>
    <w:p w14:paraId="04F671F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（2）政府采购支持监狱企业发展</w:t>
      </w:r>
    </w:p>
    <w:p w14:paraId="023E135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（3）政府采购促进残疾人就业</w:t>
      </w:r>
    </w:p>
    <w:p w14:paraId="508DF50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（4）政府采购鼓励采购节能环保产品</w:t>
      </w:r>
    </w:p>
    <w:p w14:paraId="501D21E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9.投标保证金：本项目投标前需缴纳投标保证金，金额：人民币30000元（大写：叁万元整），支付信息详见招标文件。</w:t>
      </w:r>
    </w:p>
    <w:p w14:paraId="45818BD3">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七、对本次招标提出询问，请按以下方式联系。</w:t>
      </w:r>
      <w:bookmarkEnd w:id="26"/>
      <w:bookmarkEnd w:id="27"/>
      <w:bookmarkEnd w:id="28"/>
      <w:bookmarkEnd w:id="29"/>
    </w:p>
    <w:p w14:paraId="287C6A7A">
      <w:pPr>
        <w:spacing w:line="360" w:lineRule="auto"/>
        <w:ind w:firstLine="420" w:firstLineChars="200"/>
        <w:rPr>
          <w:color w:val="000000" w:themeColor="text1"/>
          <w14:textFill>
            <w14:solidFill>
              <w14:schemeClr w14:val="tx1"/>
            </w14:solidFill>
          </w14:textFill>
        </w:rPr>
      </w:pPr>
      <w:bookmarkStart w:id="30" w:name="_Toc28359087"/>
      <w:bookmarkStart w:id="31" w:name="_Toc28359010"/>
      <w:r>
        <w:rPr>
          <w:rFonts w:hint="eastAsia"/>
          <w:color w:val="000000" w:themeColor="text1"/>
          <w14:textFill>
            <w14:solidFill>
              <w14:schemeClr w14:val="tx1"/>
            </w14:solidFill>
          </w14:textFill>
        </w:rPr>
        <w:t>1.采购人信息</w:t>
      </w:r>
    </w:p>
    <w:p w14:paraId="251893E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名称：中国药科大学</w:t>
      </w:r>
    </w:p>
    <w:p w14:paraId="3E0C457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地址：南京市江宁区龙眠大道639号</w:t>
      </w:r>
    </w:p>
    <w:p w14:paraId="117902C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联系人：李老师、许老师</w:t>
      </w:r>
    </w:p>
    <w:p w14:paraId="107E373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联系方式：025-86185029、025-86185254 </w:t>
      </w:r>
    </w:p>
    <w:p w14:paraId="12CA85E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2.采购代理机构信息</w:t>
      </w:r>
    </w:p>
    <w:p w14:paraId="295C0D0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名称：南京苏宁工程咨询有限公司</w:t>
      </w:r>
    </w:p>
    <w:p w14:paraId="4C32F4D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地址：南京市鼓楼区中山路99号1212室</w:t>
      </w:r>
    </w:p>
    <w:p w14:paraId="364AA89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联系方式：李佳蓉、025-84200809</w:t>
      </w:r>
    </w:p>
    <w:p w14:paraId="17CDCBC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项目联系人：李佳蓉</w:t>
      </w:r>
    </w:p>
    <w:p w14:paraId="279F089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电话：025-84200809</w:t>
      </w:r>
    </w:p>
    <w:p w14:paraId="1FEAEDB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3.项目联系方式</w:t>
      </w:r>
      <w:bookmarkEnd w:id="30"/>
      <w:bookmarkEnd w:id="31"/>
    </w:p>
    <w:p w14:paraId="51168FB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项目联系人：李佳蓉    电话：025-84200809、18551785107</w:t>
      </w:r>
    </w:p>
    <w:p w14:paraId="0E1C1133">
      <w:pPr>
        <w:spacing w:line="360" w:lineRule="auto"/>
        <w:ind w:firstLine="422" w:firstLineChars="200"/>
        <w:rPr>
          <w:b/>
          <w:bCs/>
          <w:color w:val="000000" w:themeColor="text1"/>
          <w:lang w:val="zh-CN"/>
          <w14:textFill>
            <w14:solidFill>
              <w14:schemeClr w14:val="tx1"/>
            </w14:solidFill>
          </w14:textFill>
        </w:rPr>
      </w:pPr>
      <w:r>
        <w:rPr>
          <w:rFonts w:hint="eastAsia"/>
          <w:b/>
          <w:bCs/>
          <w:color w:val="000000" w:themeColor="text1"/>
          <w14:textFill>
            <w14:solidFill>
              <w14:schemeClr w14:val="tx1"/>
            </w14:solidFill>
          </w14:textFill>
        </w:rPr>
        <w:t>请贵单位领取本次采购文件后，认真阅读各项内容，进行必要的投标准备，按文件的要求详细填写和编制响应文件，并按以上确定的时间、地点准时参加投标。</w:t>
      </w:r>
    </w:p>
    <w:p w14:paraId="31907C71">
      <w:pPr>
        <w:spacing w:line="360" w:lineRule="auto"/>
        <w:jc w:val="center"/>
        <w:rPr>
          <w:b/>
          <w:bCs/>
          <w:color w:val="000000" w:themeColor="text1"/>
          <w:sz w:val="36"/>
          <w:szCs w:val="36"/>
          <w:lang w:val="zh-CN"/>
          <w14:textFill>
            <w14:solidFill>
              <w14:schemeClr w14:val="tx1"/>
            </w14:solidFill>
          </w14:textFill>
        </w:rPr>
        <w:sectPr>
          <w:endnotePr>
            <w:numFmt w:val="decimal"/>
          </w:endnotePr>
          <w:pgSz w:w="11906" w:h="16838"/>
          <w:pgMar w:top="850" w:right="850" w:bottom="850" w:left="1417" w:header="340" w:footer="720" w:gutter="0"/>
          <w:cols w:space="720" w:num="1"/>
          <w:rtlGutter w:val="1"/>
        </w:sectPr>
      </w:pPr>
    </w:p>
    <w:p w14:paraId="6D404483">
      <w:pPr>
        <w:jc w:val="center"/>
        <w:outlineLvl w:val="0"/>
        <w:rPr>
          <w:color w:val="000000" w:themeColor="text1"/>
          <w:sz w:val="28"/>
          <w:szCs w:val="28"/>
          <w14:textFill>
            <w14:solidFill>
              <w14:schemeClr w14:val="tx1"/>
            </w14:solidFill>
          </w14:textFill>
        </w:rPr>
      </w:pPr>
      <w:bookmarkStart w:id="32" w:name="_Toc13239"/>
      <w:r>
        <w:rPr>
          <w:rFonts w:hint="eastAsia"/>
          <w:color w:val="000000" w:themeColor="text1"/>
          <w:sz w:val="36"/>
          <w:szCs w:val="36"/>
          <w:lang w:val="zh-CN"/>
          <w14:textFill>
            <w14:solidFill>
              <w14:schemeClr w14:val="tx1"/>
            </w14:solidFill>
          </w14:textFill>
        </w:rPr>
        <w:t>第二章</w:t>
      </w:r>
      <w:r>
        <w:rPr>
          <w:rFonts w:hint="eastAsia"/>
          <w:color w:val="000000" w:themeColor="text1"/>
          <w:sz w:val="36"/>
          <w:szCs w:val="36"/>
          <w14:textFill>
            <w14:solidFill>
              <w14:schemeClr w14:val="tx1"/>
            </w14:solidFill>
          </w14:textFill>
        </w:rPr>
        <w:t xml:space="preserve"> </w:t>
      </w:r>
      <w:r>
        <w:rPr>
          <w:rFonts w:hint="eastAsia"/>
          <w:color w:val="000000" w:themeColor="text1"/>
          <w:sz w:val="36"/>
          <w:szCs w:val="36"/>
          <w:lang w:val="zh-CN"/>
          <w14:textFill>
            <w14:solidFill>
              <w14:schemeClr w14:val="tx1"/>
            </w14:solidFill>
          </w14:textFill>
        </w:rPr>
        <w:t>供应商须知</w:t>
      </w:r>
      <w:bookmarkEnd w:id="32"/>
    </w:p>
    <w:p w14:paraId="7119F7E2">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一、总则</w:t>
      </w:r>
    </w:p>
    <w:p w14:paraId="35442304">
      <w:pPr>
        <w:adjustRightInd w:val="0"/>
        <w:ind w:firstLine="420" w:firstLineChars="200"/>
        <w:rPr>
          <w:color w:val="000000" w:themeColor="text1"/>
          <w:lang w:val="zh-CN"/>
          <w14:textFill>
            <w14:solidFill>
              <w14:schemeClr w14:val="tx1"/>
            </w14:solidFill>
          </w14:textFill>
        </w:rPr>
      </w:pPr>
      <w:bookmarkStart w:id="33" w:name="_Toc865"/>
      <w:r>
        <w:rPr>
          <w:rFonts w:hint="eastAsia"/>
          <w:color w:val="000000" w:themeColor="text1"/>
          <w:lang w:val="zh-CN"/>
          <w14:textFill>
            <w14:solidFill>
              <w14:schemeClr w14:val="tx1"/>
            </w14:solidFill>
          </w14:textFill>
        </w:rPr>
        <w:t>1、适用法律</w:t>
      </w:r>
      <w:bookmarkEnd w:id="33"/>
    </w:p>
    <w:p w14:paraId="7B2B89D4">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1.1 《中华人民共和国政府采购法》、《中华人民共和国政府采购法实施条例》、《政府采购货物和服务招标投标管理办法》等有关法律、规章和规定等。</w:t>
      </w:r>
    </w:p>
    <w:p w14:paraId="28719551">
      <w:pPr>
        <w:adjustRightInd w:val="0"/>
        <w:ind w:firstLine="422" w:firstLineChars="200"/>
        <w:rPr>
          <w:b/>
          <w:color w:val="000000" w:themeColor="text1"/>
          <w:lang w:val="zh-CN"/>
          <w14:textFill>
            <w14:solidFill>
              <w14:schemeClr w14:val="tx1"/>
            </w14:solidFill>
          </w14:textFill>
        </w:rPr>
      </w:pPr>
      <w:bookmarkStart w:id="34" w:name="_Toc8443"/>
      <w:r>
        <w:rPr>
          <w:rFonts w:hint="eastAsia"/>
          <w:b/>
          <w:color w:val="000000" w:themeColor="text1"/>
          <w:lang w:val="zh-CN"/>
          <w14:textFill>
            <w14:solidFill>
              <w14:schemeClr w14:val="tx1"/>
            </w14:solidFill>
          </w14:textFill>
        </w:rPr>
        <w:t>2、定义</w:t>
      </w:r>
      <w:bookmarkEnd w:id="34"/>
    </w:p>
    <w:p w14:paraId="7F2ED89A">
      <w:pPr>
        <w:adjustRightInd w:val="0"/>
        <w:ind w:firstLine="420" w:firstLineChars="200"/>
        <w:rPr>
          <w:bCs/>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2.1 “</w:t>
      </w:r>
      <w:r>
        <w:rPr>
          <w:rFonts w:hint="eastAsia"/>
          <w:bCs/>
          <w:color w:val="000000" w:themeColor="text1"/>
          <w:lang w:val="zh-CN"/>
          <w14:textFill>
            <w14:solidFill>
              <w14:schemeClr w14:val="tx1"/>
            </w14:solidFill>
          </w14:textFill>
        </w:rPr>
        <w:t>供应商”</w:t>
      </w:r>
      <w:r>
        <w:rPr>
          <w:rFonts w:hint="eastAsia"/>
          <w:bCs/>
          <w:color w:val="000000" w:themeColor="text1"/>
          <w14:textFill>
            <w14:solidFill>
              <w14:schemeClr w14:val="tx1"/>
            </w14:solidFill>
          </w14:textFill>
        </w:rPr>
        <w:t>是指参加投标竞争，并符合招标文件规定资格条件的法人、其他组织或者自然人。</w:t>
      </w:r>
    </w:p>
    <w:p w14:paraId="3E801454">
      <w:pPr>
        <w:adjustRightInd w:val="0"/>
        <w:ind w:firstLine="420" w:firstLineChars="200"/>
        <w:rPr>
          <w:b/>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2.2 “产品”指本招标文件中所述产品</w:t>
      </w:r>
      <w:r>
        <w:rPr>
          <w:rFonts w:hint="eastAsia"/>
          <w:color w:val="000000" w:themeColor="text1"/>
          <w:lang w:val="zh-CN"/>
          <w14:textFill>
            <w14:solidFill>
              <w14:schemeClr w14:val="tx1"/>
            </w14:solidFill>
          </w14:textFill>
        </w:rPr>
        <w:t>及相关服务。</w:t>
      </w:r>
    </w:p>
    <w:p w14:paraId="11F0D0F8">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2.3 “用户或使用单位”是指使用服务的单位。</w:t>
      </w:r>
    </w:p>
    <w:p w14:paraId="313D20F2">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3、政策功能</w:t>
      </w:r>
    </w:p>
    <w:p w14:paraId="03495FA5">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3.1 政府采购促进中小企业发展，在政府采购活动中，供应商提供的货物、工程或者服务符合下列情 形的，享受中小企业扶持政策： </w:t>
      </w:r>
    </w:p>
    <w:p w14:paraId="2D386EB3">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（1）在货物采购项目中，货物由中小企业制造，即货物由中小企业生产且使用该中小企业商号或者注册商标； </w:t>
      </w:r>
    </w:p>
    <w:p w14:paraId="6BF6E04A">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（2）在工程采购项目中，工程由中小企业承建，即工程施工单位为中小企业； </w:t>
      </w:r>
    </w:p>
    <w:p w14:paraId="1C33F98B">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（3）在服务采购项目中，服务由中小企业承接，即提供服务的人员为中小企业依照《中华人民共和国劳动民法典》订立劳动合同的从业人员。</w:t>
      </w:r>
    </w:p>
    <w:p w14:paraId="2518AD9E">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 在货物采购项目中，供应商提供的货物既有中小企业制造货物，也有大型企业制造货物的，不享受中小企业扶持政策。</w:t>
      </w:r>
    </w:p>
    <w:p w14:paraId="6B1F46D2">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 以联合体形式参加政府采购活动，联合体各方均为中小企业的，联合体视同中小企业。其中，联合体 各方均为小微企业的，联合体视同小微企业。</w:t>
      </w:r>
    </w:p>
    <w:p w14:paraId="3DCF4944">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 中小企业供应商参加政府采购活动，应当出具《中小企业声明函》（格式见后附件），否则不得享受相关中小企业扶持政策。</w:t>
      </w:r>
    </w:p>
    <w:p w14:paraId="768C502C">
      <w:pPr>
        <w:pStyle w:val="21"/>
        <w:spacing w:after="0"/>
        <w:ind w:firstLine="420" w:firstLineChars="200"/>
        <w:rPr>
          <w:color w:val="000000" w:themeColor="text1"/>
          <w:kern w:val="2"/>
          <w:sz w:val="21"/>
          <w:lang w:val="zh-CN"/>
          <w14:textFill>
            <w14:solidFill>
              <w14:schemeClr w14:val="tx1"/>
            </w14:solidFill>
          </w14:textFill>
        </w:rPr>
      </w:pPr>
      <w:r>
        <w:rPr>
          <w:color w:val="000000" w:themeColor="text1"/>
          <w:kern w:val="2"/>
          <w:sz w:val="21"/>
          <w:lang w:val="zh-CN"/>
          <w14:textFill>
            <w14:solidFill>
              <w14:schemeClr w14:val="tx1"/>
            </w14:solidFill>
          </w14:textFill>
        </w:rPr>
        <w:t xml:space="preserve"> 中小企业，是指在中华人民共和国境内依法设立，依据国务院批准的中小企业划分标准（详见《关于印发中小企业划型标准规定的通知》工信部联企业〔2011〕300 号及《国家统计局关于印发〈统计上大中 小微型企业划分办法（2017）〉的通知》国统字〔2017〕213 号）确定的中型企业、小型企业和微型企业， 但与大企业的负责人为同一人，或者与大企业存在直接控股、管理关系的除外。符合中小企业划分标准的个体工商户，在政府采购活动中视同中小企业。</w:t>
      </w:r>
    </w:p>
    <w:p w14:paraId="2913093A">
      <w:pPr>
        <w:pStyle w:val="21"/>
        <w:spacing w:after="0"/>
        <w:ind w:firstLine="420" w:firstLineChars="200"/>
        <w:rPr>
          <w:color w:val="000000" w:themeColor="text1"/>
          <w:kern w:val="2"/>
          <w:sz w:val="21"/>
          <w:lang w:val="zh-CN"/>
          <w14:textFill>
            <w14:solidFill>
              <w14:schemeClr w14:val="tx1"/>
            </w14:solidFill>
          </w14:textFill>
        </w:rPr>
      </w:pPr>
      <w:r>
        <w:rPr>
          <w:rFonts w:hint="eastAsia"/>
          <w:color w:val="000000" w:themeColor="text1"/>
          <w:kern w:val="2"/>
          <w:sz w:val="21"/>
          <w:lang w:val="zh-CN"/>
          <w14:textFill>
            <w14:solidFill>
              <w14:schemeClr w14:val="tx1"/>
            </w14:solidFill>
          </w14:textFill>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14603CB2">
      <w:pPr>
        <w:pStyle w:val="21"/>
        <w:spacing w:after="0"/>
        <w:ind w:firstLine="420" w:firstLineChars="200"/>
        <w:rPr>
          <w:color w:val="000000" w:themeColor="text1"/>
          <w:kern w:val="2"/>
          <w:sz w:val="21"/>
          <w:lang w:val="zh-CN"/>
          <w14:textFill>
            <w14:solidFill>
              <w14:schemeClr w14:val="tx1"/>
            </w14:solidFill>
          </w14:textFill>
        </w:rPr>
      </w:pPr>
      <w:r>
        <w:rPr>
          <w:rFonts w:hint="eastAsia"/>
          <w:color w:val="000000" w:themeColor="text1"/>
          <w:kern w:val="2"/>
          <w:sz w:val="21"/>
          <w:lang w:val="zh-CN"/>
          <w14:textFill>
            <w14:solidFill>
              <w14:schemeClr w14:val="tx1"/>
            </w14:solidFill>
          </w14:textFill>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3524168D">
      <w:pPr>
        <w:pStyle w:val="21"/>
        <w:spacing w:after="0"/>
        <w:ind w:firstLine="420" w:firstLineChars="200"/>
        <w:rPr>
          <w:color w:val="000000" w:themeColor="text1"/>
          <w:kern w:val="2"/>
          <w:sz w:val="21"/>
          <w:lang w:val="zh-CN"/>
          <w14:textFill>
            <w14:solidFill>
              <w14:schemeClr w14:val="tx1"/>
            </w14:solidFill>
          </w14:textFill>
        </w:rPr>
      </w:pPr>
      <w:r>
        <w:rPr>
          <w:rFonts w:hint="eastAsia"/>
          <w:color w:val="000000" w:themeColor="text1"/>
          <w:kern w:val="2"/>
          <w:sz w:val="21"/>
          <w:lang w:val="zh-CN"/>
          <w14:textFill>
            <w14:solidFill>
              <w14:schemeClr w14:val="tx1"/>
            </w14:solidFill>
          </w14:textFill>
        </w:rPr>
        <w:t>3.4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6A2DD4C">
      <w:pPr>
        <w:pStyle w:val="21"/>
        <w:spacing w:after="0"/>
        <w:ind w:firstLine="420" w:firstLineChars="200"/>
        <w:rPr>
          <w:color w:val="000000" w:themeColor="text1"/>
          <w:kern w:val="2"/>
          <w:sz w:val="21"/>
          <w:lang w:val="zh-CN"/>
          <w14:textFill>
            <w14:solidFill>
              <w14:schemeClr w14:val="tx1"/>
            </w14:solidFill>
          </w14:textFill>
        </w:rPr>
      </w:pPr>
      <w:r>
        <w:rPr>
          <w:rFonts w:hint="eastAsia"/>
          <w:color w:val="000000" w:themeColor="text1"/>
          <w:kern w:val="2"/>
          <w:sz w:val="21"/>
          <w14:textFill>
            <w14:solidFill>
              <w14:schemeClr w14:val="tx1"/>
            </w14:solidFill>
          </w14:textFill>
        </w:rPr>
        <w:t>3.5</w:t>
      </w:r>
      <w:r>
        <w:rPr>
          <w:rFonts w:hint="eastAsia"/>
          <w:color w:val="000000" w:themeColor="text1"/>
          <w:kern w:val="2"/>
          <w:sz w:val="21"/>
          <w:lang w:val="zh-CN"/>
          <w14:textFill>
            <w14:solidFill>
              <w14:schemeClr w14:val="tx1"/>
            </w14:solidFill>
          </w14:textFill>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w:t>
      </w:r>
      <w:r>
        <w:rPr>
          <w:color w:val="000000" w:themeColor="text1"/>
          <w:kern w:val="2"/>
          <w:sz w:val="21"/>
          <w:lang w:val="zh-CN"/>
          <w14:textFill>
            <w14:solidFill>
              <w14:schemeClr w14:val="tx1"/>
            </w14:solidFill>
          </w14:textFill>
        </w:rPr>
        <w:t>于调整优化节能产品、环境标志产品政府采购执行机制的通知》（财库〔2019〕9号）</w:t>
      </w:r>
      <w:r>
        <w:rPr>
          <w:rFonts w:hint="eastAsia"/>
          <w:color w:val="000000" w:themeColor="text1"/>
          <w:kern w:val="2"/>
          <w:sz w:val="21"/>
          <w:lang w:val="zh-CN"/>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。如本项目采购产品属于实施政府强制采购品目清单范围的节能产品，则供应商所报产品必须获得国家确定的认证机构出具的、处于有效期之内的节能产品认证证书，否则响应无效，</w:t>
      </w:r>
    </w:p>
    <w:p w14:paraId="3D6F22C1">
      <w:pPr>
        <w:adjustRightInd w:val="0"/>
        <w:ind w:firstLine="420" w:firstLineChars="200"/>
        <w:rPr>
          <w:color w:val="000000" w:themeColor="text1"/>
          <w:kern w:val="2"/>
          <w:lang w:val="zh-CN"/>
          <w14:textFill>
            <w14:solidFill>
              <w14:schemeClr w14:val="tx1"/>
            </w14:solidFill>
          </w14:textFill>
        </w:rPr>
      </w:pPr>
      <w:r>
        <w:rPr>
          <w:rFonts w:hint="eastAsia"/>
          <w:color w:val="000000" w:themeColor="text1"/>
          <w:kern w:val="2"/>
          <w14:textFill>
            <w14:solidFill>
              <w14:schemeClr w14:val="tx1"/>
            </w14:solidFill>
          </w14:textFill>
        </w:rPr>
        <w:t>3.6</w:t>
      </w:r>
      <w:r>
        <w:rPr>
          <w:rFonts w:hint="eastAsia"/>
          <w:color w:val="000000" w:themeColor="text1"/>
          <w:kern w:val="2"/>
          <w:lang w:val="zh-CN"/>
          <w14:textFill>
            <w14:solidFill>
              <w14:schemeClr w14:val="tx1"/>
            </w14:solidFill>
          </w14:textFill>
        </w:rPr>
        <w:t>信息安全产品是指列入国家质检总局国家认监委《信息安全产品强制性认证目录》，并获得强制性产品认证证书的产品提供的产品属于信息安全产品的，供应商应当选择经国家认证的信息安全产品投标</w:t>
      </w:r>
    </w:p>
    <w:p w14:paraId="5080E275">
      <w:pPr>
        <w:adjustRightInd w:val="0"/>
        <w:ind w:firstLine="420" w:firstLineChars="200"/>
        <w:rPr>
          <w:bCs/>
          <w:color w:val="000000" w:themeColor="text1"/>
          <w:lang w:val="zh-CN"/>
          <w14:textFill>
            <w14:solidFill>
              <w14:schemeClr w14:val="tx1"/>
            </w14:solidFill>
          </w14:textFill>
        </w:rPr>
      </w:pPr>
      <w:r>
        <w:rPr>
          <w:rFonts w:hint="eastAsia"/>
          <w:color w:val="000000" w:themeColor="text1"/>
          <w:kern w:val="2"/>
          <w14:textFill>
            <w14:solidFill>
              <w14:schemeClr w14:val="tx1"/>
            </w14:solidFill>
          </w14:textFill>
        </w:rPr>
        <w:t>3.7</w:t>
      </w:r>
      <w:r>
        <w:rPr>
          <w:rFonts w:hint="eastAsia"/>
          <w:bCs/>
          <w:color w:val="000000" w:themeColor="text1"/>
          <w:lang w:val="zh-CN"/>
          <w14:textFill>
            <w14:solidFill>
              <w14:schemeClr w14:val="tx1"/>
            </w14:solidFill>
          </w14:textFill>
        </w:rPr>
        <w:t>政府采购中实施本国产品标准及相关政策</w:t>
      </w:r>
    </w:p>
    <w:p w14:paraId="2723017C">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w:t>
      </w:r>
      <w:r>
        <w:rPr>
          <w:rFonts w:hint="eastAsia"/>
          <w:bCs/>
          <w:color w:val="000000" w:themeColor="text1"/>
          <w14:textFill>
            <w14:solidFill>
              <w14:schemeClr w14:val="tx1"/>
            </w14:solidFill>
          </w14:textFill>
        </w:rPr>
        <w:t>1</w:t>
      </w:r>
      <w:r>
        <w:rPr>
          <w:rFonts w:hint="eastAsia"/>
          <w:bCs/>
          <w:color w:val="000000" w:themeColor="text1"/>
          <w:lang w:val="zh-CN"/>
          <w14:textFill>
            <w14:solidFill>
              <w14:schemeClr w14:val="tx1"/>
            </w14:solidFill>
          </w14:textFill>
        </w:rPr>
        <w:t>）本项目对采购本国产品给予政策支持，具体内容见招标文件</w:t>
      </w:r>
      <w:r>
        <w:rPr>
          <w:rFonts w:hint="eastAsia"/>
          <w:bCs/>
          <w:color w:val="000000" w:themeColor="text1"/>
          <w14:textFill>
            <w14:solidFill>
              <w14:schemeClr w14:val="tx1"/>
            </w14:solidFill>
          </w14:textFill>
        </w:rPr>
        <w:t>第三章</w:t>
      </w:r>
      <w:r>
        <w:rPr>
          <w:rFonts w:hint="eastAsia"/>
          <w:bCs/>
          <w:color w:val="000000" w:themeColor="text1"/>
          <w:lang w:val="zh-CN"/>
          <w14:textFill>
            <w14:solidFill>
              <w14:schemeClr w14:val="tx1"/>
            </w14:solidFill>
          </w14:textFill>
        </w:rPr>
        <w:t>。</w:t>
      </w:r>
    </w:p>
    <w:p w14:paraId="3CA71BF3">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w:t>
      </w:r>
      <w:r>
        <w:rPr>
          <w:rFonts w:hint="eastAsia"/>
          <w:bCs/>
          <w:color w:val="000000" w:themeColor="text1"/>
          <w14:textFill>
            <w14:solidFill>
              <w14:schemeClr w14:val="tx1"/>
            </w14:solidFill>
          </w14:textFill>
        </w:rPr>
        <w:t>2</w:t>
      </w:r>
      <w:r>
        <w:rPr>
          <w:rFonts w:hint="eastAsia"/>
          <w:bCs/>
          <w:color w:val="000000" w:themeColor="text1"/>
          <w:lang w:val="zh-CN"/>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22AE52">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w:t>
      </w:r>
      <w:r>
        <w:rPr>
          <w:rFonts w:hint="eastAsia"/>
          <w:bCs/>
          <w:color w:val="000000" w:themeColor="text1"/>
          <w14:textFill>
            <w14:solidFill>
              <w14:schemeClr w14:val="tx1"/>
            </w14:solidFill>
          </w14:textFill>
        </w:rPr>
        <w:t>3</w:t>
      </w:r>
      <w:r>
        <w:rPr>
          <w:rFonts w:hint="eastAsia"/>
          <w:bCs/>
          <w:color w:val="000000" w:themeColor="text1"/>
          <w:lang w:val="zh-CN"/>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4F0F0A">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14:textFill>
            <w14:solidFill>
              <w14:schemeClr w14:val="tx1"/>
            </w14:solidFill>
          </w14:textFill>
        </w:rPr>
        <w:t>3.9</w:t>
      </w:r>
      <w:r>
        <w:rPr>
          <w:rFonts w:hint="eastAsia"/>
          <w:bCs/>
          <w:color w:val="000000" w:themeColor="text1"/>
          <w:lang w:val="zh-CN"/>
          <w14:textFill>
            <w14:solidFill>
              <w14:schemeClr w14:val="tx1"/>
            </w14:solidFill>
          </w14:textFill>
        </w:rPr>
        <w:t>未按要求提供相关材料的，不享受相关政策。</w:t>
      </w:r>
    </w:p>
    <w:p w14:paraId="3BA1699A">
      <w:pPr>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二、招标文件</w:t>
      </w:r>
    </w:p>
    <w:p w14:paraId="73D5DF42">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4、招标文件组成</w:t>
      </w:r>
    </w:p>
    <w:p w14:paraId="39E741B1">
      <w:pPr>
        <w:adjustRightInd w:val="0"/>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50B9911B">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4.2 招标的最小单位是包。招标服务数量及技术要求中未分包的，供应商对要求提供的服务不得部分投标；招标服务数量及技术要求中已经分包的，应当以包为单位投标。</w:t>
      </w:r>
    </w:p>
    <w:p w14:paraId="5B7F102D">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4.3 招标文件如果要求供应商提交备选投标方案的，供应商可以提交备选方案；否则，备选方案将被拒绝。</w:t>
      </w:r>
    </w:p>
    <w:p w14:paraId="47550873">
      <w:pPr>
        <w:adjustRightInd w:val="0"/>
        <w:ind w:firstLine="422" w:firstLineChars="200"/>
        <w:rPr>
          <w:b/>
          <w:bCs/>
          <w:color w:val="000000" w:themeColor="text1"/>
          <w:lang w:val="zh-CN"/>
          <w14:textFill>
            <w14:solidFill>
              <w14:schemeClr w14:val="tx1"/>
            </w14:solidFill>
          </w14:textFill>
        </w:rPr>
      </w:pPr>
      <w:bookmarkStart w:id="35" w:name="_Toc8878"/>
      <w:r>
        <w:rPr>
          <w:rFonts w:hint="eastAsia"/>
          <w:b/>
          <w:bCs/>
          <w:color w:val="000000" w:themeColor="text1"/>
          <w:lang w:val="zh-CN"/>
          <w14:textFill>
            <w14:solidFill>
              <w14:schemeClr w14:val="tx1"/>
            </w14:solidFill>
          </w14:textFill>
        </w:rPr>
        <w:t>5、招标文件的澄清、修改</w:t>
      </w:r>
      <w:bookmarkEnd w:id="35"/>
    </w:p>
    <w:p w14:paraId="5747FD7D">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5.1 招标代理对已发出的招标文件进行必要澄清或者修改的，将在招标文件要求提交投标文件截止时间</w:t>
      </w:r>
      <w:r>
        <w:rPr>
          <w:rFonts w:hint="eastAsia"/>
          <w:b/>
          <w:bCs/>
          <w:iCs/>
          <w:color w:val="000000" w:themeColor="text1"/>
          <w:u w:val="single"/>
          <w:lang w:val="zh-CN"/>
          <w14:textFill>
            <w14:solidFill>
              <w14:schemeClr w14:val="tx1"/>
            </w14:solidFill>
          </w14:textFill>
        </w:rPr>
        <w:t>十五日</w:t>
      </w:r>
      <w:r>
        <w:rPr>
          <w:rFonts w:hint="eastAsia"/>
          <w:color w:val="000000" w:themeColor="text1"/>
          <w:lang w:val="zh-CN"/>
          <w14:textFill>
            <w14:solidFill>
              <w14:schemeClr w14:val="tx1"/>
            </w14:solidFill>
          </w14:textFill>
        </w:rPr>
        <w:t>前，在原招标公告媒体发布更正公告，该澄清或者修改的内容为招标文件的组成部分。</w:t>
      </w:r>
    </w:p>
    <w:p w14:paraId="693346C5">
      <w:pPr>
        <w:adjustRightInd w:val="0"/>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5.2 招标代理在招标文件要求提交投标文件截止时间前，有权决定延长投标截止时间和开标时间，并</w:t>
      </w:r>
      <w:r>
        <w:rPr>
          <w:rFonts w:hint="eastAsia"/>
          <w:color w:val="000000" w:themeColor="text1"/>
          <w14:textFill>
            <w14:solidFill>
              <w14:schemeClr w14:val="tx1"/>
            </w14:solidFill>
          </w14:textFill>
        </w:rPr>
        <w:t>在原采购信息发布媒体上发布变更公告。</w:t>
      </w:r>
    </w:p>
    <w:p w14:paraId="54EE1DFC">
      <w:pPr>
        <w:adjustRightInd w:val="0"/>
        <w:ind w:firstLine="420" w:firstLineChars="20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5</w:t>
      </w:r>
      <w:r>
        <w:rPr>
          <w:rFonts w:hint="eastAsia"/>
          <w:color w:val="000000" w:themeColor="text1"/>
          <w:lang w:val="zh-CN"/>
          <w14:textFill>
            <w14:solidFill>
              <w14:schemeClr w14:val="tx1"/>
            </w14:solidFill>
          </w14:textFill>
        </w:rPr>
        <w:t>.3 供应商应在投标截止时间前关注</w:t>
      </w:r>
      <w:r>
        <w:rPr>
          <w:rFonts w:hint="eastAsia"/>
          <w:color w:val="000000" w:themeColor="text1"/>
          <w14:textFill>
            <w14:solidFill>
              <w14:schemeClr w14:val="tx1"/>
            </w14:solidFill>
          </w14:textFill>
        </w:rPr>
        <w:t>原采购信息发布媒体上</w:t>
      </w:r>
      <w:r>
        <w:rPr>
          <w:rFonts w:hint="eastAsia"/>
          <w:color w:val="000000" w:themeColor="text1"/>
          <w:lang w:val="zh-CN"/>
          <w14:textFill>
            <w14:solidFill>
              <w14:schemeClr w14:val="tx1"/>
            </w14:solidFill>
          </w14:textFill>
        </w:rPr>
        <w:t>有关本招标项目有无变更公告。</w:t>
      </w:r>
    </w:p>
    <w:p w14:paraId="3DBDB599">
      <w:pPr>
        <w:adjustRightInd w:val="0"/>
        <w:ind w:firstLine="422" w:firstLineChars="200"/>
        <w:rPr>
          <w:b/>
          <w:bCs/>
          <w:color w:val="000000" w:themeColor="text1"/>
          <w:lang w:val="zh-CN"/>
          <w14:textFill>
            <w14:solidFill>
              <w14:schemeClr w14:val="tx1"/>
            </w14:solidFill>
          </w14:textFill>
        </w:rPr>
      </w:pPr>
      <w:bookmarkStart w:id="36" w:name="_Toc6276"/>
      <w:r>
        <w:rPr>
          <w:rFonts w:hint="eastAsia"/>
          <w:b/>
          <w:bCs/>
          <w:color w:val="000000" w:themeColor="text1"/>
          <w:lang w:val="zh-CN"/>
          <w14:textFill>
            <w14:solidFill>
              <w14:schemeClr w14:val="tx1"/>
            </w14:solidFill>
          </w14:textFill>
        </w:rPr>
        <w:t>三、投标</w:t>
      </w:r>
      <w:bookmarkEnd w:id="36"/>
    </w:p>
    <w:p w14:paraId="37FD5B5B">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6、投标文件的语言、计量单位、货币和编制</w:t>
      </w:r>
    </w:p>
    <w:p w14:paraId="4C584427">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p>
    <w:p w14:paraId="60BCA7DA">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6.2 供应商所使用的计量单位应为国家法定计量单位。</w:t>
      </w:r>
    </w:p>
    <w:p w14:paraId="0B0CA857">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6.3 供应商应用人民币报价。</w:t>
      </w:r>
    </w:p>
    <w:p w14:paraId="1783C5CE">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6.4 投标文件应字迹清楚、内容齐全、不得涂改。如有修改，修改处须有供应商公章和法定代表人或其授权的供应商代表签字。</w:t>
      </w:r>
    </w:p>
    <w:p w14:paraId="54E69170">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6.5 投标文件应按照招标文件规定的顺序，统一用A4规格幅面打印、装订成册并编制目录，由于编排混乱导致投标文件被误读或查找不到，责任由供应商承担。</w:t>
      </w:r>
    </w:p>
    <w:p w14:paraId="4C5131C3">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6.6 投标文件应逐页编码，不得跳页（包括但不限于证明材料、声明及产品介绍、彩页等）。</w:t>
      </w:r>
    </w:p>
    <w:p w14:paraId="00FFE79D">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6.7 供应商应在投标文件中写清相应的项目编号、项目名称、供应商全称、地址、电话、传真等。</w:t>
      </w:r>
    </w:p>
    <w:p w14:paraId="0B94EA0F">
      <w:pPr>
        <w:adjustRightInd w:val="0"/>
        <w:ind w:firstLine="420" w:firstLineChars="200"/>
        <w:rPr>
          <w:b/>
          <w:bCs/>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7</w:t>
      </w:r>
      <w:r>
        <w:rPr>
          <w:rFonts w:hint="eastAsia"/>
          <w:b/>
          <w:bCs/>
          <w:color w:val="000000" w:themeColor="text1"/>
          <w:lang w:val="zh-CN"/>
          <w14:textFill>
            <w14:solidFill>
              <w14:schemeClr w14:val="tx1"/>
            </w14:solidFill>
          </w14:textFill>
        </w:rPr>
        <w:t>、联合投标</w:t>
      </w:r>
    </w:p>
    <w:p w14:paraId="22D9D0B3">
      <w:pPr>
        <w:adjustRightInd w:val="0"/>
        <w:ind w:firstLine="420" w:firstLineChars="200"/>
        <w:rPr>
          <w:bCs/>
          <w:color w:val="000000" w:themeColor="text1"/>
          <w14:textFill>
            <w14:solidFill>
              <w14:schemeClr w14:val="tx1"/>
            </w14:solidFill>
          </w14:textFill>
        </w:rPr>
      </w:pPr>
      <w:bookmarkStart w:id="37" w:name="_Toc26335"/>
      <w:r>
        <w:rPr>
          <w:rFonts w:hint="eastAsia"/>
          <w:bCs/>
          <w:color w:val="000000" w:themeColor="text1"/>
          <w14:textFill>
            <w14:solidFill>
              <w14:schemeClr w14:val="tx1"/>
            </w14:solidFill>
          </w14:textFill>
        </w:rPr>
        <w:t>本次招标不接受联合体投标。</w:t>
      </w:r>
      <w:bookmarkEnd w:id="37"/>
    </w:p>
    <w:p w14:paraId="3FA0E13F">
      <w:pPr>
        <w:adjustRightInd w:val="0"/>
        <w:ind w:firstLine="422" w:firstLineChars="200"/>
        <w:rPr>
          <w:b/>
          <w:bCs/>
          <w:color w:val="000000" w:themeColor="text1"/>
          <w:lang w:val="zh-CN"/>
          <w14:textFill>
            <w14:solidFill>
              <w14:schemeClr w14:val="tx1"/>
            </w14:solidFill>
          </w14:textFill>
        </w:rPr>
      </w:pPr>
      <w:bookmarkStart w:id="38" w:name="_Toc18978"/>
      <w:r>
        <w:rPr>
          <w:rFonts w:hint="eastAsia"/>
          <w:b/>
          <w:bCs/>
          <w:color w:val="000000" w:themeColor="text1"/>
          <w:lang w:val="zh-CN"/>
          <w14:textFill>
            <w14:solidFill>
              <w14:schemeClr w14:val="tx1"/>
            </w14:solidFill>
          </w14:textFill>
        </w:rPr>
        <w:t>8、投标费用</w:t>
      </w:r>
      <w:bookmarkEnd w:id="38"/>
    </w:p>
    <w:p w14:paraId="32C98AED">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8.1 供应商应自行承担所有与准备和参加投标有关的费用。</w:t>
      </w:r>
    </w:p>
    <w:p w14:paraId="54602CBD">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8.2本项目的</w:t>
      </w:r>
      <w:r>
        <w:rPr>
          <w:rFonts w:hint="eastAsia"/>
          <w:color w:val="000000" w:themeColor="text1"/>
          <w14:textFill>
            <w14:solidFill>
              <w14:schemeClr w14:val="tx1"/>
            </w14:solidFill>
          </w14:textFill>
        </w:rPr>
        <w:t>中标</w:t>
      </w:r>
      <w:r>
        <w:rPr>
          <w:rFonts w:hint="eastAsia"/>
          <w:color w:val="000000" w:themeColor="text1"/>
          <w:lang w:val="zh-CN"/>
          <w14:textFill>
            <w14:solidFill>
              <w14:schemeClr w14:val="tx1"/>
            </w14:solidFill>
          </w14:textFill>
        </w:rPr>
        <w:t>供应商须在领取</w:t>
      </w:r>
      <w:r>
        <w:rPr>
          <w:rFonts w:hint="eastAsia"/>
          <w:color w:val="000000" w:themeColor="text1"/>
          <w14:textFill>
            <w14:solidFill>
              <w14:schemeClr w14:val="tx1"/>
            </w14:solidFill>
          </w14:textFill>
        </w:rPr>
        <w:t>中标</w:t>
      </w:r>
      <w:r>
        <w:rPr>
          <w:rFonts w:hint="eastAsia"/>
          <w:color w:val="000000" w:themeColor="text1"/>
          <w:lang w:val="zh-CN"/>
          <w14:textFill>
            <w14:solidFill>
              <w14:schemeClr w14:val="tx1"/>
            </w14:solidFill>
          </w14:textFill>
        </w:rPr>
        <w:t>通知书时向采购代理机构一次性缴纳采购代理服务费。</w:t>
      </w:r>
    </w:p>
    <w:p w14:paraId="3F2FADFF">
      <w:pPr>
        <w:adjustRightInd w:val="0"/>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8.3</w:t>
      </w:r>
      <w:r>
        <w:rPr>
          <w:rFonts w:hint="eastAsia" w:asciiTheme="minorEastAsia" w:hAnsiTheme="minorEastAsia" w:eastAsiaTheme="minorEastAsia"/>
          <w:color w:val="000000" w:themeColor="text1"/>
          <w:lang w:val="zh-CN"/>
          <w14:textFill>
            <w14:solidFill>
              <w14:schemeClr w14:val="tx1"/>
            </w14:solidFill>
          </w14:textFill>
        </w:rPr>
        <w:t>采购代理服务费以</w:t>
      </w:r>
      <w:r>
        <w:rPr>
          <w:rFonts w:hint="eastAsia" w:asciiTheme="minorEastAsia" w:hAnsiTheme="minorEastAsia" w:eastAsiaTheme="minorEastAsia"/>
          <w:color w:val="000000" w:themeColor="text1"/>
          <w14:textFill>
            <w14:solidFill>
              <w14:schemeClr w14:val="tx1"/>
            </w14:solidFill>
          </w14:textFill>
        </w:rPr>
        <w:t>中标</w:t>
      </w:r>
      <w:r>
        <w:rPr>
          <w:rFonts w:hint="eastAsia" w:asciiTheme="minorEastAsia" w:hAnsiTheme="minorEastAsia" w:eastAsiaTheme="minorEastAsia"/>
          <w:color w:val="000000" w:themeColor="text1"/>
          <w:lang w:val="zh-CN"/>
          <w14:textFill>
            <w14:solidFill>
              <w14:schemeClr w14:val="tx1"/>
            </w14:solidFill>
          </w14:textFill>
        </w:rPr>
        <w:t>通知书的</w:t>
      </w:r>
      <w:r>
        <w:rPr>
          <w:rFonts w:hint="eastAsia" w:asciiTheme="minorEastAsia" w:hAnsiTheme="minorEastAsia" w:eastAsiaTheme="minorEastAsia"/>
          <w:color w:val="000000" w:themeColor="text1"/>
          <w14:textFill>
            <w14:solidFill>
              <w14:schemeClr w14:val="tx1"/>
            </w14:solidFill>
          </w14:textFill>
        </w:rPr>
        <w:t>中标</w:t>
      </w:r>
      <w:r>
        <w:rPr>
          <w:rFonts w:hint="eastAsia" w:asciiTheme="minorEastAsia" w:hAnsiTheme="minorEastAsia" w:eastAsiaTheme="minorEastAsia"/>
          <w:color w:val="000000" w:themeColor="text1"/>
          <w:lang w:val="zh-CN"/>
          <w14:textFill>
            <w14:solidFill>
              <w14:schemeClr w14:val="tx1"/>
            </w14:solidFill>
          </w14:textFill>
        </w:rPr>
        <w:t>金额作为收取的计算基数，参照《招标代理服务收费管理暂行办法》（计价格[2002]1980号）文件规定的</w:t>
      </w:r>
      <w:r>
        <w:rPr>
          <w:rFonts w:hint="eastAsia" w:asciiTheme="minorEastAsia" w:hAnsiTheme="minorEastAsia" w:eastAsiaTheme="minorEastAsia"/>
          <w:color w:val="000000" w:themeColor="text1"/>
          <w14:textFill>
            <w14:solidFill>
              <w14:schemeClr w14:val="tx1"/>
            </w14:solidFill>
          </w14:textFill>
        </w:rPr>
        <w:t>44</w:t>
      </w:r>
      <w:r>
        <w:rPr>
          <w:rFonts w:hint="eastAsia" w:asciiTheme="minorEastAsia" w:hAnsiTheme="minorEastAsia" w:eastAsiaTheme="minorEastAsia"/>
          <w:color w:val="000000" w:themeColor="text1"/>
          <w:lang w:val="zh-CN"/>
          <w14:textFill>
            <w14:solidFill>
              <w14:schemeClr w14:val="tx1"/>
            </w14:solidFill>
          </w14:textFill>
        </w:rPr>
        <w:t>%收取。该项费用请投标人综合考虑在投标报价中，后期采购人不单独列支。</w:t>
      </w:r>
    </w:p>
    <w:p w14:paraId="0D21692F">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9、投标文件组成</w:t>
      </w:r>
    </w:p>
    <w:p w14:paraId="1F9D7A08">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9.1 </w:t>
      </w:r>
      <w:r>
        <w:rPr>
          <w:rFonts w:hint="eastAsia"/>
          <w:color w:val="000000" w:themeColor="text1"/>
          <w14:textFill>
            <w14:solidFill>
              <w14:schemeClr w14:val="tx1"/>
            </w14:solidFill>
          </w14:textFill>
        </w:rPr>
        <w:t>供应商应当根据招标文件要求编制投标文件，投标文件应对招标文件提出的要求和条件作出实质性响应，并在</w:t>
      </w:r>
      <w:r>
        <w:rPr>
          <w:rFonts w:hint="eastAsia"/>
          <w:color w:val="000000" w:themeColor="text1"/>
          <w:lang w:val="zh-CN"/>
          <w14:textFill>
            <w14:solidFill>
              <w14:schemeClr w14:val="tx1"/>
            </w14:solidFill>
          </w14:textFill>
        </w:rPr>
        <w:t>《商务条款偏离表》和《技术条款偏离表》、《资格性</w:t>
      </w:r>
      <w:r>
        <w:rPr>
          <w:rFonts w:hint="eastAsia"/>
          <w:color w:val="000000" w:themeColor="text1"/>
          <w14:textFill>
            <w14:solidFill>
              <w14:schemeClr w14:val="tx1"/>
            </w14:solidFill>
          </w14:textFill>
        </w:rPr>
        <w:t>审</w:t>
      </w:r>
      <w:r>
        <w:rPr>
          <w:rFonts w:hint="eastAsia"/>
          <w:color w:val="000000" w:themeColor="text1"/>
          <w:lang w:val="zh-CN"/>
          <w14:textFill>
            <w14:solidFill>
              <w14:schemeClr w14:val="tx1"/>
            </w14:solidFill>
          </w14:textFill>
        </w:rPr>
        <w:t>查响应对照表》等处</w:t>
      </w:r>
      <w:r>
        <w:rPr>
          <w:rFonts w:hint="eastAsia"/>
          <w:color w:val="000000" w:themeColor="text1"/>
          <w14:textFill>
            <w14:solidFill>
              <w14:schemeClr w14:val="tx1"/>
            </w14:solidFill>
          </w14:textFill>
        </w:rPr>
        <w:t>逐条标明满足与否。</w:t>
      </w:r>
    </w:p>
    <w:p w14:paraId="5E443251">
      <w:pPr>
        <w:ind w:firstLine="420" w:firstLineChars="200"/>
        <w:rPr>
          <w:b/>
          <w:color w:val="000000" w:themeColor="text1"/>
          <w14:textFill>
            <w14:solidFill>
              <w14:schemeClr w14:val="tx1"/>
            </w14:solidFill>
          </w14:textFill>
        </w:rPr>
      </w:pPr>
      <w:r>
        <w:rPr>
          <w:rFonts w:hint="eastAsia"/>
          <w:color w:val="000000" w:themeColor="text1"/>
          <w:lang w:val="zh-CN"/>
          <w14:textFill>
            <w14:solidFill>
              <w14:schemeClr w14:val="tx1"/>
            </w14:solidFill>
          </w14:textFill>
        </w:rPr>
        <w:t>9.2 供应商根据招标文件载明的标的采购项目实际情况，拟在中标后将中标项目的非主体、非关键性工作交由他人完成的，应当在投标文件中载明。</w:t>
      </w:r>
    </w:p>
    <w:p w14:paraId="08113064">
      <w:pPr>
        <w:adjustRightInd w:val="0"/>
        <w:ind w:firstLine="420" w:firstLineChars="20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9</w:t>
      </w:r>
      <w:r>
        <w:rPr>
          <w:rFonts w:hint="eastAsia"/>
          <w:color w:val="000000" w:themeColor="text1"/>
          <w:lang w:val="zh-CN"/>
          <w14:textFill>
            <w14:solidFill>
              <w14:schemeClr w14:val="tx1"/>
            </w14:solidFill>
          </w14:textFill>
        </w:rPr>
        <w:t>.3 投标文件由商务部分、技术部分、价格部分，以及其他部分组成。</w:t>
      </w:r>
    </w:p>
    <w:p w14:paraId="5C527116">
      <w:pPr>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10、投标文件的商务部分</w:t>
      </w:r>
    </w:p>
    <w:p w14:paraId="7CB7BCE0">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10.1 商务部分是证明供应商有资格参加投标和中标后有能力履行合同的文件，</w:t>
      </w:r>
      <w:r>
        <w:rPr>
          <w:rFonts w:hint="eastAsia"/>
          <w:color w:val="000000" w:themeColor="text1"/>
          <w14:textFill>
            <w14:solidFill>
              <w14:schemeClr w14:val="tx1"/>
            </w14:solidFill>
          </w14:textFill>
        </w:rPr>
        <w:t>这些文件应能满足招标的要求</w:t>
      </w:r>
      <w:r>
        <w:rPr>
          <w:rFonts w:hint="eastAsia"/>
          <w:color w:val="000000" w:themeColor="text1"/>
          <w:lang w:val="zh-CN"/>
          <w14:textFill>
            <w14:solidFill>
              <w14:schemeClr w14:val="tx1"/>
            </w14:solidFill>
          </w14:textFill>
        </w:rPr>
        <w:t>，包括但不限于下列文件，其中加</w:t>
      </w:r>
      <w:r>
        <w:rPr>
          <w:rFonts w:hint="eastAsia"/>
          <w:b/>
          <w:color w:val="000000" w:themeColor="text1"/>
          <w14:textFill>
            <w14:solidFill>
              <w14:schemeClr w14:val="tx1"/>
            </w14:solidFill>
          </w14:textFill>
        </w:rPr>
        <w:t>“★”</w:t>
      </w:r>
      <w:r>
        <w:rPr>
          <w:rFonts w:hint="eastAsia"/>
          <w:color w:val="000000" w:themeColor="text1"/>
          <w:lang w:val="zh-CN"/>
          <w14:textFill>
            <w14:solidFill>
              <w14:schemeClr w14:val="tx1"/>
            </w14:solidFill>
          </w14:textFill>
        </w:rPr>
        <w:t>项目不得有缺失或无效。</w:t>
      </w:r>
    </w:p>
    <w:p w14:paraId="6C566A05">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投标函（投标申请及声明）；</w:t>
      </w:r>
    </w:p>
    <w:p w14:paraId="54D82AC2">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法定代表人授权委托书及委托代理人的身份证复印件； </w:t>
      </w:r>
    </w:p>
    <w:p w14:paraId="09867A9F">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第一章投标邀请中</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《中华人民共和国政府采购法》规定的资格条件证明文件； </w:t>
      </w:r>
    </w:p>
    <w:p w14:paraId="43746F90">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第一章投标邀请中</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采购人根据采购项目的特殊要求规定的特定条件证明文件</w:t>
      </w:r>
      <w:r>
        <w:rPr>
          <w:rFonts w:hint="eastAsia"/>
          <w:color w:val="000000" w:themeColor="text1"/>
          <w14:textFill>
            <w14:solidFill>
              <w14:schemeClr w14:val="tx1"/>
            </w14:solidFill>
          </w14:textFill>
        </w:rPr>
        <w:t>（若有）</w:t>
      </w:r>
      <w:r>
        <w:rPr>
          <w:color w:val="000000" w:themeColor="text1"/>
          <w14:textFill>
            <w14:solidFill>
              <w14:schemeClr w14:val="tx1"/>
            </w14:solidFill>
          </w14:textFill>
        </w:rPr>
        <w:t xml:space="preserve">； </w:t>
      </w:r>
    </w:p>
    <w:p w14:paraId="0FF2A5DA">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开标一览表；</w:t>
      </w:r>
    </w:p>
    <w:p w14:paraId="35AF3F80">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t xml:space="preserve">）《商务条款偏离表》； </w:t>
      </w:r>
    </w:p>
    <w:p w14:paraId="5F6110B8">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7</w:t>
      </w:r>
      <w:r>
        <w:rPr>
          <w:color w:val="000000" w:themeColor="text1"/>
          <w14:textFill>
            <w14:solidFill>
              <w14:schemeClr w14:val="tx1"/>
            </w14:solidFill>
          </w14:textFill>
        </w:rPr>
        <w:t>）供应商认为需要提供的其他资格证明文件和商务资料。</w:t>
      </w:r>
    </w:p>
    <w:p w14:paraId="4434CFD6">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11、投标文件的技术部分</w:t>
      </w:r>
    </w:p>
    <w:p w14:paraId="3C658592">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11.1 技术部分是证明</w:t>
      </w:r>
      <w:r>
        <w:rPr>
          <w:rFonts w:hint="eastAsia"/>
          <w:color w:val="000000" w:themeColor="text1"/>
          <w14:textFill>
            <w14:solidFill>
              <w14:schemeClr w14:val="tx1"/>
            </w14:solidFill>
          </w14:textFill>
        </w:rPr>
        <w:t>供应商提供的产品和服务是合格的、并符合招标文件要求的证明文件，以及</w:t>
      </w:r>
      <w:r>
        <w:rPr>
          <w:rFonts w:hint="eastAsia"/>
          <w:color w:val="000000" w:themeColor="text1"/>
          <w:lang w:val="zh-CN"/>
          <w14:textFill>
            <w14:solidFill>
              <w14:schemeClr w14:val="tx1"/>
            </w14:solidFill>
          </w14:textFill>
        </w:rPr>
        <w:t>对投标报价表中的服务的详细说明，这些文件可以是文字资料、图纸和数据等。</w:t>
      </w:r>
    </w:p>
    <w:p w14:paraId="51A8E011">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11.2 若技术性能无特殊说明，则按国家有关部门最新颁布的标准及规范为准；</w:t>
      </w:r>
    </w:p>
    <w:p w14:paraId="79E694E8">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11.3 提供的服务如与招标文件要求有不符之处，应说明其差别之所在，并在《技术条款偏离表》中逐条予以说明。</w:t>
      </w:r>
    </w:p>
    <w:p w14:paraId="6F44D757">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11.4 投标文件应按照招标文件要求提供技术资料、文件和有关证明，包括但不限于其中加</w:t>
      </w:r>
      <w:r>
        <w:rPr>
          <w:rFonts w:hint="eastAsia"/>
          <w:b/>
          <w:color w:val="000000" w:themeColor="text1"/>
          <w14:textFill>
            <w14:solidFill>
              <w14:schemeClr w14:val="tx1"/>
            </w14:solidFill>
          </w14:textFill>
        </w:rPr>
        <w:t>“★”</w:t>
      </w:r>
      <w:r>
        <w:rPr>
          <w:rFonts w:hint="eastAsia"/>
          <w:color w:val="000000" w:themeColor="text1"/>
          <w:lang w:val="zh-CN"/>
          <w14:textFill>
            <w14:solidFill>
              <w14:schemeClr w14:val="tx1"/>
            </w14:solidFill>
          </w14:textFill>
        </w:rPr>
        <w:t>项目不得有缺失或无效：</w:t>
      </w:r>
    </w:p>
    <w:p w14:paraId="7C304238">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（1）技术说明或服务方案；</w:t>
      </w:r>
    </w:p>
    <w:p w14:paraId="630DE937">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 xml:space="preserve">（2）《技术条款偏离表》； </w:t>
      </w:r>
    </w:p>
    <w:p w14:paraId="4C58DAB9">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 xml:space="preserve">（3）服务承诺； </w:t>
      </w:r>
    </w:p>
    <w:p w14:paraId="2192A7B2">
      <w:pPr>
        <w:adjustRightInd w:val="0"/>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 xml:space="preserve">（4）投标人拟投入本项目的设备、人员情况一览表； </w:t>
      </w:r>
    </w:p>
    <w:p w14:paraId="730D20F8">
      <w:pPr>
        <w:adjustRightInd w:val="0"/>
        <w:ind w:firstLine="420" w:firstLineChars="200"/>
        <w:rPr>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（5）供应商认为需要提供的其他技术资料。</w:t>
      </w:r>
    </w:p>
    <w:p w14:paraId="36D5CD44">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12、投标文件的价格部分</w:t>
      </w:r>
    </w:p>
    <w:p w14:paraId="3B14DA08">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12.1价格部分是对投标服务价格构成的说明，每一项服务仅接受一个价格。</w:t>
      </w:r>
    </w:p>
    <w:p w14:paraId="3D8AD605">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12.2报价应包含完成本服务项目发生的所有含税费用、支付给员工的工资和国家强制缴纳的各种社会保障资金，以及供应商认为需要的其他费用等。</w:t>
      </w:r>
    </w:p>
    <w:p w14:paraId="5B1CA64D">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12.3供应商的任何错漏、优惠、竞争性报价不得作为减轻责任、减少服务、增加收费、降低质量的理由。</w:t>
      </w:r>
    </w:p>
    <w:p w14:paraId="23326448">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12.4供应商应在《开标一览表》、《分项报价</w:t>
      </w:r>
      <w:r>
        <w:rPr>
          <w:rFonts w:hint="eastAsia"/>
          <w:color w:val="000000" w:themeColor="text1"/>
          <w14:textFill>
            <w14:solidFill>
              <w14:schemeClr w14:val="tx1"/>
            </w14:solidFill>
          </w14:textFill>
        </w:rPr>
        <w:t>表</w:t>
      </w:r>
      <w:r>
        <w:rPr>
          <w:rFonts w:hint="eastAsia"/>
          <w:color w:val="000000" w:themeColor="text1"/>
          <w:lang w:val="zh-CN"/>
          <w14:textFill>
            <w14:solidFill>
              <w14:schemeClr w14:val="tx1"/>
            </w14:solidFill>
          </w14:textFill>
        </w:rPr>
        <w:t>》等标明提供服务的单价、总价以及分项报价。供应商系小企业（含小型、微型企业），并由本企业提供服务，须在《开标一览表》、《分项报价</w:t>
      </w:r>
      <w:r>
        <w:rPr>
          <w:rFonts w:hint="eastAsia"/>
          <w:color w:val="000000" w:themeColor="text1"/>
          <w14:textFill>
            <w14:solidFill>
              <w14:schemeClr w14:val="tx1"/>
            </w14:solidFill>
          </w14:textFill>
        </w:rPr>
        <w:t>表</w:t>
      </w:r>
      <w:r>
        <w:rPr>
          <w:rFonts w:hint="eastAsia"/>
          <w:color w:val="000000" w:themeColor="text1"/>
          <w:lang w:val="zh-CN"/>
          <w14:textFill>
            <w14:solidFill>
              <w14:schemeClr w14:val="tx1"/>
            </w14:solidFill>
          </w14:textFill>
        </w:rPr>
        <w:t>》中注明,供应商应当如实申报,否则评标委员会有权取消其小微企业优惠政策。</w:t>
      </w:r>
    </w:p>
    <w:p w14:paraId="708D9D4A">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12.5 </w:t>
      </w:r>
      <w:r>
        <w:rPr>
          <w:rFonts w:hint="eastAsia"/>
          <w:color w:val="000000" w:themeColor="text1"/>
          <w:lang w:val="zh-CN"/>
          <w14:textFill>
            <w14:solidFill>
              <w14:schemeClr w14:val="tx1"/>
            </w14:solidFill>
          </w14:textFill>
        </w:rPr>
        <w:t>评审中出现下列情形之一的，评审委员会应当启动异常低价投标（响应）审查程序：</w:t>
      </w:r>
    </w:p>
    <w:p w14:paraId="1BEEEF5B">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（1）投标（响应）报价低于全部通过符合性审查供应商投标（响应）报价平均值</w:t>
      </w:r>
      <w:r>
        <w:rPr>
          <w:rFonts w:hint="eastAsia"/>
          <w:color w:val="000000" w:themeColor="text1"/>
          <w14:textFill>
            <w14:solidFill>
              <w14:schemeClr w14:val="tx1"/>
            </w14:solidFill>
          </w14:textFill>
        </w:rPr>
        <w:t>50</w:t>
      </w:r>
      <w:r>
        <w:rPr>
          <w:rFonts w:hint="eastAsia"/>
          <w:color w:val="000000" w:themeColor="text1"/>
          <w:lang w:val="zh-CN"/>
          <w14:textFill>
            <w14:solidFill>
              <w14:schemeClr w14:val="tx1"/>
            </w14:solidFill>
          </w14:textFill>
        </w:rPr>
        <w:t>%的，即投标（响应）报价&lt;全部通过符合性审查供应商投标（响应）报价平均值×</w:t>
      </w:r>
      <w:r>
        <w:rPr>
          <w:rFonts w:hint="eastAsia"/>
          <w:color w:val="000000" w:themeColor="text1"/>
          <w14:textFill>
            <w14:solidFill>
              <w14:schemeClr w14:val="tx1"/>
            </w14:solidFill>
          </w14:textFill>
        </w:rPr>
        <w:t>50</w:t>
      </w:r>
      <w:r>
        <w:rPr>
          <w:rFonts w:hint="eastAsia"/>
          <w:color w:val="000000" w:themeColor="text1"/>
          <w:lang w:val="zh-CN"/>
          <w14:textFill>
            <w14:solidFill>
              <w14:schemeClr w14:val="tx1"/>
            </w14:solidFill>
          </w14:textFill>
        </w:rPr>
        <w:t>%；</w:t>
      </w:r>
    </w:p>
    <w:p w14:paraId="785A4D86">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（2）投标（响应）报价低于通过符合性审查的次低报价供应商投标（响应）报价</w:t>
      </w:r>
      <w:r>
        <w:rPr>
          <w:rFonts w:hint="eastAsia"/>
          <w:color w:val="000000" w:themeColor="text1"/>
          <w14:textFill>
            <w14:solidFill>
              <w14:schemeClr w14:val="tx1"/>
            </w14:solidFill>
          </w14:textFill>
        </w:rPr>
        <w:t>50</w:t>
      </w:r>
      <w:r>
        <w:rPr>
          <w:rFonts w:hint="eastAsia"/>
          <w:color w:val="000000" w:themeColor="text1"/>
          <w:lang w:val="zh-CN"/>
          <w14:textFill>
            <w14:solidFill>
              <w14:schemeClr w14:val="tx1"/>
            </w14:solidFill>
          </w14:textFill>
        </w:rPr>
        <w:t>%的，即投标（响应）报价&lt;通过符合性审查的次低报价供应商投标（响应）报价×</w:t>
      </w:r>
      <w:r>
        <w:rPr>
          <w:rFonts w:hint="eastAsia"/>
          <w:color w:val="000000" w:themeColor="text1"/>
          <w14:textFill>
            <w14:solidFill>
              <w14:schemeClr w14:val="tx1"/>
            </w14:solidFill>
          </w14:textFill>
        </w:rPr>
        <w:t>50</w:t>
      </w:r>
      <w:r>
        <w:rPr>
          <w:rFonts w:hint="eastAsia"/>
          <w:color w:val="000000" w:themeColor="text1"/>
          <w:lang w:val="zh-CN"/>
          <w14:textFill>
            <w14:solidFill>
              <w14:schemeClr w14:val="tx1"/>
            </w14:solidFill>
          </w14:textFill>
        </w:rPr>
        <w:t>%；</w:t>
      </w:r>
    </w:p>
    <w:p w14:paraId="3C083482">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（3）投标（响应）报价低于采购项目最高限价</w:t>
      </w:r>
      <w:r>
        <w:rPr>
          <w:rFonts w:hint="eastAsia"/>
          <w:color w:val="000000" w:themeColor="text1"/>
          <w14:textFill>
            <w14:solidFill>
              <w14:schemeClr w14:val="tx1"/>
            </w14:solidFill>
          </w14:textFill>
        </w:rPr>
        <w:t>45</w:t>
      </w:r>
      <w:r>
        <w:rPr>
          <w:rFonts w:hint="eastAsia"/>
          <w:color w:val="000000" w:themeColor="text1"/>
          <w:lang w:val="zh-CN"/>
          <w14:textFill>
            <w14:solidFill>
              <w14:schemeClr w14:val="tx1"/>
            </w14:solidFill>
          </w14:textFill>
        </w:rPr>
        <w:t>%的，即投标（响应）报价&lt;采购项目最高限价×</w:t>
      </w:r>
      <w:r>
        <w:rPr>
          <w:rFonts w:hint="eastAsia"/>
          <w:color w:val="000000" w:themeColor="text1"/>
          <w14:textFill>
            <w14:solidFill>
              <w14:schemeClr w14:val="tx1"/>
            </w14:solidFill>
          </w14:textFill>
        </w:rPr>
        <w:t>45</w:t>
      </w:r>
      <w:r>
        <w:rPr>
          <w:rFonts w:hint="eastAsia"/>
          <w:color w:val="000000" w:themeColor="text1"/>
          <w:lang w:val="zh-CN"/>
          <w14:textFill>
            <w14:solidFill>
              <w14:schemeClr w14:val="tx1"/>
            </w14:solidFill>
          </w14:textFill>
        </w:rPr>
        <w:t>%；</w:t>
      </w:r>
    </w:p>
    <w:p w14:paraId="52653C83">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（4）评审委员会基于专业判断，认为供应商报价过低，有可能影响产品质量或者不能诚信履约的其他情形。</w:t>
      </w:r>
    </w:p>
    <w:p w14:paraId="47EA345E">
      <w:pPr>
        <w:pStyle w:val="26"/>
        <w:spacing w:line="320" w:lineRule="atLeast"/>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相关法律法规对供应商报价有规定的，从其规定。</w:t>
      </w:r>
    </w:p>
    <w:p w14:paraId="0BDB2F48">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w:t>
      </w:r>
      <w:r>
        <w:rPr>
          <w:rFonts w:hint="eastAsia"/>
          <w:color w:val="000000" w:themeColor="text1"/>
          <w14:textFill>
            <w14:solidFill>
              <w14:schemeClr w14:val="tx1"/>
            </w14:solidFill>
          </w14:textFill>
        </w:rPr>
        <w:t>2</w:t>
      </w:r>
      <w:r>
        <w:rPr>
          <w:rFonts w:hint="eastAsia"/>
          <w:color w:val="000000" w:themeColor="text1"/>
          <w:lang w:val="zh-CN"/>
          <w14:textFill>
            <w14:solidFill>
              <w14:schemeClr w14:val="tx1"/>
            </w14:solidFill>
          </w14:textFill>
        </w:rPr>
        <w:t>.</w:t>
      </w:r>
      <w:r>
        <w:rPr>
          <w:rFonts w:hint="eastAsia"/>
          <w:color w:val="000000" w:themeColor="text1"/>
          <w14:textFill>
            <w14:solidFill>
              <w14:schemeClr w14:val="tx1"/>
            </w14:solidFill>
          </w14:textFill>
        </w:rPr>
        <w:t xml:space="preserve">6 </w:t>
      </w:r>
      <w:r>
        <w:rPr>
          <w:rFonts w:hint="eastAsia"/>
          <w:color w:val="000000" w:themeColor="text1"/>
          <w:lang w:val="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8E129C">
      <w:pPr>
        <w:adjustRightInd w:val="0"/>
        <w:spacing w:line="320" w:lineRule="atLeast"/>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E9C3BD9">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13、投标文件的其他部分</w:t>
      </w:r>
    </w:p>
    <w:p w14:paraId="37007000">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13.1其他部分由供应商根据编制投标文件需要提供的其他相关文件。</w:t>
      </w:r>
    </w:p>
    <w:p w14:paraId="6FB0F6E0">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14:textFill>
            <w14:solidFill>
              <w14:schemeClr w14:val="tx1"/>
            </w14:solidFill>
          </w14:textFill>
        </w:rPr>
        <w:t>14.</w:t>
      </w:r>
      <w:r>
        <w:rPr>
          <w:rFonts w:hint="eastAsia"/>
          <w:b/>
          <w:bCs/>
          <w:color w:val="000000" w:themeColor="text1"/>
          <w:lang w:val="zh-CN"/>
          <w14:textFill>
            <w14:solidFill>
              <w14:schemeClr w14:val="tx1"/>
            </w14:solidFill>
          </w14:textFill>
        </w:rPr>
        <w:t>投标保证金：详见采购文件具体要求。</w:t>
      </w:r>
    </w:p>
    <w:p w14:paraId="77D3190D">
      <w:pPr>
        <w:ind w:firstLine="420" w:firstLineChars="200"/>
        <w:rPr>
          <w:color w:val="000000" w:themeColor="text1"/>
          <w14:textFill>
            <w14:solidFill>
              <w14:schemeClr w14:val="tx1"/>
            </w14:solidFill>
          </w14:textFill>
        </w:rPr>
      </w:pPr>
      <w:r>
        <w:rPr>
          <w:rFonts w:hint="eastAsia"/>
          <w:color w:val="000000" w:themeColor="text1"/>
          <w:szCs w:val="24"/>
          <w14:textFill>
            <w14:solidFill>
              <w14:schemeClr w14:val="tx1"/>
            </w14:solidFill>
          </w14:textFill>
        </w:rPr>
        <w:t>14.2</w:t>
      </w:r>
      <w:r>
        <w:rPr>
          <w:color w:val="000000" w:themeColor="text1"/>
          <w:szCs w:val="24"/>
          <w14:textFill>
            <w14:solidFill>
              <w14:schemeClr w14:val="tx1"/>
            </w14:solidFill>
          </w14:textFill>
        </w:rPr>
        <w:t>下列任何情况发生时，投标保证金将</w:t>
      </w:r>
      <w:r>
        <w:rPr>
          <w:rFonts w:hint="eastAsia"/>
          <w:color w:val="000000" w:themeColor="text1"/>
          <w:szCs w:val="24"/>
          <w14:textFill>
            <w14:solidFill>
              <w14:schemeClr w14:val="tx1"/>
            </w14:solidFill>
          </w14:textFill>
        </w:rPr>
        <w:t>不予退还</w:t>
      </w:r>
      <w:r>
        <w:rPr>
          <w:color w:val="000000" w:themeColor="text1"/>
          <w:szCs w:val="24"/>
          <w14:textFill>
            <w14:solidFill>
              <w14:schemeClr w14:val="tx1"/>
            </w14:solidFill>
          </w14:textFill>
        </w:rPr>
        <w:t>：</w:t>
      </w:r>
    </w:p>
    <w:p w14:paraId="6A6672FA">
      <w:pPr>
        <w:tabs>
          <w:tab w:val="left" w:pos="900"/>
        </w:tabs>
        <w:ind w:left="420" w:leftChars="200"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投标人在招标文件中规定的投标有效期内撤回其投标；</w:t>
      </w:r>
    </w:p>
    <w:p w14:paraId="45D7D44F">
      <w:pPr>
        <w:tabs>
          <w:tab w:val="left" w:pos="900"/>
        </w:tabs>
        <w:ind w:left="420" w:leftChars="200"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（2）</w:t>
      </w:r>
      <w:r>
        <w:rPr>
          <w:color w:val="000000" w:themeColor="text1"/>
          <w:szCs w:val="24"/>
          <w14:textFill>
            <w14:solidFill>
              <w14:schemeClr w14:val="tx1"/>
            </w14:solidFill>
          </w14:textFill>
        </w:rPr>
        <w:t>投标人行贿采购人或采购代理机构或评标专家或试图影响招标结果的行为；</w:t>
      </w:r>
    </w:p>
    <w:p w14:paraId="418CBAA9">
      <w:pPr>
        <w:tabs>
          <w:tab w:val="left" w:pos="900"/>
        </w:tabs>
        <w:ind w:left="420" w:leftChars="200"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中标人在规定期限内未能根据本须知第</w:t>
      </w:r>
      <w:r>
        <w:rPr>
          <w:rFonts w:hint="eastAsia"/>
          <w:color w:val="000000" w:themeColor="text1"/>
          <w:szCs w:val="24"/>
          <w14:textFill>
            <w14:solidFill>
              <w14:schemeClr w14:val="tx1"/>
            </w14:solidFill>
          </w14:textFill>
        </w:rPr>
        <w:t>25</w:t>
      </w:r>
      <w:r>
        <w:rPr>
          <w:color w:val="000000" w:themeColor="text1"/>
          <w:szCs w:val="24"/>
          <w14:textFill>
            <w14:solidFill>
              <w14:schemeClr w14:val="tx1"/>
            </w14:solidFill>
          </w14:textFill>
        </w:rPr>
        <w:t>条规定签订合同；</w:t>
      </w:r>
    </w:p>
    <w:p w14:paraId="74A23B8B">
      <w:pPr>
        <w:tabs>
          <w:tab w:val="left" w:pos="900"/>
        </w:tabs>
        <w:ind w:left="420" w:leftChars="200"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投标人在提交投标文件时或答复质疑及澄清时提供虚假或伪造的证明材料及数据。</w:t>
      </w:r>
    </w:p>
    <w:p w14:paraId="569ADB94">
      <w:pPr>
        <w:tabs>
          <w:tab w:val="left" w:pos="900"/>
        </w:tabs>
        <w:ind w:left="420" w:leftChars="200" w:firstLine="420" w:firstLineChars="200"/>
        <w:rPr>
          <w:color w:val="000000" w:themeColor="text1"/>
          <w:lang w:val="zh-CN"/>
          <w14:textFill>
            <w14:solidFill>
              <w14:schemeClr w14:val="tx1"/>
            </w14:solidFill>
          </w14:textFill>
        </w:rPr>
      </w:pPr>
      <w:r>
        <w:rPr>
          <w:rFonts w:hint="eastAsia"/>
          <w:color w:val="000000" w:themeColor="text1"/>
          <w:szCs w:val="24"/>
          <w:lang w:val="zh-CN"/>
          <w14:textFill>
            <w14:solidFill>
              <w14:schemeClr w14:val="tx1"/>
            </w14:solidFill>
          </w14:textFill>
        </w:rPr>
        <w:t>（</w:t>
      </w:r>
      <w:r>
        <w:rPr>
          <w:rFonts w:hint="eastAsia"/>
          <w:color w:val="000000" w:themeColor="text1"/>
          <w:szCs w:val="24"/>
          <w14:textFill>
            <w14:solidFill>
              <w14:schemeClr w14:val="tx1"/>
            </w14:solidFill>
          </w14:textFill>
        </w:rPr>
        <w:t>5</w:t>
      </w:r>
      <w:r>
        <w:rPr>
          <w:rFonts w:hint="eastAsia"/>
          <w:color w:val="000000" w:themeColor="text1"/>
          <w:szCs w:val="24"/>
          <w:lang w:val="zh-CN"/>
          <w14:textFill>
            <w14:solidFill>
              <w14:schemeClr w14:val="tx1"/>
            </w14:solidFill>
          </w14:textFill>
        </w:rPr>
        <w:t>）法律、行政法规和招标文件规定的其他情况。</w:t>
      </w:r>
    </w:p>
    <w:p w14:paraId="08C48D46">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15、投标有效期</w:t>
      </w:r>
    </w:p>
    <w:p w14:paraId="415572FA">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15.1 自开标之日起</w:t>
      </w:r>
      <w:r>
        <w:rPr>
          <w:b/>
          <w:bCs/>
          <w:color w:val="000000" w:themeColor="text1"/>
          <w14:textFill>
            <w14:solidFill>
              <w14:schemeClr w14:val="tx1"/>
            </w14:solidFill>
          </w14:textFill>
        </w:rPr>
        <w:t>90</w:t>
      </w:r>
      <w:r>
        <w:rPr>
          <w:rFonts w:hint="eastAsia"/>
          <w:b/>
          <w:bCs/>
          <w:color w:val="000000" w:themeColor="text1"/>
          <w:lang w:val="zh-CN"/>
          <w14:textFill>
            <w14:solidFill>
              <w14:schemeClr w14:val="tx1"/>
            </w14:solidFill>
          </w14:textFill>
        </w:rPr>
        <w:t>天内投标有效。</w:t>
      </w:r>
    </w:p>
    <w:p w14:paraId="597BDAE8">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p>
    <w:p w14:paraId="34E336DE">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16、投标文件的份数、签署</w:t>
      </w:r>
    </w:p>
    <w:p w14:paraId="6FFF4C25">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16.1 投标人应严格按照招标文件要求的份数准备投标文件，每份投标文件须清楚地标明“正本”或“副本”字样。一旦正本和副本不符，以正本为准。</w:t>
      </w:r>
    </w:p>
    <w:p w14:paraId="43139B69">
      <w:pPr>
        <w:ind w:firstLine="420" w:firstLineChars="200"/>
        <w:rPr>
          <w:bCs/>
          <w:color w:val="000000" w:themeColor="text1"/>
          <w14:textFill>
            <w14:solidFill>
              <w14:schemeClr w14:val="tx1"/>
            </w14:solidFill>
          </w14:textFill>
        </w:rPr>
      </w:pPr>
      <w:r>
        <w:rPr>
          <w:rFonts w:hint="eastAsia"/>
          <w:color w:val="000000" w:themeColor="text1"/>
          <w:lang w:val="zh-CN"/>
          <w14:textFill>
            <w14:solidFill>
              <w14:schemeClr w14:val="tx1"/>
            </w14:solidFill>
          </w14:textFill>
        </w:rPr>
        <w:t>16.2 投</w:t>
      </w:r>
      <w:r>
        <w:rPr>
          <w:rFonts w:hint="eastAsia"/>
          <w:color w:val="000000" w:themeColor="text1"/>
          <w14:textFill>
            <w14:solidFill>
              <w14:schemeClr w14:val="tx1"/>
            </w14:solidFill>
          </w14:textFill>
        </w:rPr>
        <w:t>标文件正本中，除招标文件规定的可提交复印件外，其他文件均须提交原件，文字材料需打印或用不褪色墨水书写。投标文件的正本须经法定代表人或经正式授权</w:t>
      </w:r>
      <w:r>
        <w:rPr>
          <w:rFonts w:hint="eastAsia"/>
          <w:color w:val="000000" w:themeColor="text1"/>
          <w:lang w:val="zh-CN"/>
          <w14:textFill>
            <w14:solidFill>
              <w14:schemeClr w14:val="tx1"/>
            </w14:solidFill>
          </w14:textFill>
        </w:rPr>
        <w:t>并对供应商有约束力的委托代理人签字</w:t>
      </w:r>
      <w:r>
        <w:rPr>
          <w:rFonts w:hint="eastAsia"/>
          <w:color w:val="000000" w:themeColor="text1"/>
          <w14:textFill>
            <w14:solidFill>
              <w14:schemeClr w14:val="tx1"/>
            </w14:solidFill>
          </w14:textFill>
        </w:rPr>
        <w:t>和加盖投标人公章。本招标文件所表述（指定）的公章是指法定名称章，不包括合同专用章、业务专用章等印章。</w:t>
      </w:r>
    </w:p>
    <w:p w14:paraId="268CCF03">
      <w:pPr>
        <w:ind w:firstLine="420" w:firstLineChars="200"/>
        <w:rPr>
          <w:bCs/>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16.3 </w:t>
      </w:r>
      <w:r>
        <w:rPr>
          <w:rFonts w:hint="eastAsia"/>
          <w:bCs/>
          <w:color w:val="000000" w:themeColor="text1"/>
          <w14:textFill>
            <w14:solidFill>
              <w14:schemeClr w14:val="tx1"/>
            </w14:solidFill>
          </w14:textFill>
        </w:rPr>
        <w:t>除投标人对错处做必要修改外，投标文件不得行间插字、涂改或增删。如有修改错漏处，必须由投标文件签署人签字或盖章。</w:t>
      </w:r>
    </w:p>
    <w:p w14:paraId="61F0F95E">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17、投标文件的密封和递交</w:t>
      </w:r>
    </w:p>
    <w:p w14:paraId="5D5171E3">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17.1 供应商应当将投标文件密封；</w:t>
      </w:r>
    </w:p>
    <w:p w14:paraId="743BA8AB">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17.2 供应商应当在招标文件要求提交投标文件的截止时间前，将密封的投标文件送达投标地点。</w:t>
      </w:r>
    </w:p>
    <w:p w14:paraId="70430755">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18、有下列情形之一的投标文件将拒收：</w:t>
      </w:r>
    </w:p>
    <w:p w14:paraId="582AE417">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18.1 在招标文件要求提交投标文件的截止时间之后送达的。</w:t>
      </w:r>
    </w:p>
    <w:p w14:paraId="09FE3F22">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19、投标文件的修改和撤回</w:t>
      </w:r>
    </w:p>
    <w:p w14:paraId="3F8A1D29">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19.1 供应商在投标截止时间前，可以对所递交的投标文件进行补充、修改或撤回，并书面通知招标代理。补充、修改的内容应当按照招标文件要求签署、盖章，并作为投标文件的组成部分。</w:t>
      </w:r>
    </w:p>
    <w:p w14:paraId="228D15BF">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19.2 投标截止时间之后，投标文件不得撤回。 </w:t>
      </w:r>
    </w:p>
    <w:p w14:paraId="1BFF0A69">
      <w:pPr>
        <w:adjustRightInd w:val="0"/>
        <w:ind w:firstLine="422" w:firstLineChars="200"/>
        <w:rPr>
          <w:b/>
          <w:bCs/>
          <w:color w:val="000000" w:themeColor="text1"/>
          <w:lang w:val="zh-CN"/>
          <w14:textFill>
            <w14:solidFill>
              <w14:schemeClr w14:val="tx1"/>
            </w14:solidFill>
          </w14:textFill>
        </w:rPr>
      </w:pPr>
      <w:bookmarkStart w:id="39" w:name="_Toc23439"/>
      <w:r>
        <w:rPr>
          <w:rFonts w:hint="eastAsia"/>
          <w:b/>
          <w:bCs/>
          <w:color w:val="000000" w:themeColor="text1"/>
          <w:lang w:val="zh-CN"/>
          <w14:textFill>
            <w14:solidFill>
              <w14:schemeClr w14:val="tx1"/>
            </w14:solidFill>
          </w14:textFill>
        </w:rPr>
        <w:t>四、开标、评标与确定中标供应商</w:t>
      </w:r>
      <w:bookmarkEnd w:id="39"/>
    </w:p>
    <w:p w14:paraId="1077ACE7">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20、开标</w:t>
      </w:r>
    </w:p>
    <w:p w14:paraId="0901D4D5">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20.1 招标代理将在招标文件确定的时间和地点进行公开开标。供应商应委派代表准时参加，参加开标的代表须签名报到以证明其出席。</w:t>
      </w:r>
    </w:p>
    <w:p w14:paraId="4742ACE3">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20.2 开标时，招标代理将邀请供应商代表检查投标文件的密封情况，经确认无误后，由招标代理工作人员当众拆封，宣读供应商名称、投标价格、价格折扣、招标文件允许提供的备选投标方案和投标文件规定的其他主要内容。</w:t>
      </w:r>
    </w:p>
    <w:p w14:paraId="2C56C73E">
      <w:pPr>
        <w:adjustRightInd w:val="0"/>
        <w:ind w:firstLine="420" w:firstLineChars="20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20</w:t>
      </w:r>
      <w:r>
        <w:rPr>
          <w:rFonts w:hint="eastAsia"/>
          <w:color w:val="000000" w:themeColor="text1"/>
          <w:lang w:val="zh-CN"/>
          <w14:textFill>
            <w14:solidFill>
              <w14:schemeClr w14:val="tx1"/>
            </w14:solidFill>
          </w14:textFill>
        </w:rPr>
        <w:t xml:space="preserve">.3 未宣读的投标价格、价格折扣和招标文件允许提供的备选投标方案等实质性内容，评标时不予承认。  </w:t>
      </w:r>
    </w:p>
    <w:p w14:paraId="68C28B2E">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20.4 开标时，《开标一览表》（报价表）内容与投标文件中相应内容不一致的，以《开标一览表》（报价表）为准。</w:t>
      </w:r>
    </w:p>
    <w:p w14:paraId="08FEC083">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20.5 投标文件、《开标一览表》（报价表）中报价的大写金额与小写金额不一致的，以大写金额为准。</w:t>
      </w:r>
    </w:p>
    <w:p w14:paraId="38EBEDB9">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20.6 单价金额小数点或者百分比有明显错位的，以《开标一览表》（报价表）的总价为准，并修改单价；</w:t>
      </w:r>
    </w:p>
    <w:p w14:paraId="7912C8AF">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20.7 总价金额与按单价汇总金额不一致的，以单价金额计算结果为准；</w:t>
      </w:r>
    </w:p>
    <w:p w14:paraId="3DE20C33">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20.8 同时出现20.4-20.7中两种以上不一致的,按照20.4-20.7的顺序修正。修正后的报价由法定代表人或其授权的代表签字确认后产生约束力，投标人不确认的，投标无效。</w:t>
      </w:r>
    </w:p>
    <w:p w14:paraId="7EA8B930">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20.9  对不同文字文本投标文件的解释发生异议的，以中文文本为准。</w:t>
      </w:r>
    </w:p>
    <w:p w14:paraId="6CDCCE92">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21、评标</w:t>
      </w:r>
    </w:p>
    <w:p w14:paraId="5CECDCDE">
      <w:pPr>
        <w:ind w:firstLine="420" w:firstLineChars="200"/>
        <w:rPr>
          <w:b/>
          <w:bCs/>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21.1</w:t>
      </w:r>
      <w:r>
        <w:rPr>
          <w:rFonts w:hint="eastAsia"/>
          <w:b/>
          <w:bCs/>
          <w:color w:val="000000" w:themeColor="text1"/>
          <w:lang w:val="zh-CN"/>
          <w14:textFill>
            <w14:solidFill>
              <w14:schemeClr w14:val="tx1"/>
            </w14:solidFill>
          </w14:textFill>
        </w:rPr>
        <w:t xml:space="preserve"> 评标组织</w:t>
      </w:r>
    </w:p>
    <w:p w14:paraId="70F40740">
      <w:pPr>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21.1.1评标工作由招标代理负责组织，具体评标事务由依法组建的评标委员会负责，并独立履行</w:t>
      </w:r>
      <w:r>
        <w:rPr>
          <w:rFonts w:hint="eastAsia"/>
          <w:color w:val="000000" w:themeColor="text1"/>
          <w14:textFill>
            <w14:solidFill>
              <w14:schemeClr w14:val="tx1"/>
            </w14:solidFill>
          </w14:textFill>
        </w:rPr>
        <w:t>下列职责：</w:t>
      </w:r>
    </w:p>
    <w:p w14:paraId="1E95AF33">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（1）审查、评价投标文件是否符合招标文件的商务、技术等实质性要求；</w:t>
      </w:r>
    </w:p>
    <w:p w14:paraId="34871014">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（2）要求投标人对投标文件有关事项作出澄清或者说明；</w:t>
      </w:r>
    </w:p>
    <w:p w14:paraId="493E69CE">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（3）对投标文件进行比较和评价；</w:t>
      </w:r>
    </w:p>
    <w:p w14:paraId="65B25C1D">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（4）推荐中标候选人或根据采购人委托直接确定中标供应商；</w:t>
      </w:r>
    </w:p>
    <w:p w14:paraId="6747EAE3">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（5）向采购人、财政部门报告评标中发现的违法行为。</w:t>
      </w:r>
    </w:p>
    <w:p w14:paraId="198ACFD6">
      <w:pPr>
        <w:adjustRightInd w:val="0"/>
        <w:ind w:firstLine="422" w:firstLineChars="200"/>
        <w:rPr>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21.1.2 </w:t>
      </w:r>
      <w:r>
        <w:rPr>
          <w:rFonts w:hint="eastAsia"/>
          <w:color w:val="000000" w:themeColor="text1"/>
          <w:lang w:val="zh-CN"/>
          <w14:textFill>
            <w14:solidFill>
              <w14:schemeClr w14:val="tx1"/>
            </w14:solidFill>
          </w14:textFill>
        </w:rPr>
        <w:t>评标委员会由采购人代表和有关技术、经济等方面的专家组成，独立开展评审工作。</w:t>
      </w:r>
    </w:p>
    <w:p w14:paraId="02BB61E7">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21.2 评标程序</w:t>
      </w:r>
    </w:p>
    <w:p w14:paraId="7CC87892">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21.2.1 投标文件的资格审查。</w:t>
      </w:r>
    </w:p>
    <w:p w14:paraId="1E54377B">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21.2.1.1 采购人代表将依法对投标人的资格进行审查。</w:t>
      </w:r>
    </w:p>
    <w:p w14:paraId="6F57447A">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21.2.1.2 资格性审查：依据法律法规和招标文件的规定，对投标文件中的资格证明文件进行审查，以确定投标供应商是否具备投标资格。 </w:t>
      </w:r>
    </w:p>
    <w:p w14:paraId="7A5F3D5B">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p>
    <w:p w14:paraId="0B004F8B">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21.2.1.4 投标文件有下列情况之一的，在资格性审查时按照无效投标处理： </w:t>
      </w:r>
    </w:p>
    <w:p w14:paraId="69E9E1A4">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（1）不具备招标文件中规定资格条件的；</w:t>
      </w:r>
    </w:p>
    <w:p w14:paraId="26F9D6DD">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p>
    <w:p w14:paraId="05D4AEE6">
      <w:pPr>
        <w:adjustRightInd w:val="0"/>
        <w:ind w:firstLine="422" w:firstLineChars="200"/>
        <w:rPr>
          <w:b/>
          <w:bCs/>
          <w:color w:val="000000" w:themeColor="text1"/>
          <w:lang w:val="zh-CN"/>
          <w14:textFill>
            <w14:solidFill>
              <w14:schemeClr w14:val="tx1"/>
            </w14:solidFill>
          </w14:textFill>
        </w:rPr>
      </w:pPr>
      <w:r>
        <w:rPr>
          <w:b/>
          <w:bCs/>
          <w:color w:val="000000" w:themeColor="text1"/>
          <w:lang w:val="zh-CN"/>
          <w14:textFill>
            <w14:solidFill>
              <w14:schemeClr w14:val="tx1"/>
            </w14:solidFill>
          </w14:textFill>
        </w:rPr>
        <w:t>21.2.2 投标文件的符合性审查。</w:t>
      </w:r>
    </w:p>
    <w:p w14:paraId="1E872FF4">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21.2.2.1 评标委员会将依据法律法规和招标文件的规定，对投标文件的有效性、完整性和对招标文件 的响应程度进行审查，以确定是否对招标文件的实质性要求作出响应。</w:t>
      </w:r>
    </w:p>
    <w:p w14:paraId="3706674C">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21.2.2.2 实质性要求是指本招标文件中用带星号（“</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”）的商务和技术要求。 </w:t>
      </w:r>
    </w:p>
    <w:p w14:paraId="21F754FD">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21.2.2.3 如果投标文件实质上没有响应招标文件的要求，评标委员会将予以拒绝，投标人不得通过修改或撤销不合要求的偏离或保留而使其投标成为实质性响应的投标。</w:t>
      </w:r>
    </w:p>
    <w:p w14:paraId="26789771">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21.2.2.4 投标文件有下列情况之一的，在符合性审查时按照无效投标处理： </w:t>
      </w:r>
    </w:p>
    <w:p w14:paraId="3A5F13CB">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（1）未按照招标文件规定要求密封、签署、盖章的； </w:t>
      </w:r>
    </w:p>
    <w:p w14:paraId="794B4C48">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（2）投标总价超出采购预算金额或者最高限价的； </w:t>
      </w:r>
    </w:p>
    <w:p w14:paraId="4D959197">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（3）不同投标人的投标文件由同一单位或者个人编制； </w:t>
      </w:r>
    </w:p>
    <w:p w14:paraId="6834E999">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（4）不同投标人委托同一单位或者个人办理投标事宜； </w:t>
      </w:r>
    </w:p>
    <w:p w14:paraId="6F21C0BD">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（5）不同投标人的投标文件载明的项目管理成员或者联系人员为同一人； </w:t>
      </w:r>
    </w:p>
    <w:p w14:paraId="1D1CDF64">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（6）不同投标人的投标文件异常一致或者投标报价呈规律性差异； </w:t>
      </w:r>
    </w:p>
    <w:p w14:paraId="12ECA8EC">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（7）不同投标人的投标文件相互混装； </w:t>
      </w:r>
    </w:p>
    <w:p w14:paraId="27178A14">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（8）不同供应商的法定代表人或委托代理人有夫妻、直系血亲关系的； </w:t>
      </w:r>
    </w:p>
    <w:p w14:paraId="31FF8787">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（9）不同供应商的负责人为同一人或者存在控股、管理关系的； </w:t>
      </w:r>
    </w:p>
    <w:p w14:paraId="5DBBBE01">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10</w:t>
      </w:r>
      <w:r>
        <w:rPr>
          <w:color w:val="000000" w:themeColor="text1"/>
          <w14:textFill>
            <w14:solidFill>
              <w14:schemeClr w14:val="tx1"/>
            </w14:solidFill>
          </w14:textFill>
        </w:rPr>
        <w:t>）不同供应商的委托代理人(或法定代表人、项目经理、项目总监、项目负责人等)在采购文件发 布日上月至投标截止日当月在同一单位缴纳社会保险的；</w:t>
      </w:r>
    </w:p>
    <w:p w14:paraId="5F7A9753">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1</w:t>
      </w:r>
      <w:r>
        <w:rPr>
          <w:color w:val="000000" w:themeColor="text1"/>
          <w14:textFill>
            <w14:solidFill>
              <w14:schemeClr w14:val="tx1"/>
            </w14:solidFill>
          </w14:textFill>
        </w:rPr>
        <w:t xml:space="preserve">）服务承诺和付款条件未响应招标要求的； </w:t>
      </w:r>
    </w:p>
    <w:p w14:paraId="3AE56FB9">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2</w:t>
      </w:r>
      <w:r>
        <w:rPr>
          <w:color w:val="000000" w:themeColor="text1"/>
          <w14:textFill>
            <w14:solidFill>
              <w14:schemeClr w14:val="tx1"/>
            </w14:solidFill>
          </w14:textFill>
        </w:rPr>
        <w:t xml:space="preserve">）投标文件含有采购人不能接受的附加条件的； </w:t>
      </w:r>
    </w:p>
    <w:p w14:paraId="19F94340">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13</w:t>
      </w:r>
      <w:r>
        <w:rPr>
          <w:color w:val="000000" w:themeColor="text1"/>
          <w14:textFill>
            <w14:solidFill>
              <w14:schemeClr w14:val="tx1"/>
            </w14:solidFill>
          </w14:textFill>
        </w:rPr>
        <w:t xml:space="preserve">）评标委员会认为投标人的报价明显低于其他通过符合性审查投标人的报价，有可能影响产品质 量或者不能诚信履约的，未在评标现场合理的时间内提供书面说明或相关证明材料，不能证明其报价合理 的； </w:t>
      </w:r>
    </w:p>
    <w:p w14:paraId="3CAB91D5">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14</w:t>
      </w:r>
      <w:r>
        <w:rPr>
          <w:color w:val="000000" w:themeColor="text1"/>
          <w14:textFill>
            <w14:solidFill>
              <w14:schemeClr w14:val="tx1"/>
            </w14:solidFill>
          </w14:textFill>
        </w:rPr>
        <w:t>）不符合法律、法规和招标文件规定的其他无效情形。</w:t>
      </w:r>
    </w:p>
    <w:p w14:paraId="3DE72E91">
      <w:pPr>
        <w:ind w:firstLine="420" w:firstLineChars="200"/>
        <w:rPr>
          <w:bCs/>
          <w:color w:val="000000" w:themeColor="text1"/>
          <w:lang w:val="zh-CN"/>
          <w14:textFill>
            <w14:solidFill>
              <w14:schemeClr w14:val="tx1"/>
            </w14:solidFill>
          </w14:textFill>
        </w:rPr>
      </w:pPr>
      <w:r>
        <w:rPr>
          <w:rFonts w:hint="eastAsia"/>
          <w:bCs/>
          <w:color w:val="000000" w:themeColor="text1"/>
          <w:lang w:val="zh-CN"/>
          <w14:textFill>
            <w14:solidFill>
              <w14:schemeClr w14:val="tx1"/>
            </w14:solidFill>
          </w14:textFill>
        </w:rPr>
        <w:t>21.2.2.5 有下列情形之一的予以废标，同时将废标理由通知所有供应商</w:t>
      </w:r>
    </w:p>
    <w:p w14:paraId="5C9832D7">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（1）符合资格条件的供应商或者对招标文件作实质性响应的供应商不足三家的；</w:t>
      </w:r>
    </w:p>
    <w:p w14:paraId="7BBEFE6A">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（2）出现影响采购公正的违法、违规行为的；</w:t>
      </w:r>
    </w:p>
    <w:p w14:paraId="5B5E3F27">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（3）供应商的报价均超过了采购预算或最高限价，采购人不能支付的；</w:t>
      </w:r>
    </w:p>
    <w:p w14:paraId="4F87A33A">
      <w:pPr>
        <w:widowControl/>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（4）因重大变故，采购任务取消的；</w:t>
      </w:r>
    </w:p>
    <w:p w14:paraId="1C4D7838">
      <w:pPr>
        <w:widowControl/>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（5）招标文件存在歧义、重大缺陷，或者招标文件内容违反国家有关强制性规定的；</w:t>
      </w:r>
    </w:p>
    <w:p w14:paraId="3EE1B7E3">
      <w:pPr>
        <w:widowControl/>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w:t>
      </w:r>
      <w:r>
        <w:rPr>
          <w:rFonts w:hint="eastAsia"/>
          <w:color w:val="000000" w:themeColor="text1"/>
          <w14:textFill>
            <w14:solidFill>
              <w14:schemeClr w14:val="tx1"/>
            </w14:solidFill>
          </w14:textFill>
        </w:rPr>
        <w:t>6</w:t>
      </w:r>
      <w:r>
        <w:rPr>
          <w:rFonts w:hint="eastAsia"/>
          <w:color w:val="000000" w:themeColor="text1"/>
          <w:lang w:val="zh-CN"/>
          <w14:textFill>
            <w14:solidFill>
              <w14:schemeClr w14:val="tx1"/>
            </w14:solidFill>
          </w14:textFill>
        </w:rPr>
        <w:t>）预留份额的采购项目或采购包，通过发布公告方式邀请供应商后，符合资格条件的中小企业数量不足3家的。</w:t>
      </w:r>
    </w:p>
    <w:p w14:paraId="57D4A7BD">
      <w:pPr>
        <w:adjustRightInd w:val="0"/>
        <w:ind w:firstLine="422" w:firstLineChars="200"/>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21.2.3 投标文件的进一步评审。 </w:t>
      </w:r>
    </w:p>
    <w:p w14:paraId="46D0F355">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21.2.3.1 评标委员会将对确定为实质性响应的投标文件进行进一步评审，看其是否有计算上或累加上的算术错误，修正错误的原则如下：</w:t>
      </w:r>
    </w:p>
    <w:p w14:paraId="588C1745">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(1) 如果用数字表示的金额和用文字表示的金额不一致时，应以文字表示的金额为准进行修正；</w:t>
      </w:r>
    </w:p>
    <w:p w14:paraId="2206EC2B">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 当单价与数量的乘积和总价不一致时，以单价为准进行修正。只有在评委会认为单价有明显的小数点错误时，才能以标出的总价为准，并修改单价。</w:t>
      </w:r>
    </w:p>
    <w:p w14:paraId="59933AC1">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21.2.3.2 评标委员会将按上述修正错误的方法调整投标文件中的投标价，调整后的价格应对投标人 具有约束力。如果投标人不接受修正后的价格，则其投标将被拒绝。 </w:t>
      </w:r>
    </w:p>
    <w:p w14:paraId="10F0C0F7">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21.2.3.</w:t>
      </w:r>
      <w:r>
        <w:rPr>
          <w:rFonts w:hint="eastAsia"/>
          <w:color w:val="000000" w:themeColor="text1"/>
          <w14:textFill>
            <w14:solidFill>
              <w14:schemeClr w14:val="tx1"/>
            </w14:solidFill>
          </w14:textFill>
        </w:rPr>
        <w:t>3</w:t>
      </w:r>
      <w:r>
        <w:rPr>
          <w:color w:val="000000" w:themeColor="text1"/>
          <w14:textFill>
            <w14:solidFill>
              <w14:schemeClr w14:val="tx1"/>
            </w14:solidFill>
          </w14:textFill>
        </w:rPr>
        <w:t xml:space="preserve">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p>
    <w:p w14:paraId="45DFB65A">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21.2.3.</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t xml:space="preserve"> 比较与评价。按照招标文件中规定的评标方法和标准，对资格性检查和符合性检查合格的投标文件进行商务和技术评估，综合比较与评价。</w:t>
      </w:r>
    </w:p>
    <w:p w14:paraId="2273619D">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21.3 评标方法和标准 </w:t>
      </w:r>
    </w:p>
    <w:p w14:paraId="0371A7C1">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21.3.1 采用综合评分法。即在投标文件满足招标文件全部实质性要求前提下，且按照评审因素的量 化指标评审得分最高的投标人为中标人的评标方法。</w:t>
      </w:r>
    </w:p>
    <w:p w14:paraId="2CE639BC">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21.3.2 综合评分的主要因素是：价格、技术、商务等。 </w:t>
      </w:r>
    </w:p>
    <w:p w14:paraId="53C21C0B">
      <w:pPr>
        <w:adjustRightInd w:val="0"/>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21.3.3评分标准详见文件第三章。</w:t>
      </w:r>
    </w:p>
    <w:p w14:paraId="5784B8F7">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22、确定中标供应商</w:t>
      </w:r>
    </w:p>
    <w:p w14:paraId="0C3C1979">
      <w:pPr>
        <w:spacing w:line="420" w:lineRule="exact"/>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22.1 在综合比较与评价后按照得分由高到低顺序对供应商进行排</w:t>
      </w:r>
      <w:r>
        <w:rPr>
          <w:rFonts w:hint="eastAsia"/>
          <w:color w:val="000000" w:themeColor="text1"/>
          <w14:textFill>
            <w14:solidFill>
              <w14:schemeClr w14:val="tx1"/>
            </w14:solidFill>
          </w14:textFill>
        </w:rPr>
        <w:t>序</w:t>
      </w:r>
      <w:r>
        <w:rPr>
          <w:rFonts w:hint="eastAsia"/>
          <w:color w:val="000000" w:themeColor="text1"/>
          <w:lang w:val="zh-CN"/>
          <w14:textFill>
            <w14:solidFill>
              <w14:schemeClr w14:val="tx1"/>
            </w14:solidFill>
          </w14:textFill>
        </w:rPr>
        <w:t>。评标委员会按综合得分排名</w:t>
      </w:r>
      <w:r>
        <w:rPr>
          <w:rFonts w:hint="eastAsia"/>
          <w:color w:val="000000" w:themeColor="text1"/>
          <w14:textFill>
            <w14:solidFill>
              <w14:schemeClr w14:val="tx1"/>
            </w14:solidFill>
          </w14:textFill>
        </w:rPr>
        <w:t>推荐3名</w:t>
      </w:r>
      <w:r>
        <w:rPr>
          <w:rFonts w:hint="eastAsia"/>
          <w:color w:val="000000" w:themeColor="text1"/>
          <w:lang w:val="zh-CN"/>
          <w14:textFill>
            <w14:solidFill>
              <w14:schemeClr w14:val="tx1"/>
            </w14:solidFill>
          </w14:textFill>
        </w:rPr>
        <w:t>中标候选人</w:t>
      </w:r>
      <w:r>
        <w:rPr>
          <w:rFonts w:hint="eastAsia"/>
          <w:color w:val="000000" w:themeColor="text1"/>
          <w14:textFill>
            <w14:solidFill>
              <w14:schemeClr w14:val="tx1"/>
            </w14:solidFill>
          </w14:textFill>
        </w:rPr>
        <w:t>。得分相同的，按投标报价由低到高顺序排列。得分且报价相同的，按技术指标（</w:t>
      </w:r>
      <w:r>
        <w:rPr>
          <w:rFonts w:hint="eastAsia" w:ascii="Arial" w:hAnsi="Arial" w:cs="Arial"/>
          <w:color w:val="000000" w:themeColor="text1"/>
          <w14:textFill>
            <w14:solidFill>
              <w14:schemeClr w14:val="tx1"/>
            </w14:solidFill>
          </w14:textFill>
        </w:rPr>
        <w:t>服务方案</w:t>
      </w:r>
      <w:r>
        <w:rPr>
          <w:rFonts w:hint="eastAsia"/>
          <w:color w:val="000000" w:themeColor="text1"/>
          <w14:textFill>
            <w14:solidFill>
              <w14:schemeClr w14:val="tx1"/>
            </w14:solidFill>
          </w14:textFill>
        </w:rPr>
        <w:t>）优劣顺序排列。</w:t>
      </w:r>
    </w:p>
    <w:p w14:paraId="479BF4CC">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22.2 按以下第</w:t>
      </w:r>
      <w:r>
        <w:rPr>
          <w:rFonts w:hint="eastAsia"/>
          <w:color w:val="000000" w:themeColor="text1"/>
          <w:u w:val="single"/>
          <w:lang w:val="zh-CN"/>
          <w14:textFill>
            <w14:solidFill>
              <w14:schemeClr w14:val="tx1"/>
            </w14:solidFill>
          </w14:textFill>
        </w:rPr>
        <w:t>（</w:t>
      </w:r>
      <w:r>
        <w:rPr>
          <w:rFonts w:hint="eastAsia"/>
          <w:color w:val="000000" w:themeColor="text1"/>
          <w:u w:val="single"/>
          <w14:textFill>
            <w14:solidFill>
              <w14:schemeClr w14:val="tx1"/>
            </w14:solidFill>
          </w14:textFill>
        </w:rPr>
        <w:t>2</w:t>
      </w:r>
      <w:r>
        <w:rPr>
          <w:rFonts w:hint="eastAsia"/>
          <w:color w:val="000000" w:themeColor="text1"/>
          <w:u w:val="single"/>
          <w:lang w:val="zh-CN"/>
          <w14:textFill>
            <w14:solidFill>
              <w14:schemeClr w14:val="tx1"/>
            </w14:solidFill>
          </w14:textFill>
        </w:rPr>
        <w:t>）</w:t>
      </w:r>
      <w:r>
        <w:rPr>
          <w:rFonts w:hint="eastAsia"/>
          <w:color w:val="000000" w:themeColor="text1"/>
          <w:lang w:val="zh-CN"/>
          <w14:textFill>
            <w14:solidFill>
              <w14:schemeClr w14:val="tx1"/>
            </w14:solidFill>
          </w14:textFill>
        </w:rPr>
        <w:t>种方式确定中标供应商</w:t>
      </w:r>
    </w:p>
    <w:p w14:paraId="29CAA879">
      <w:pPr>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（1）</w:t>
      </w:r>
      <w:r>
        <w:rPr>
          <w:rFonts w:hint="eastAsia"/>
          <w:color w:val="000000" w:themeColor="text1"/>
          <w14:textFill>
            <w14:solidFill>
              <w14:schemeClr w14:val="tx1"/>
            </w14:solidFill>
          </w14:textFill>
        </w:rPr>
        <w:t>评标委员会直接确定排名第一的中标候选人为中标供应商；</w:t>
      </w:r>
    </w:p>
    <w:p w14:paraId="2B8545E8">
      <w:pPr>
        <w:ind w:firstLine="420" w:firstLineChars="20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（2）采购人</w:t>
      </w:r>
      <w:r>
        <w:rPr>
          <w:rFonts w:hint="eastAsia"/>
          <w:color w:val="000000" w:themeColor="text1"/>
          <w:lang w:val="zh-CN"/>
          <w14:textFill>
            <w14:solidFill>
              <w14:schemeClr w14:val="tx1"/>
            </w14:solidFill>
          </w14:textFill>
        </w:rPr>
        <w:t>在评标委员会</w:t>
      </w:r>
      <w:r>
        <w:rPr>
          <w:rFonts w:hint="eastAsia"/>
          <w:color w:val="000000" w:themeColor="text1"/>
          <w14:textFill>
            <w14:solidFill>
              <w14:schemeClr w14:val="tx1"/>
            </w14:solidFill>
          </w14:textFill>
        </w:rPr>
        <w:t>推荐的中标候选人中按顺序确定中标供应商。</w:t>
      </w:r>
    </w:p>
    <w:p w14:paraId="5EFF3991">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14:paraId="7C636AF6">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22.3 中标供应商确定之日起两个工作日内，将在财政部门指定的政府采购信息发布媒体上公告。</w:t>
      </w:r>
    </w:p>
    <w:p w14:paraId="5866E0F2">
      <w:pPr>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22.4 《中标通知书》对采购人和中标供应商具有同等法律效力。</w:t>
      </w:r>
    </w:p>
    <w:p w14:paraId="3CF6EE8C">
      <w:pPr>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22.5 《</w:t>
      </w:r>
      <w:r>
        <w:rPr>
          <w:rFonts w:hint="eastAsia"/>
          <w:color w:val="000000" w:themeColor="text1"/>
          <w14:textFill>
            <w14:solidFill>
              <w14:schemeClr w14:val="tx1"/>
            </w14:solidFill>
          </w14:textFill>
        </w:rPr>
        <w:t>中标通知书</w:t>
      </w:r>
      <w:r>
        <w:rPr>
          <w:rFonts w:hint="eastAsia"/>
          <w:color w:val="000000" w:themeColor="text1"/>
          <w:lang w:val="zh-CN"/>
          <w14:textFill>
            <w14:solidFill>
              <w14:schemeClr w14:val="tx1"/>
            </w14:solidFill>
          </w14:textFill>
        </w:rPr>
        <w:t>》</w:t>
      </w:r>
      <w:r>
        <w:rPr>
          <w:rFonts w:hint="eastAsia"/>
          <w:color w:val="000000" w:themeColor="text1"/>
          <w14:textFill>
            <w14:solidFill>
              <w14:schemeClr w14:val="tx1"/>
            </w14:solidFill>
          </w14:textFill>
        </w:rPr>
        <w:t>发出后，中标供应商无正当理由不与采购人签订合同的，情节严重的，由财政部门将其列入不良行为记录名单，并予以通报。</w:t>
      </w:r>
    </w:p>
    <w:p w14:paraId="19804A05">
      <w:pPr>
        <w:tabs>
          <w:tab w:val="left" w:pos="1260"/>
        </w:tabs>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22.6</w:t>
      </w:r>
      <w:r>
        <w:rPr>
          <w:rFonts w:hint="eastAsia"/>
          <w:color w:val="000000" w:themeColor="text1"/>
          <w:lang w:val="zh-CN"/>
          <w14:textFill>
            <w14:solidFill>
              <w14:schemeClr w14:val="tx1"/>
            </w14:solidFill>
          </w14:textFill>
        </w:rPr>
        <w:t xml:space="preserve"> </w:t>
      </w:r>
      <w:r>
        <w:rPr>
          <w:rFonts w:hint="eastAsia"/>
          <w:color w:val="000000" w:themeColor="text1"/>
          <w14:textFill>
            <w14:solidFill>
              <w14:schemeClr w14:val="tx1"/>
            </w14:solidFill>
          </w14:textFill>
        </w:rPr>
        <w:t>代理机构</w:t>
      </w:r>
      <w:r>
        <w:rPr>
          <w:rFonts w:hint="eastAsia"/>
          <w:color w:val="000000" w:themeColor="text1"/>
          <w:lang w:val="zh-CN"/>
          <w14:textFill>
            <w14:solidFill>
              <w14:schemeClr w14:val="tx1"/>
            </w14:solidFill>
          </w14:textFill>
        </w:rPr>
        <w:t>和评标委员会</w:t>
      </w:r>
      <w:r>
        <w:rPr>
          <w:rFonts w:hint="eastAsia"/>
          <w:color w:val="000000" w:themeColor="text1"/>
          <w14:textFill>
            <w14:solidFill>
              <w14:schemeClr w14:val="tx1"/>
            </w14:solidFill>
          </w14:textFill>
        </w:rPr>
        <w:t>对未中标的供应商不作未中标原因的解释。</w:t>
      </w:r>
    </w:p>
    <w:p w14:paraId="78913D34">
      <w:pPr>
        <w:adjustRightInd w:val="0"/>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22.7 所有投标文件不论中标与否均不退回。</w:t>
      </w:r>
    </w:p>
    <w:p w14:paraId="12047594">
      <w:pPr>
        <w:adjustRightInd w:val="0"/>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23</w:t>
      </w:r>
      <w:r>
        <w:rPr>
          <w:rFonts w:hint="eastAsia"/>
          <w:b/>
          <w:bCs/>
          <w:color w:val="000000" w:themeColor="text1"/>
          <w:lang w:val="zh-CN"/>
          <w14:textFill>
            <w14:solidFill>
              <w14:schemeClr w14:val="tx1"/>
            </w14:solidFill>
          </w14:textFill>
        </w:rPr>
        <w:t>、</w:t>
      </w:r>
      <w:r>
        <w:rPr>
          <w:rFonts w:hint="eastAsia"/>
          <w:b/>
          <w:color w:val="000000" w:themeColor="text1"/>
          <w14:textFill>
            <w14:solidFill>
              <w14:schemeClr w14:val="tx1"/>
            </w14:solidFill>
          </w14:textFill>
        </w:rPr>
        <w:t>编写评标报告</w:t>
      </w:r>
    </w:p>
    <w:p w14:paraId="51476C9C">
      <w:pPr>
        <w:adjustRightInd w:val="0"/>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23.1 评标委员会根据全体评标成员签字的原始评标记录和评标结果编写评标报告。</w:t>
      </w:r>
    </w:p>
    <w:p w14:paraId="61BA0C9D">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24、评标过程的保密性</w:t>
      </w:r>
    </w:p>
    <w:p w14:paraId="7FD1D574">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24.1 招标代理将采取必要措施，保证评标在严格保密的情况下进行。</w:t>
      </w:r>
    </w:p>
    <w:p w14:paraId="5D65ECD6">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24.2 任何单位和个人不得非法干预、影响评标办法的确定，以及评标过程和结果。</w:t>
      </w:r>
    </w:p>
    <w:p w14:paraId="616A4E8F">
      <w:pPr>
        <w:adjustRightInd w:val="0"/>
        <w:ind w:firstLine="420" w:firstLineChars="200"/>
        <w:rPr>
          <w:b/>
          <w:color w:val="000000" w:themeColor="text1"/>
          <w14:textFill>
            <w14:solidFill>
              <w14:schemeClr w14:val="tx1"/>
            </w14:solidFill>
          </w14:textFill>
        </w:rPr>
      </w:pPr>
      <w:r>
        <w:rPr>
          <w:rFonts w:hint="eastAsia"/>
          <w:color w:val="000000" w:themeColor="text1"/>
          <w:lang w:val="zh-CN"/>
          <w14:textFill>
            <w14:solidFill>
              <w14:schemeClr w14:val="tx1"/>
            </w14:solidFill>
          </w14:textFill>
        </w:rPr>
        <w:t>24.3 凡是与审查、澄清、评价和比较投标的有关资料等，均不向供应商及与评标无关的其他人员透露。</w:t>
      </w:r>
    </w:p>
    <w:p w14:paraId="4C71AD4B">
      <w:pPr>
        <w:adjustRightInd w:val="0"/>
        <w:ind w:firstLine="422" w:firstLineChars="200"/>
        <w:rPr>
          <w:b/>
          <w:bCs/>
          <w:color w:val="000000" w:themeColor="text1"/>
          <w:lang w:val="zh-CN"/>
          <w14:textFill>
            <w14:solidFill>
              <w14:schemeClr w14:val="tx1"/>
            </w14:solidFill>
          </w14:textFill>
        </w:rPr>
      </w:pPr>
      <w:bookmarkStart w:id="40" w:name="_Toc17179"/>
      <w:r>
        <w:rPr>
          <w:rFonts w:hint="eastAsia"/>
          <w:b/>
          <w:bCs/>
          <w:color w:val="000000" w:themeColor="text1"/>
          <w:lang w:val="zh-CN"/>
          <w14:textFill>
            <w14:solidFill>
              <w14:schemeClr w14:val="tx1"/>
            </w14:solidFill>
          </w14:textFill>
        </w:rPr>
        <w:t>五、签订合同</w:t>
      </w:r>
      <w:bookmarkEnd w:id="40"/>
    </w:p>
    <w:p w14:paraId="01988BD2">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25、签订合同</w:t>
      </w:r>
    </w:p>
    <w:p w14:paraId="0380267E">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25.1 采购人应当自中标通知书发出之日起30日内，按照招标文件和中标人投标文件的规定与中标人签订书面合同。所签订的合同不得对招标文件确定事项和中标人投标文件作实质性修改。</w:t>
      </w:r>
    </w:p>
    <w:p w14:paraId="7E7F5C94">
      <w:pPr>
        <w:ind w:firstLine="420" w:firstLineChars="20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25.2</w:t>
      </w:r>
      <w:r>
        <w:rPr>
          <w:rFonts w:hint="eastAsia"/>
          <w:color w:val="000000" w:themeColor="text1"/>
          <w14:textFill>
            <w14:solidFill>
              <w14:schemeClr w14:val="tx1"/>
            </w14:solidFill>
          </w14:textFill>
        </w:rPr>
        <w:t>采购人不得向中标人提出任何不合理的要求作为签订合同的条件，不得与中标人私下订立背离合同实质性内容的协议。</w:t>
      </w:r>
    </w:p>
    <w:p w14:paraId="63071BA5">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25.3中标人拒绝与采购人签订合同，或因不可抗力或者自身原因不能履行政府采购合同的，采购人可以按照评审报告中的得分高低顺序，确定下一顺序投标人为中标人，也可以重新开展政府采购活动。</w:t>
      </w:r>
    </w:p>
    <w:p w14:paraId="3254E1D9">
      <w:pPr>
        <w:adjustRightInd w:val="0"/>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25.4 采购合同履行中，采购人需追加与合同标的相同货物的，在不改变合同其他条款的前提下，可以与供应商协商签订补充合同，但所有补充合同的采购金额不得超过原合同采购金额的百分之十。</w:t>
      </w:r>
    </w:p>
    <w:p w14:paraId="268F3EFD">
      <w:pPr>
        <w:adjustRightInd w:val="0"/>
        <w:ind w:firstLine="422" w:firstLineChars="200"/>
        <w:rPr>
          <w:b/>
          <w:bCs/>
          <w:color w:val="000000" w:themeColor="text1"/>
          <w:lang w:val="zh-CN"/>
          <w14:textFill>
            <w14:solidFill>
              <w14:schemeClr w14:val="tx1"/>
            </w14:solidFill>
          </w14:textFill>
        </w:rPr>
      </w:pPr>
      <w:bookmarkStart w:id="41" w:name="_Toc4271"/>
      <w:r>
        <w:rPr>
          <w:rFonts w:hint="eastAsia"/>
          <w:b/>
          <w:bCs/>
          <w:color w:val="000000" w:themeColor="text1"/>
          <w:lang w:val="zh-CN"/>
          <w14:textFill>
            <w14:solidFill>
              <w14:schemeClr w14:val="tx1"/>
            </w14:solidFill>
          </w14:textFill>
        </w:rPr>
        <w:t>六、询问、质疑、投诉和诚实信用</w:t>
      </w:r>
      <w:bookmarkEnd w:id="41"/>
    </w:p>
    <w:p w14:paraId="2B343409">
      <w:pPr>
        <w:adjustRightInd w:val="0"/>
        <w:ind w:firstLine="422" w:firstLineChars="200"/>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26、询问</w:t>
      </w:r>
    </w:p>
    <w:p w14:paraId="48CCBD98">
      <w:pPr>
        <w:adjustRightInd w:val="0"/>
        <w:ind w:firstLine="420" w:firstLineChars="200"/>
        <w:rPr>
          <w:b/>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26.1 供应商对招标活动事项有疑问的，可以向招标代理或采购人提出询问，招标代理或采购人将在两个工作日内作出答复，但答复的内容不涉及商业秘密</w:t>
      </w:r>
      <w:r>
        <w:rPr>
          <w:rFonts w:hint="eastAsia"/>
          <w:b/>
          <w:color w:val="000000" w:themeColor="text1"/>
          <w:lang w:val="zh-CN"/>
          <w14:textFill>
            <w14:solidFill>
              <w14:schemeClr w14:val="tx1"/>
            </w14:solidFill>
          </w14:textFill>
        </w:rPr>
        <w:t>。</w:t>
      </w:r>
    </w:p>
    <w:p w14:paraId="08BF5D1A">
      <w:pPr>
        <w:adjustRightInd w:val="0"/>
        <w:ind w:firstLine="422" w:firstLineChars="200"/>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27、质疑</w:t>
      </w:r>
    </w:p>
    <w:p w14:paraId="6FA55021">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27.1 供应商认为采购文件、采购过程和中标结果使自己的合法权益受到损害的，可以在知道或者应当知道其权益受到损害之日起七个工作日内一次性提出针对同一采购程序环节的质疑，质疑文件原件以书面形式送达招标代理。</w:t>
      </w:r>
    </w:p>
    <w:p w14:paraId="008D82A6">
      <w:pPr>
        <w:spacing w:line="320" w:lineRule="atLeast"/>
        <w:ind w:firstLine="409"/>
        <w:rPr>
          <w:color w:val="000000" w:themeColor="text1"/>
          <w14:textFill>
            <w14:solidFill>
              <w14:schemeClr w14:val="tx1"/>
            </w14:solidFill>
          </w14:textFill>
        </w:rPr>
      </w:pPr>
      <w:r>
        <w:rPr>
          <w:rFonts w:hint="eastAsia"/>
          <w:color w:val="000000" w:themeColor="text1"/>
          <w14:textFill>
            <w14:solidFill>
              <w14:schemeClr w14:val="tx1"/>
            </w14:solidFill>
          </w14:textFill>
        </w:rPr>
        <w:t>27.2 质疑供应商是指直接参加本次投标活动的供应商，未参加投标活动的供应商或在投标活动中自身权益未受到损害的供应商所提出的质疑不予受理。</w:t>
      </w:r>
    </w:p>
    <w:p w14:paraId="4EFCDA86">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27.3 质疑必须以参加投标供应商法定代表人或授权代表（投标文件中所确定的）原件送达的方式提交，否则，招标代理有权不予受理。</w:t>
      </w:r>
    </w:p>
    <w:p w14:paraId="45D9CF52">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27.4上述应知其权益受到损害之日是指：</w:t>
      </w:r>
    </w:p>
    <w:p w14:paraId="2E98C89C">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（1）对招标文件提出质疑的，为招标文件公告期限届满之日起计算；</w:t>
      </w:r>
    </w:p>
    <w:p w14:paraId="61A5CF69">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（2）对采购过程提出质疑的，自采购程序环节结束之日起计算；</w:t>
      </w:r>
    </w:p>
    <w:p w14:paraId="6C8C1755">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（3）对中标结果提出质疑的，自中标结果公告期限届满之日起计算。</w:t>
      </w:r>
    </w:p>
    <w:p w14:paraId="5EFF3E60">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27.5 质疑文件应包括以下主要内容，并按照“谁主张、谁举证”的原则，附上相关证明材料。否则，招标代理或采购人不予受理：</w:t>
      </w:r>
    </w:p>
    <w:p w14:paraId="466C24D5">
      <w:pPr>
        <w:spacing w:line="320" w:lineRule="atLeast"/>
        <w:ind w:left="420"/>
        <w:rPr>
          <w:color w:val="000000" w:themeColor="text1"/>
          <w14:textFill>
            <w14:solidFill>
              <w14:schemeClr w14:val="tx1"/>
            </w14:solidFill>
          </w14:textFill>
        </w:rPr>
      </w:pPr>
      <w:r>
        <w:rPr>
          <w:rFonts w:hint="eastAsia"/>
          <w:color w:val="000000" w:themeColor="text1"/>
          <w14:textFill>
            <w14:solidFill>
              <w14:schemeClr w14:val="tx1"/>
            </w14:solidFill>
          </w14:textFill>
        </w:rPr>
        <w:t>（1）质疑项目名称、项目编号、包号、招标公告发布时间、开标时间；</w:t>
      </w:r>
    </w:p>
    <w:p w14:paraId="235780F0">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（2）提起质疑的日期、具体的质疑事项及事实根据（具体条款）；</w:t>
      </w:r>
    </w:p>
    <w:p w14:paraId="1CE86EE9">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03985952">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（4）质疑供应商名称、地址、邮编、联系人、联系电话（包括座机、手机、传真号码等）；</w:t>
      </w:r>
    </w:p>
    <w:p w14:paraId="2A7567D8">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46EC137F">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（6）供应商委托代理质疑的，应当向被质疑人提交授权委托书，并载明委托代理的具体权限和事项。</w:t>
      </w:r>
    </w:p>
    <w:p w14:paraId="577CB4CE">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p>
    <w:p w14:paraId="1BAAD18B">
      <w:pPr>
        <w:spacing w:line="320" w:lineRule="atLeast"/>
        <w:ind w:firstLine="420"/>
        <w:rPr>
          <w:color w:val="000000" w:themeColor="text1"/>
          <w14:textFill>
            <w14:solidFill>
              <w14:schemeClr w14:val="tx1"/>
            </w14:solidFill>
          </w14:textFill>
        </w:rPr>
      </w:pPr>
      <w:r>
        <w:rPr>
          <w:rFonts w:hint="eastAsia"/>
          <w:b/>
          <w:color w:val="000000" w:themeColor="text1"/>
          <w14:textFill>
            <w14:solidFill>
              <w14:schemeClr w14:val="tx1"/>
            </w14:solidFill>
          </w14:textFill>
        </w:rPr>
        <w:t>28、投诉</w:t>
      </w:r>
    </w:p>
    <w:p w14:paraId="51C4C9FB">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28.1质疑供应商对招标代理的答复不满意，或招标代理未在规定的时间内作出答复的，可以在答复期满后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十五个工作日内</w:t>
      </w:r>
      <w:r>
        <w:rPr>
          <w:rFonts w:hint="eastAsia"/>
          <w:color w:val="000000" w:themeColor="text1"/>
          <w14:textFill>
            <w14:solidFill>
              <w14:schemeClr w14:val="tx1"/>
            </w14:solidFill>
          </w14:textFill>
        </w:rPr>
        <w:t>向采购项目同级财政部门投诉。</w:t>
      </w:r>
    </w:p>
    <w:p w14:paraId="35A75402">
      <w:pPr>
        <w:spacing w:line="320" w:lineRule="atLeast"/>
        <w:ind w:firstLine="420"/>
        <w:rPr>
          <w:b/>
          <w:color w:val="000000" w:themeColor="text1"/>
          <w14:textFill>
            <w14:solidFill>
              <w14:schemeClr w14:val="tx1"/>
            </w14:solidFill>
          </w14:textFill>
        </w:rPr>
      </w:pPr>
      <w:r>
        <w:rPr>
          <w:rFonts w:hint="eastAsia"/>
          <w:b/>
          <w:color w:val="000000" w:themeColor="text1"/>
          <w14:textFill>
            <w14:solidFill>
              <w14:schemeClr w14:val="tx1"/>
            </w14:solidFill>
          </w14:textFill>
        </w:rPr>
        <w:t>29、诚实信用</w:t>
      </w:r>
    </w:p>
    <w:p w14:paraId="5DF04698">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29.1 供应商之间不得相互串通投标报价，不得妨碍其他供应商的公平竞争，不得损害采购人和其他供应商的合法权益。</w:t>
      </w:r>
    </w:p>
    <w:p w14:paraId="56E81478">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29.2 供应商不得以向招标代理工作人员、评标委员会成员行贿或者采取其他不正当手段谋取中标。经查实供应商有此行为的，政府采购管理部门将供应商列入不良行为记录名单，按照《政府采购法》有关规定处理。</w:t>
      </w:r>
    </w:p>
    <w:p w14:paraId="57C985FA">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307BA258">
      <w:pPr>
        <w:spacing w:line="320" w:lineRule="atLeas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29.4 供应商不得虚假承诺，否则，按照提供虚假材料谋取中标成交处理。</w:t>
      </w:r>
    </w:p>
    <w:p w14:paraId="4079FEE1">
      <w:pPr>
        <w:spacing w:line="320" w:lineRule="atLeast"/>
        <w:ind w:firstLine="420"/>
        <w:rPr>
          <w:b/>
          <w:color w:val="000000" w:themeColor="text1"/>
          <w:sz w:val="36"/>
          <w14:textFill>
            <w14:solidFill>
              <w14:schemeClr w14:val="tx1"/>
            </w14:solidFill>
          </w14:textFill>
        </w:rPr>
      </w:pPr>
      <w:r>
        <w:rPr>
          <w:rFonts w:hint="eastAsia"/>
          <w:color w:val="000000" w:themeColor="text1"/>
          <w14:textFill>
            <w14:solidFill>
              <w14:schemeClr w14:val="tx1"/>
            </w14:solidFill>
          </w14:textFill>
        </w:rPr>
        <w:t>29.5 供应商应自觉遵守开标、评标纪律，扰乱开标评标现场秩序的，属于失信行为，失信行为将被记入供应商诚信档案</w:t>
      </w:r>
    </w:p>
    <w:p w14:paraId="3A6C2A06">
      <w:pPr>
        <w:jc w:val="center"/>
        <w:outlineLvl w:val="0"/>
        <w:rPr>
          <w:b/>
          <w:color w:val="000000" w:themeColor="text1"/>
          <w:sz w:val="36"/>
          <w:szCs w:val="36"/>
          <w14:textFill>
            <w14:solidFill>
              <w14:schemeClr w14:val="tx1"/>
            </w14:solidFill>
          </w14:textFill>
        </w:rPr>
      </w:pPr>
      <w:r>
        <w:rPr>
          <w:rFonts w:hint="eastAsia"/>
          <w:color w:val="000000" w:themeColor="text1"/>
          <w:lang w:val="zh-CN"/>
          <w14:textFill>
            <w14:solidFill>
              <w14:schemeClr w14:val="tx1"/>
            </w14:solidFill>
          </w14:textFill>
        </w:rPr>
        <w:br w:type="page"/>
      </w:r>
      <w:bookmarkStart w:id="42" w:name="_Toc11696"/>
      <w:r>
        <w:rPr>
          <w:rFonts w:hint="eastAsia"/>
          <w:b/>
          <w:color w:val="000000" w:themeColor="text1"/>
          <w:sz w:val="36"/>
          <w:szCs w:val="36"/>
          <w14:textFill>
            <w14:solidFill>
              <w14:schemeClr w14:val="tx1"/>
            </w14:solidFill>
          </w14:textFill>
        </w:rPr>
        <w:t>第三章 评标标准</w:t>
      </w:r>
      <w:bookmarkEnd w:id="42"/>
    </w:p>
    <w:p w14:paraId="49E6E9DC">
      <w:pPr>
        <w:pStyle w:val="84"/>
        <w:ind w:firstLine="0" w:firstLineChars="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3.1资格审查：</w:t>
      </w:r>
    </w:p>
    <w:tbl>
      <w:tblPr>
        <w:tblStyle w:val="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3564"/>
        <w:gridCol w:w="4388"/>
        <w:gridCol w:w="513"/>
        <w:gridCol w:w="513"/>
        <w:gridCol w:w="517"/>
      </w:tblGrid>
      <w:tr w14:paraId="2168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Merge w:val="restart"/>
            <w:vAlign w:val="center"/>
          </w:tcPr>
          <w:p w14:paraId="6FF2A33E">
            <w:pPr>
              <w:pStyle w:val="84"/>
              <w:spacing w:line="240" w:lineRule="auto"/>
              <w:ind w:firstLine="0" w:firstLineChars="0"/>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序号</w:t>
            </w:r>
          </w:p>
        </w:tc>
        <w:tc>
          <w:tcPr>
            <w:tcW w:w="3571" w:type="dxa"/>
            <w:vMerge w:val="restart"/>
            <w:vAlign w:val="center"/>
          </w:tcPr>
          <w:p w14:paraId="00D84932">
            <w:pPr>
              <w:pStyle w:val="84"/>
              <w:spacing w:line="240" w:lineRule="auto"/>
              <w:ind w:firstLine="0" w:firstLineChars="0"/>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审查因素</w:t>
            </w:r>
          </w:p>
        </w:tc>
        <w:tc>
          <w:tcPr>
            <w:tcW w:w="4399" w:type="dxa"/>
            <w:vMerge w:val="restart"/>
            <w:vAlign w:val="center"/>
          </w:tcPr>
          <w:p w14:paraId="0FB9EDFD">
            <w:pPr>
              <w:pStyle w:val="84"/>
              <w:spacing w:line="240" w:lineRule="auto"/>
              <w:ind w:firstLine="0" w:firstLineChars="0"/>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审查标准</w:t>
            </w:r>
          </w:p>
        </w:tc>
        <w:tc>
          <w:tcPr>
            <w:tcW w:w="1528" w:type="dxa"/>
            <w:gridSpan w:val="3"/>
          </w:tcPr>
          <w:p w14:paraId="660725ED">
            <w:pPr>
              <w:pStyle w:val="84"/>
              <w:spacing w:line="240" w:lineRule="auto"/>
              <w:ind w:firstLine="0" w:firstLineChars="0"/>
              <w:jc w:val="both"/>
              <w:rPr>
                <w:b/>
                <w:color w:val="000000" w:themeColor="text1"/>
                <w14:textFill>
                  <w14:solidFill>
                    <w14:schemeClr w14:val="tx1"/>
                  </w14:solidFill>
                </w14:textFill>
              </w:rPr>
            </w:pPr>
            <w:r>
              <w:rPr>
                <w:rFonts w:hint="eastAsia"/>
                <w:b/>
                <w:color w:val="000000" w:themeColor="text1"/>
                <w14:textFill>
                  <w14:solidFill>
                    <w14:schemeClr w14:val="tx1"/>
                  </w14:solidFill>
                </w14:textFill>
              </w:rPr>
              <w:t>投标人名称及审查意见</w:t>
            </w:r>
          </w:p>
        </w:tc>
      </w:tr>
      <w:tr w14:paraId="2A90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Merge w:val="continue"/>
            <w:vAlign w:val="center"/>
          </w:tcPr>
          <w:p w14:paraId="6A0133F9">
            <w:pPr>
              <w:pStyle w:val="84"/>
              <w:spacing w:line="240" w:lineRule="auto"/>
              <w:ind w:firstLine="0" w:firstLineChars="0"/>
              <w:jc w:val="center"/>
              <w:rPr>
                <w:color w:val="000000" w:themeColor="text1"/>
                <w14:textFill>
                  <w14:solidFill>
                    <w14:schemeClr w14:val="tx1"/>
                  </w14:solidFill>
                </w14:textFill>
              </w:rPr>
            </w:pPr>
          </w:p>
        </w:tc>
        <w:tc>
          <w:tcPr>
            <w:tcW w:w="3571" w:type="dxa"/>
            <w:vMerge w:val="continue"/>
          </w:tcPr>
          <w:p w14:paraId="28536EA9">
            <w:pPr>
              <w:pStyle w:val="84"/>
              <w:spacing w:line="240" w:lineRule="auto"/>
              <w:ind w:firstLine="0" w:firstLineChars="0"/>
              <w:jc w:val="both"/>
              <w:rPr>
                <w:color w:val="000000" w:themeColor="text1"/>
                <w14:textFill>
                  <w14:solidFill>
                    <w14:schemeClr w14:val="tx1"/>
                  </w14:solidFill>
                </w14:textFill>
              </w:rPr>
            </w:pPr>
          </w:p>
        </w:tc>
        <w:tc>
          <w:tcPr>
            <w:tcW w:w="4399" w:type="dxa"/>
            <w:vMerge w:val="continue"/>
          </w:tcPr>
          <w:p w14:paraId="19690F0E">
            <w:pPr>
              <w:pStyle w:val="84"/>
              <w:spacing w:line="240" w:lineRule="auto"/>
              <w:ind w:firstLine="0" w:firstLineChars="0"/>
              <w:jc w:val="both"/>
              <w:rPr>
                <w:color w:val="000000" w:themeColor="text1"/>
                <w14:textFill>
                  <w14:solidFill>
                    <w14:schemeClr w14:val="tx1"/>
                  </w14:solidFill>
                </w14:textFill>
              </w:rPr>
            </w:pPr>
          </w:p>
        </w:tc>
        <w:tc>
          <w:tcPr>
            <w:tcW w:w="508" w:type="dxa"/>
          </w:tcPr>
          <w:p w14:paraId="12FC7CEC">
            <w:pPr>
              <w:pStyle w:val="84"/>
              <w:spacing w:line="240" w:lineRule="auto"/>
              <w:ind w:firstLine="0" w:firstLineChars="0"/>
              <w:jc w:val="both"/>
              <w:rPr>
                <w:color w:val="000000" w:themeColor="text1"/>
                <w14:textFill>
                  <w14:solidFill>
                    <w14:schemeClr w14:val="tx1"/>
                  </w14:solidFill>
                </w14:textFill>
              </w:rPr>
            </w:pPr>
          </w:p>
        </w:tc>
        <w:tc>
          <w:tcPr>
            <w:tcW w:w="508" w:type="dxa"/>
          </w:tcPr>
          <w:p w14:paraId="724CFDEA">
            <w:pPr>
              <w:pStyle w:val="84"/>
              <w:spacing w:line="240" w:lineRule="auto"/>
              <w:ind w:firstLine="0" w:firstLineChars="0"/>
              <w:jc w:val="both"/>
              <w:rPr>
                <w:color w:val="000000" w:themeColor="text1"/>
                <w14:textFill>
                  <w14:solidFill>
                    <w14:schemeClr w14:val="tx1"/>
                  </w14:solidFill>
                </w14:textFill>
              </w:rPr>
            </w:pPr>
          </w:p>
        </w:tc>
        <w:tc>
          <w:tcPr>
            <w:tcW w:w="512" w:type="dxa"/>
          </w:tcPr>
          <w:p w14:paraId="391D0211">
            <w:pPr>
              <w:pStyle w:val="84"/>
              <w:spacing w:line="240" w:lineRule="auto"/>
              <w:ind w:firstLine="0" w:firstLineChars="0"/>
              <w:jc w:val="both"/>
              <w:rPr>
                <w:color w:val="000000" w:themeColor="text1"/>
                <w14:textFill>
                  <w14:solidFill>
                    <w14:schemeClr w14:val="tx1"/>
                  </w14:solidFill>
                </w14:textFill>
              </w:rPr>
            </w:pPr>
          </w:p>
        </w:tc>
      </w:tr>
      <w:tr w14:paraId="571B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09A958F6">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3571" w:type="dxa"/>
            <w:vAlign w:val="center"/>
          </w:tcPr>
          <w:p w14:paraId="6322DE59">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具有独立承担民事责任的能力</w:t>
            </w:r>
          </w:p>
        </w:tc>
        <w:tc>
          <w:tcPr>
            <w:tcW w:w="4399" w:type="dxa"/>
            <w:vAlign w:val="center"/>
          </w:tcPr>
          <w:p w14:paraId="4876FA15">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提供法人或者其他组织的营业执照，自然人的身份证</w:t>
            </w:r>
          </w:p>
        </w:tc>
        <w:tc>
          <w:tcPr>
            <w:tcW w:w="508" w:type="dxa"/>
          </w:tcPr>
          <w:p w14:paraId="44745367">
            <w:pPr>
              <w:pStyle w:val="84"/>
              <w:spacing w:line="240" w:lineRule="auto"/>
              <w:ind w:firstLine="0" w:firstLineChars="0"/>
              <w:jc w:val="both"/>
              <w:rPr>
                <w:color w:val="000000" w:themeColor="text1"/>
                <w14:textFill>
                  <w14:solidFill>
                    <w14:schemeClr w14:val="tx1"/>
                  </w14:solidFill>
                </w14:textFill>
              </w:rPr>
            </w:pPr>
          </w:p>
        </w:tc>
        <w:tc>
          <w:tcPr>
            <w:tcW w:w="508" w:type="dxa"/>
          </w:tcPr>
          <w:p w14:paraId="00E99BD4">
            <w:pPr>
              <w:pStyle w:val="84"/>
              <w:spacing w:line="240" w:lineRule="auto"/>
              <w:ind w:firstLine="0" w:firstLineChars="0"/>
              <w:jc w:val="both"/>
              <w:rPr>
                <w:color w:val="000000" w:themeColor="text1"/>
                <w14:textFill>
                  <w14:solidFill>
                    <w14:schemeClr w14:val="tx1"/>
                  </w14:solidFill>
                </w14:textFill>
              </w:rPr>
            </w:pPr>
          </w:p>
        </w:tc>
        <w:tc>
          <w:tcPr>
            <w:tcW w:w="512" w:type="dxa"/>
          </w:tcPr>
          <w:p w14:paraId="7FAF7449">
            <w:pPr>
              <w:pStyle w:val="84"/>
              <w:spacing w:line="240" w:lineRule="auto"/>
              <w:ind w:firstLine="0" w:firstLineChars="0"/>
              <w:jc w:val="both"/>
              <w:rPr>
                <w:color w:val="000000" w:themeColor="text1"/>
                <w14:textFill>
                  <w14:solidFill>
                    <w14:schemeClr w14:val="tx1"/>
                  </w14:solidFill>
                </w14:textFill>
              </w:rPr>
            </w:pPr>
          </w:p>
        </w:tc>
      </w:tr>
      <w:tr w14:paraId="7DB2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6E9D10ED">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3571" w:type="dxa"/>
            <w:vAlign w:val="center"/>
          </w:tcPr>
          <w:p w14:paraId="0D3197E9">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具有良好的商业信誉和健全的财务会计制度</w:t>
            </w:r>
          </w:p>
        </w:tc>
        <w:tc>
          <w:tcPr>
            <w:tcW w:w="4399" w:type="dxa"/>
            <w:vAlign w:val="center"/>
          </w:tcPr>
          <w:p w14:paraId="3FD5BBBB">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提供投标截止时间前六个月内银行出具的资信证明，或投标截止时间前六个月内任意一个月的财务状况报告（至少包括资产负债表和利润表），或上一年度（或2024年度）的审计报告</w:t>
            </w:r>
          </w:p>
        </w:tc>
        <w:tc>
          <w:tcPr>
            <w:tcW w:w="508" w:type="dxa"/>
          </w:tcPr>
          <w:p w14:paraId="2B23F5F9">
            <w:pPr>
              <w:pStyle w:val="84"/>
              <w:spacing w:line="240" w:lineRule="auto"/>
              <w:ind w:firstLine="0" w:firstLineChars="0"/>
              <w:jc w:val="both"/>
              <w:rPr>
                <w:color w:val="000000" w:themeColor="text1"/>
                <w14:textFill>
                  <w14:solidFill>
                    <w14:schemeClr w14:val="tx1"/>
                  </w14:solidFill>
                </w14:textFill>
              </w:rPr>
            </w:pPr>
          </w:p>
        </w:tc>
        <w:tc>
          <w:tcPr>
            <w:tcW w:w="508" w:type="dxa"/>
          </w:tcPr>
          <w:p w14:paraId="1A994735">
            <w:pPr>
              <w:pStyle w:val="84"/>
              <w:spacing w:line="240" w:lineRule="auto"/>
              <w:ind w:firstLine="0" w:firstLineChars="0"/>
              <w:jc w:val="both"/>
              <w:rPr>
                <w:color w:val="000000" w:themeColor="text1"/>
                <w14:textFill>
                  <w14:solidFill>
                    <w14:schemeClr w14:val="tx1"/>
                  </w14:solidFill>
                </w14:textFill>
              </w:rPr>
            </w:pPr>
          </w:p>
        </w:tc>
        <w:tc>
          <w:tcPr>
            <w:tcW w:w="512" w:type="dxa"/>
          </w:tcPr>
          <w:p w14:paraId="6C94A76E">
            <w:pPr>
              <w:pStyle w:val="84"/>
              <w:spacing w:line="240" w:lineRule="auto"/>
              <w:ind w:firstLine="0" w:firstLineChars="0"/>
              <w:jc w:val="both"/>
              <w:rPr>
                <w:color w:val="000000" w:themeColor="text1"/>
                <w14:textFill>
                  <w14:solidFill>
                    <w14:schemeClr w14:val="tx1"/>
                  </w14:solidFill>
                </w14:textFill>
              </w:rPr>
            </w:pPr>
          </w:p>
        </w:tc>
      </w:tr>
      <w:tr w14:paraId="58D3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76EAD4CB">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3571" w:type="dxa"/>
            <w:vAlign w:val="center"/>
          </w:tcPr>
          <w:p w14:paraId="0AF832A3">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具有履行合同所必需的设备和专业技术能力</w:t>
            </w:r>
          </w:p>
        </w:tc>
        <w:tc>
          <w:tcPr>
            <w:tcW w:w="4399" w:type="dxa"/>
            <w:vAlign w:val="center"/>
          </w:tcPr>
          <w:p w14:paraId="2486950C">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根据项目需求提供履行合同所必需的设备和专业技术能力的证明材料或相关加盖公章的声明函。</w:t>
            </w:r>
          </w:p>
        </w:tc>
        <w:tc>
          <w:tcPr>
            <w:tcW w:w="508" w:type="dxa"/>
          </w:tcPr>
          <w:p w14:paraId="12D05704">
            <w:pPr>
              <w:pStyle w:val="84"/>
              <w:spacing w:line="240" w:lineRule="auto"/>
              <w:ind w:firstLine="0" w:firstLineChars="0"/>
              <w:jc w:val="both"/>
              <w:rPr>
                <w:color w:val="000000" w:themeColor="text1"/>
                <w14:textFill>
                  <w14:solidFill>
                    <w14:schemeClr w14:val="tx1"/>
                  </w14:solidFill>
                </w14:textFill>
              </w:rPr>
            </w:pPr>
          </w:p>
        </w:tc>
        <w:tc>
          <w:tcPr>
            <w:tcW w:w="508" w:type="dxa"/>
          </w:tcPr>
          <w:p w14:paraId="7131D654">
            <w:pPr>
              <w:pStyle w:val="84"/>
              <w:spacing w:line="240" w:lineRule="auto"/>
              <w:ind w:firstLine="0" w:firstLineChars="0"/>
              <w:jc w:val="both"/>
              <w:rPr>
                <w:color w:val="000000" w:themeColor="text1"/>
                <w14:textFill>
                  <w14:solidFill>
                    <w14:schemeClr w14:val="tx1"/>
                  </w14:solidFill>
                </w14:textFill>
              </w:rPr>
            </w:pPr>
          </w:p>
        </w:tc>
        <w:tc>
          <w:tcPr>
            <w:tcW w:w="512" w:type="dxa"/>
          </w:tcPr>
          <w:p w14:paraId="4EBECC69">
            <w:pPr>
              <w:pStyle w:val="84"/>
              <w:spacing w:line="240" w:lineRule="auto"/>
              <w:ind w:firstLine="0" w:firstLineChars="0"/>
              <w:jc w:val="both"/>
              <w:rPr>
                <w:color w:val="000000" w:themeColor="text1"/>
                <w14:textFill>
                  <w14:solidFill>
                    <w14:schemeClr w14:val="tx1"/>
                  </w14:solidFill>
                </w14:textFill>
              </w:rPr>
            </w:pPr>
          </w:p>
        </w:tc>
      </w:tr>
      <w:tr w14:paraId="2B3D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5533EA6F">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3571" w:type="dxa"/>
            <w:vAlign w:val="center"/>
          </w:tcPr>
          <w:p w14:paraId="2CD0E2AC">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有依法缴纳税收和社会保障资金的良好记录</w:t>
            </w:r>
          </w:p>
        </w:tc>
        <w:tc>
          <w:tcPr>
            <w:tcW w:w="4399" w:type="dxa"/>
            <w:vAlign w:val="center"/>
          </w:tcPr>
          <w:p w14:paraId="652A3850">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提供投标截止时间前六个月内任意一个月的纳税证明文件（依法免缴的应提供相应文件说明），并提供投标截止时间前六个月内任意一个月的依法为员工缴纳社会保障资金的证明文件（依法免缴的应提供相应文件说明）。</w:t>
            </w:r>
          </w:p>
        </w:tc>
        <w:tc>
          <w:tcPr>
            <w:tcW w:w="508" w:type="dxa"/>
          </w:tcPr>
          <w:p w14:paraId="6C550096">
            <w:pPr>
              <w:pStyle w:val="84"/>
              <w:spacing w:line="240" w:lineRule="auto"/>
              <w:ind w:firstLine="0" w:firstLineChars="0"/>
              <w:jc w:val="both"/>
              <w:rPr>
                <w:color w:val="000000" w:themeColor="text1"/>
                <w14:textFill>
                  <w14:solidFill>
                    <w14:schemeClr w14:val="tx1"/>
                  </w14:solidFill>
                </w14:textFill>
              </w:rPr>
            </w:pPr>
          </w:p>
        </w:tc>
        <w:tc>
          <w:tcPr>
            <w:tcW w:w="508" w:type="dxa"/>
          </w:tcPr>
          <w:p w14:paraId="04F4D3AA">
            <w:pPr>
              <w:pStyle w:val="84"/>
              <w:spacing w:line="240" w:lineRule="auto"/>
              <w:ind w:firstLine="0" w:firstLineChars="0"/>
              <w:jc w:val="both"/>
              <w:rPr>
                <w:color w:val="000000" w:themeColor="text1"/>
                <w14:textFill>
                  <w14:solidFill>
                    <w14:schemeClr w14:val="tx1"/>
                  </w14:solidFill>
                </w14:textFill>
              </w:rPr>
            </w:pPr>
          </w:p>
        </w:tc>
        <w:tc>
          <w:tcPr>
            <w:tcW w:w="512" w:type="dxa"/>
          </w:tcPr>
          <w:p w14:paraId="5931E710">
            <w:pPr>
              <w:pStyle w:val="84"/>
              <w:spacing w:line="240" w:lineRule="auto"/>
              <w:ind w:firstLine="0" w:firstLineChars="0"/>
              <w:jc w:val="both"/>
              <w:rPr>
                <w:color w:val="000000" w:themeColor="text1"/>
                <w14:textFill>
                  <w14:solidFill>
                    <w14:schemeClr w14:val="tx1"/>
                  </w14:solidFill>
                </w14:textFill>
              </w:rPr>
            </w:pPr>
          </w:p>
        </w:tc>
      </w:tr>
      <w:tr w14:paraId="7461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318233EB">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c>
          <w:tcPr>
            <w:tcW w:w="3571" w:type="dxa"/>
            <w:vAlign w:val="center"/>
          </w:tcPr>
          <w:p w14:paraId="2C34128D">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参加政府采购活动前三年内，在经营活动中没有重大违法记录</w:t>
            </w:r>
          </w:p>
        </w:tc>
        <w:tc>
          <w:tcPr>
            <w:tcW w:w="4399" w:type="dxa"/>
            <w:vAlign w:val="center"/>
          </w:tcPr>
          <w:p w14:paraId="5A50A034">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提供参加本次采购活动前三年内在经营活动中没有重大违法记录的书面声明</w:t>
            </w:r>
          </w:p>
        </w:tc>
        <w:tc>
          <w:tcPr>
            <w:tcW w:w="508" w:type="dxa"/>
          </w:tcPr>
          <w:p w14:paraId="4CB3BD87">
            <w:pPr>
              <w:pStyle w:val="84"/>
              <w:spacing w:line="240" w:lineRule="auto"/>
              <w:ind w:firstLine="0" w:firstLineChars="0"/>
              <w:jc w:val="both"/>
              <w:rPr>
                <w:color w:val="000000" w:themeColor="text1"/>
                <w14:textFill>
                  <w14:solidFill>
                    <w14:schemeClr w14:val="tx1"/>
                  </w14:solidFill>
                </w14:textFill>
              </w:rPr>
            </w:pPr>
          </w:p>
        </w:tc>
        <w:tc>
          <w:tcPr>
            <w:tcW w:w="508" w:type="dxa"/>
          </w:tcPr>
          <w:p w14:paraId="3EE5B422">
            <w:pPr>
              <w:pStyle w:val="84"/>
              <w:spacing w:line="240" w:lineRule="auto"/>
              <w:ind w:firstLine="0" w:firstLineChars="0"/>
              <w:jc w:val="both"/>
              <w:rPr>
                <w:color w:val="000000" w:themeColor="text1"/>
                <w14:textFill>
                  <w14:solidFill>
                    <w14:schemeClr w14:val="tx1"/>
                  </w14:solidFill>
                </w14:textFill>
              </w:rPr>
            </w:pPr>
          </w:p>
        </w:tc>
        <w:tc>
          <w:tcPr>
            <w:tcW w:w="512" w:type="dxa"/>
          </w:tcPr>
          <w:p w14:paraId="28D295EC">
            <w:pPr>
              <w:pStyle w:val="84"/>
              <w:spacing w:line="240" w:lineRule="auto"/>
              <w:ind w:firstLine="0" w:firstLineChars="0"/>
              <w:jc w:val="both"/>
              <w:rPr>
                <w:color w:val="000000" w:themeColor="text1"/>
                <w14:textFill>
                  <w14:solidFill>
                    <w14:schemeClr w14:val="tx1"/>
                  </w14:solidFill>
                </w14:textFill>
              </w:rPr>
            </w:pPr>
          </w:p>
        </w:tc>
      </w:tr>
      <w:tr w14:paraId="540B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0E664824">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t>
            </w:r>
          </w:p>
        </w:tc>
        <w:tc>
          <w:tcPr>
            <w:tcW w:w="3571" w:type="dxa"/>
            <w:vAlign w:val="center"/>
          </w:tcPr>
          <w:p w14:paraId="0A6AF944">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法律、行政法规规定的其他条件。</w:t>
            </w:r>
          </w:p>
        </w:tc>
        <w:tc>
          <w:tcPr>
            <w:tcW w:w="4399" w:type="dxa"/>
            <w:vAlign w:val="center"/>
          </w:tcPr>
          <w:p w14:paraId="6B17F2A2">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符合并提供承诺书加盖供应商公章编入响应文件中</w:t>
            </w:r>
          </w:p>
        </w:tc>
        <w:tc>
          <w:tcPr>
            <w:tcW w:w="508" w:type="dxa"/>
          </w:tcPr>
          <w:p w14:paraId="4922A8FA">
            <w:pPr>
              <w:pStyle w:val="84"/>
              <w:spacing w:line="240" w:lineRule="auto"/>
              <w:ind w:firstLine="0" w:firstLineChars="0"/>
              <w:jc w:val="both"/>
              <w:rPr>
                <w:color w:val="000000" w:themeColor="text1"/>
                <w14:textFill>
                  <w14:solidFill>
                    <w14:schemeClr w14:val="tx1"/>
                  </w14:solidFill>
                </w14:textFill>
              </w:rPr>
            </w:pPr>
          </w:p>
        </w:tc>
        <w:tc>
          <w:tcPr>
            <w:tcW w:w="508" w:type="dxa"/>
          </w:tcPr>
          <w:p w14:paraId="5673ED55">
            <w:pPr>
              <w:pStyle w:val="84"/>
              <w:spacing w:line="240" w:lineRule="auto"/>
              <w:ind w:firstLine="0" w:firstLineChars="0"/>
              <w:jc w:val="both"/>
              <w:rPr>
                <w:color w:val="000000" w:themeColor="text1"/>
                <w14:textFill>
                  <w14:solidFill>
                    <w14:schemeClr w14:val="tx1"/>
                  </w14:solidFill>
                </w14:textFill>
              </w:rPr>
            </w:pPr>
          </w:p>
        </w:tc>
        <w:tc>
          <w:tcPr>
            <w:tcW w:w="512" w:type="dxa"/>
          </w:tcPr>
          <w:p w14:paraId="2AD18227">
            <w:pPr>
              <w:pStyle w:val="84"/>
              <w:spacing w:line="240" w:lineRule="auto"/>
              <w:ind w:firstLine="0" w:firstLineChars="0"/>
              <w:jc w:val="both"/>
              <w:rPr>
                <w:color w:val="000000" w:themeColor="text1"/>
                <w14:textFill>
                  <w14:solidFill>
                    <w14:schemeClr w14:val="tx1"/>
                  </w14:solidFill>
                </w14:textFill>
              </w:rPr>
            </w:pPr>
          </w:p>
        </w:tc>
      </w:tr>
      <w:tr w14:paraId="427A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031D8EEF">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t>
            </w:r>
          </w:p>
        </w:tc>
        <w:tc>
          <w:tcPr>
            <w:tcW w:w="3571" w:type="dxa"/>
            <w:vAlign w:val="center"/>
          </w:tcPr>
          <w:p w14:paraId="70683FAD">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拒绝下述供应商参加本次采购活动：</w:t>
            </w:r>
          </w:p>
          <w:p w14:paraId="37220361">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（1）供应商单位负责人为同一人或者存在直接控股、管理关系的不同供应商，不得参加同一合同项下的采购活动。</w:t>
            </w:r>
          </w:p>
          <w:p w14:paraId="688EC8EE">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（2）凡为采购项目提供整体设计、规范编制或者项目管理、监理、检测等服务的供应商，不得再参加本项目的采购活动。</w:t>
            </w:r>
          </w:p>
          <w:p w14:paraId="0EFE8A69">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（3）拒绝列入失信被执行人、重大税收违法失信主体、政府采购严重违法失信行为记录名单中的供应商参加本项目的采购活动。</w:t>
            </w:r>
          </w:p>
        </w:tc>
        <w:tc>
          <w:tcPr>
            <w:tcW w:w="4399" w:type="dxa"/>
            <w:vAlign w:val="center"/>
          </w:tcPr>
          <w:p w14:paraId="2D1153FB">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提供承诺书加盖供应商公章编入响应文件中。</w:t>
            </w:r>
          </w:p>
          <w:p w14:paraId="4ADE52AB">
            <w:pPr>
              <w:pStyle w:val="63"/>
              <w:ind w:firstLine="240"/>
              <w:jc w:val="both"/>
              <w:rPr>
                <w:color w:val="000000" w:themeColor="text1"/>
                <w14:textFill>
                  <w14:solidFill>
                    <w14:schemeClr w14:val="tx1"/>
                  </w14:solidFill>
                </w14:textFill>
              </w:rPr>
            </w:pPr>
          </w:p>
          <w:p w14:paraId="25ACABAF">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注：采购人或代理机构通过 “信用中国”网站（www.creditchina.gov.cn）、“中国政府采购网”网站（www.ccgp.gov.cn）等渠道查询供应商信用记录并保存。</w:t>
            </w:r>
          </w:p>
        </w:tc>
        <w:tc>
          <w:tcPr>
            <w:tcW w:w="508" w:type="dxa"/>
          </w:tcPr>
          <w:p w14:paraId="5A7F0301">
            <w:pPr>
              <w:pStyle w:val="84"/>
              <w:spacing w:line="240" w:lineRule="auto"/>
              <w:ind w:firstLine="0" w:firstLineChars="0"/>
              <w:jc w:val="both"/>
              <w:rPr>
                <w:color w:val="000000" w:themeColor="text1"/>
                <w14:textFill>
                  <w14:solidFill>
                    <w14:schemeClr w14:val="tx1"/>
                  </w14:solidFill>
                </w14:textFill>
              </w:rPr>
            </w:pPr>
          </w:p>
        </w:tc>
        <w:tc>
          <w:tcPr>
            <w:tcW w:w="508" w:type="dxa"/>
          </w:tcPr>
          <w:p w14:paraId="701F2870">
            <w:pPr>
              <w:pStyle w:val="84"/>
              <w:spacing w:line="240" w:lineRule="auto"/>
              <w:ind w:firstLine="0" w:firstLineChars="0"/>
              <w:jc w:val="both"/>
              <w:rPr>
                <w:color w:val="000000" w:themeColor="text1"/>
                <w14:textFill>
                  <w14:solidFill>
                    <w14:schemeClr w14:val="tx1"/>
                  </w14:solidFill>
                </w14:textFill>
              </w:rPr>
            </w:pPr>
          </w:p>
        </w:tc>
        <w:tc>
          <w:tcPr>
            <w:tcW w:w="512" w:type="dxa"/>
          </w:tcPr>
          <w:p w14:paraId="19A815A7">
            <w:pPr>
              <w:pStyle w:val="84"/>
              <w:spacing w:line="240" w:lineRule="auto"/>
              <w:ind w:firstLine="0" w:firstLineChars="0"/>
              <w:jc w:val="both"/>
              <w:rPr>
                <w:color w:val="000000" w:themeColor="text1"/>
                <w14:textFill>
                  <w14:solidFill>
                    <w14:schemeClr w14:val="tx1"/>
                  </w14:solidFill>
                </w14:textFill>
              </w:rPr>
            </w:pPr>
          </w:p>
        </w:tc>
      </w:tr>
      <w:tr w14:paraId="7B0F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dxa"/>
            <w:vAlign w:val="center"/>
          </w:tcPr>
          <w:p w14:paraId="2FD6C30C">
            <w:pPr>
              <w:pStyle w:val="84"/>
              <w:spacing w:line="24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w:t>
            </w:r>
          </w:p>
        </w:tc>
        <w:tc>
          <w:tcPr>
            <w:tcW w:w="3571" w:type="dxa"/>
            <w:vAlign w:val="center"/>
          </w:tcPr>
          <w:p w14:paraId="420E492D">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按采购文件规定的数额和办法交纳投标保证金</w:t>
            </w:r>
          </w:p>
        </w:tc>
        <w:tc>
          <w:tcPr>
            <w:tcW w:w="4399" w:type="dxa"/>
            <w:vAlign w:val="center"/>
          </w:tcPr>
          <w:p w14:paraId="50FDC2E6">
            <w:pPr>
              <w:jc w:val="left"/>
              <w:rPr>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提供投标保</w:t>
            </w:r>
            <w:r>
              <w:rPr>
                <w:rFonts w:hint="eastAsia"/>
                <w:color w:val="000000" w:themeColor="text1"/>
                <w14:textFill>
                  <w14:solidFill>
                    <w14:schemeClr w14:val="tx1"/>
                  </w14:solidFill>
                </w14:textFill>
              </w:rPr>
              <w:t>证金</w:t>
            </w:r>
            <w:r>
              <w:rPr>
                <w:rFonts w:hint="eastAsia" w:ascii="Times New Roman" w:hAnsi="Times New Roman" w:cs="Times New Roman"/>
                <w:color w:val="000000" w:themeColor="text1"/>
                <w14:textFill>
                  <w14:solidFill>
                    <w14:schemeClr w14:val="tx1"/>
                  </w14:solidFill>
                </w14:textFill>
              </w:rPr>
              <w:t>缴纳凭证复印件并编入投标文件中</w:t>
            </w:r>
          </w:p>
        </w:tc>
        <w:tc>
          <w:tcPr>
            <w:tcW w:w="508" w:type="dxa"/>
          </w:tcPr>
          <w:p w14:paraId="09146488">
            <w:pPr>
              <w:pStyle w:val="84"/>
              <w:spacing w:line="240" w:lineRule="auto"/>
              <w:ind w:firstLine="0" w:firstLineChars="0"/>
              <w:jc w:val="both"/>
              <w:rPr>
                <w:color w:val="000000" w:themeColor="text1"/>
                <w14:textFill>
                  <w14:solidFill>
                    <w14:schemeClr w14:val="tx1"/>
                  </w14:solidFill>
                </w14:textFill>
              </w:rPr>
            </w:pPr>
          </w:p>
        </w:tc>
        <w:tc>
          <w:tcPr>
            <w:tcW w:w="508" w:type="dxa"/>
          </w:tcPr>
          <w:p w14:paraId="28BD6F51">
            <w:pPr>
              <w:pStyle w:val="84"/>
              <w:spacing w:line="240" w:lineRule="auto"/>
              <w:ind w:firstLine="0" w:firstLineChars="0"/>
              <w:jc w:val="both"/>
              <w:rPr>
                <w:color w:val="000000" w:themeColor="text1"/>
                <w14:textFill>
                  <w14:solidFill>
                    <w14:schemeClr w14:val="tx1"/>
                  </w14:solidFill>
                </w14:textFill>
              </w:rPr>
            </w:pPr>
          </w:p>
        </w:tc>
        <w:tc>
          <w:tcPr>
            <w:tcW w:w="512" w:type="dxa"/>
          </w:tcPr>
          <w:p w14:paraId="34502EBB">
            <w:pPr>
              <w:pStyle w:val="84"/>
              <w:spacing w:line="240" w:lineRule="auto"/>
              <w:ind w:firstLine="0" w:firstLineChars="0"/>
              <w:jc w:val="both"/>
              <w:rPr>
                <w:color w:val="000000" w:themeColor="text1"/>
                <w14:textFill>
                  <w14:solidFill>
                    <w14:schemeClr w14:val="tx1"/>
                  </w14:solidFill>
                </w14:textFill>
              </w:rPr>
            </w:pPr>
          </w:p>
        </w:tc>
      </w:tr>
      <w:tr w14:paraId="1ECF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326" w:type="dxa"/>
            <w:gridSpan w:val="3"/>
            <w:vAlign w:val="center"/>
          </w:tcPr>
          <w:p w14:paraId="7ED94ADF">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资格审查结论</w:t>
            </w:r>
          </w:p>
        </w:tc>
        <w:tc>
          <w:tcPr>
            <w:tcW w:w="508" w:type="dxa"/>
            <w:shd w:val="clear" w:color="auto" w:fill="auto"/>
            <w:vAlign w:val="center"/>
          </w:tcPr>
          <w:p w14:paraId="08A493C1">
            <w:pPr>
              <w:jc w:val="both"/>
              <w:rPr>
                <w:color w:val="000000" w:themeColor="text1"/>
                <w14:textFill>
                  <w14:solidFill>
                    <w14:schemeClr w14:val="tx1"/>
                  </w14:solidFill>
                </w14:textFill>
              </w:rPr>
            </w:pPr>
          </w:p>
        </w:tc>
        <w:tc>
          <w:tcPr>
            <w:tcW w:w="508" w:type="dxa"/>
            <w:shd w:val="clear" w:color="auto" w:fill="auto"/>
            <w:vAlign w:val="center"/>
          </w:tcPr>
          <w:p w14:paraId="7DC7A748">
            <w:pPr>
              <w:jc w:val="both"/>
              <w:rPr>
                <w:color w:val="000000" w:themeColor="text1"/>
                <w14:textFill>
                  <w14:solidFill>
                    <w14:schemeClr w14:val="tx1"/>
                  </w14:solidFill>
                </w14:textFill>
              </w:rPr>
            </w:pPr>
          </w:p>
        </w:tc>
        <w:tc>
          <w:tcPr>
            <w:tcW w:w="512" w:type="dxa"/>
          </w:tcPr>
          <w:p w14:paraId="6819382D">
            <w:pPr>
              <w:pStyle w:val="84"/>
              <w:spacing w:line="240" w:lineRule="auto"/>
              <w:ind w:firstLine="0" w:firstLineChars="0"/>
              <w:jc w:val="both"/>
              <w:rPr>
                <w:color w:val="000000" w:themeColor="text1"/>
                <w14:textFill>
                  <w14:solidFill>
                    <w14:schemeClr w14:val="tx1"/>
                  </w14:solidFill>
                </w14:textFill>
              </w:rPr>
            </w:pPr>
          </w:p>
        </w:tc>
      </w:tr>
    </w:tbl>
    <w:p w14:paraId="5B4F3C94">
      <w:pPr>
        <w:pStyle w:val="84"/>
        <w:ind w:firstLine="400"/>
        <w:rPr>
          <w:color w:val="000000" w:themeColor="text1"/>
          <w14:textFill>
            <w14:solidFill>
              <w14:schemeClr w14:val="tx1"/>
            </w14:solidFill>
          </w14:textFill>
        </w:rPr>
      </w:pPr>
    </w:p>
    <w:p w14:paraId="0E97713C">
      <w:pPr>
        <w:widowControl/>
        <w:rPr>
          <w:color w:val="000000" w:themeColor="text1"/>
          <w:sz w:val="24"/>
          <w14:textFill>
            <w14:solidFill>
              <w14:schemeClr w14:val="tx1"/>
            </w14:solidFill>
          </w14:textFill>
        </w:rPr>
      </w:pPr>
      <w:r>
        <w:rPr>
          <w:color w:val="000000" w:themeColor="text1"/>
          <w:sz w:val="24"/>
          <w:szCs w:val="24"/>
          <w14:textFill>
            <w14:solidFill>
              <w14:schemeClr w14:val="tx1"/>
            </w14:solidFill>
          </w14:textFill>
        </w:rPr>
        <w:br w:type="page"/>
      </w:r>
      <w:r>
        <w:rPr>
          <w:rFonts w:hint="eastAsia"/>
          <w:b/>
          <w:bCs/>
          <w:color w:val="000000" w:themeColor="text1"/>
          <w:sz w:val="24"/>
          <w14:textFill>
            <w14:solidFill>
              <w14:schemeClr w14:val="tx1"/>
            </w14:solidFill>
          </w14:textFill>
        </w:rPr>
        <w:t xml:space="preserve"> 3.2符合性检查</w:t>
      </w:r>
    </w:p>
    <w:tbl>
      <w:tblPr>
        <w:tblStyle w:val="66"/>
        <w:tblpPr w:leftFromText="180" w:rightFromText="180" w:vertAnchor="text" w:tblpY="1"/>
        <w:tblOverlap w:val="never"/>
        <w:tblW w:w="98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2767"/>
        <w:gridCol w:w="1965"/>
        <w:gridCol w:w="1894"/>
        <w:gridCol w:w="2035"/>
      </w:tblGrid>
      <w:tr w14:paraId="287B4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trPr>
        <w:tc>
          <w:tcPr>
            <w:tcW w:w="1161" w:type="dxa"/>
          </w:tcPr>
          <w:p w14:paraId="48B7B2D6">
            <w:pPr>
              <w:widowControl/>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序号</w:t>
            </w:r>
          </w:p>
        </w:tc>
        <w:tc>
          <w:tcPr>
            <w:tcW w:w="2767" w:type="dxa"/>
          </w:tcPr>
          <w:p w14:paraId="0B66FA70">
            <w:pPr>
              <w:widowControl/>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项目内容</w:t>
            </w:r>
          </w:p>
        </w:tc>
        <w:tc>
          <w:tcPr>
            <w:tcW w:w="1965" w:type="dxa"/>
          </w:tcPr>
          <w:p w14:paraId="55A82AAB">
            <w:pPr>
              <w:widowControl/>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合格</w:t>
            </w:r>
          </w:p>
        </w:tc>
        <w:tc>
          <w:tcPr>
            <w:tcW w:w="1894" w:type="dxa"/>
          </w:tcPr>
          <w:p w14:paraId="4769AB34">
            <w:pPr>
              <w:widowControl/>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不合格</w:t>
            </w:r>
          </w:p>
        </w:tc>
        <w:tc>
          <w:tcPr>
            <w:tcW w:w="2035" w:type="dxa"/>
          </w:tcPr>
          <w:p w14:paraId="051F6EFE">
            <w:pPr>
              <w:widowControl/>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不合格理由</w:t>
            </w:r>
          </w:p>
        </w:tc>
      </w:tr>
      <w:tr w14:paraId="6B0F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161" w:type="dxa"/>
            <w:vAlign w:val="center"/>
          </w:tcPr>
          <w:p w14:paraId="3E9E8E21">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p>
        </w:tc>
        <w:tc>
          <w:tcPr>
            <w:tcW w:w="2767" w:type="dxa"/>
            <w:vAlign w:val="center"/>
          </w:tcPr>
          <w:p w14:paraId="343EDBA1">
            <w:pPr>
              <w:ind w:firstLine="420" w:firstLineChars="200"/>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投标文件的有效性</w:t>
            </w:r>
          </w:p>
        </w:tc>
        <w:tc>
          <w:tcPr>
            <w:tcW w:w="1965" w:type="dxa"/>
          </w:tcPr>
          <w:p w14:paraId="13BC7AE5">
            <w:pPr>
              <w:pStyle w:val="84"/>
              <w:ind w:firstLine="0" w:firstLineChars="0"/>
              <w:jc w:val="both"/>
              <w:rPr>
                <w:color w:val="000000" w:themeColor="text1"/>
                <w14:textFill>
                  <w14:solidFill>
                    <w14:schemeClr w14:val="tx1"/>
                  </w14:solidFill>
                </w14:textFill>
              </w:rPr>
            </w:pPr>
          </w:p>
        </w:tc>
        <w:tc>
          <w:tcPr>
            <w:tcW w:w="1894" w:type="dxa"/>
          </w:tcPr>
          <w:p w14:paraId="732DCA7F">
            <w:pPr>
              <w:pStyle w:val="84"/>
              <w:ind w:firstLine="0" w:firstLineChars="0"/>
              <w:jc w:val="both"/>
              <w:rPr>
                <w:color w:val="000000" w:themeColor="text1"/>
                <w14:textFill>
                  <w14:solidFill>
                    <w14:schemeClr w14:val="tx1"/>
                  </w14:solidFill>
                </w14:textFill>
              </w:rPr>
            </w:pPr>
          </w:p>
        </w:tc>
        <w:tc>
          <w:tcPr>
            <w:tcW w:w="2035" w:type="dxa"/>
          </w:tcPr>
          <w:p w14:paraId="7CB01592">
            <w:pPr>
              <w:pStyle w:val="84"/>
              <w:ind w:firstLine="0" w:firstLineChars="0"/>
              <w:jc w:val="both"/>
              <w:rPr>
                <w:color w:val="000000" w:themeColor="text1"/>
                <w14:textFill>
                  <w14:solidFill>
                    <w14:schemeClr w14:val="tx1"/>
                  </w14:solidFill>
                </w14:textFill>
              </w:rPr>
            </w:pPr>
          </w:p>
        </w:tc>
      </w:tr>
      <w:tr w14:paraId="3B91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161" w:type="dxa"/>
            <w:vAlign w:val="center"/>
          </w:tcPr>
          <w:p w14:paraId="6512BBF7">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2767" w:type="dxa"/>
            <w:vAlign w:val="center"/>
          </w:tcPr>
          <w:p w14:paraId="418FD7C6">
            <w:pPr>
              <w:ind w:firstLine="420" w:firstLineChars="200"/>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投标文件的完整性</w:t>
            </w:r>
          </w:p>
        </w:tc>
        <w:tc>
          <w:tcPr>
            <w:tcW w:w="1965" w:type="dxa"/>
          </w:tcPr>
          <w:p w14:paraId="2FF3E67E">
            <w:pPr>
              <w:pStyle w:val="84"/>
              <w:ind w:firstLine="0" w:firstLineChars="0"/>
              <w:jc w:val="both"/>
              <w:rPr>
                <w:color w:val="000000" w:themeColor="text1"/>
                <w14:textFill>
                  <w14:solidFill>
                    <w14:schemeClr w14:val="tx1"/>
                  </w14:solidFill>
                </w14:textFill>
              </w:rPr>
            </w:pPr>
          </w:p>
        </w:tc>
        <w:tc>
          <w:tcPr>
            <w:tcW w:w="1894" w:type="dxa"/>
          </w:tcPr>
          <w:p w14:paraId="67814498">
            <w:pPr>
              <w:pStyle w:val="84"/>
              <w:ind w:firstLine="0" w:firstLineChars="0"/>
              <w:jc w:val="both"/>
              <w:rPr>
                <w:color w:val="000000" w:themeColor="text1"/>
                <w14:textFill>
                  <w14:solidFill>
                    <w14:schemeClr w14:val="tx1"/>
                  </w14:solidFill>
                </w14:textFill>
              </w:rPr>
            </w:pPr>
          </w:p>
        </w:tc>
        <w:tc>
          <w:tcPr>
            <w:tcW w:w="2035" w:type="dxa"/>
          </w:tcPr>
          <w:p w14:paraId="6A6F4E9D">
            <w:pPr>
              <w:pStyle w:val="84"/>
              <w:ind w:firstLine="0" w:firstLineChars="0"/>
              <w:jc w:val="both"/>
              <w:rPr>
                <w:color w:val="000000" w:themeColor="text1"/>
                <w14:textFill>
                  <w14:solidFill>
                    <w14:schemeClr w14:val="tx1"/>
                  </w14:solidFill>
                </w14:textFill>
              </w:rPr>
            </w:pPr>
          </w:p>
        </w:tc>
      </w:tr>
      <w:tr w14:paraId="5146B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1" w:type="dxa"/>
            <w:vAlign w:val="center"/>
          </w:tcPr>
          <w:p w14:paraId="7702FE74">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2767" w:type="dxa"/>
            <w:vAlign w:val="center"/>
          </w:tcPr>
          <w:p w14:paraId="2B91E31A">
            <w:pPr>
              <w:ind w:firstLine="420" w:firstLineChars="200"/>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对招标文件的响应程度</w:t>
            </w:r>
          </w:p>
        </w:tc>
        <w:tc>
          <w:tcPr>
            <w:tcW w:w="1965" w:type="dxa"/>
          </w:tcPr>
          <w:p w14:paraId="687FBAE5">
            <w:pPr>
              <w:pStyle w:val="84"/>
              <w:ind w:firstLine="0" w:firstLineChars="0"/>
              <w:jc w:val="both"/>
              <w:rPr>
                <w:color w:val="000000" w:themeColor="text1"/>
                <w14:textFill>
                  <w14:solidFill>
                    <w14:schemeClr w14:val="tx1"/>
                  </w14:solidFill>
                </w14:textFill>
              </w:rPr>
            </w:pPr>
          </w:p>
        </w:tc>
        <w:tc>
          <w:tcPr>
            <w:tcW w:w="1894" w:type="dxa"/>
          </w:tcPr>
          <w:p w14:paraId="7E735183">
            <w:pPr>
              <w:pStyle w:val="84"/>
              <w:ind w:firstLine="0" w:firstLineChars="0"/>
              <w:jc w:val="both"/>
              <w:rPr>
                <w:color w:val="000000" w:themeColor="text1"/>
                <w14:textFill>
                  <w14:solidFill>
                    <w14:schemeClr w14:val="tx1"/>
                  </w14:solidFill>
                </w14:textFill>
              </w:rPr>
            </w:pPr>
          </w:p>
        </w:tc>
        <w:tc>
          <w:tcPr>
            <w:tcW w:w="2035" w:type="dxa"/>
          </w:tcPr>
          <w:p w14:paraId="7DB03CC6">
            <w:pPr>
              <w:pStyle w:val="84"/>
              <w:ind w:firstLine="0" w:firstLineChars="0"/>
              <w:jc w:val="both"/>
              <w:rPr>
                <w:color w:val="000000" w:themeColor="text1"/>
                <w14:textFill>
                  <w14:solidFill>
                    <w14:schemeClr w14:val="tx1"/>
                  </w14:solidFill>
                </w14:textFill>
              </w:rPr>
            </w:pPr>
          </w:p>
        </w:tc>
      </w:tr>
      <w:tr w14:paraId="4ECD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161" w:type="dxa"/>
            <w:vAlign w:val="center"/>
          </w:tcPr>
          <w:p w14:paraId="7B364CE1">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4</w:t>
            </w:r>
          </w:p>
        </w:tc>
        <w:tc>
          <w:tcPr>
            <w:tcW w:w="2767" w:type="dxa"/>
            <w:vAlign w:val="center"/>
          </w:tcPr>
          <w:p w14:paraId="18D8C48B">
            <w:pPr>
              <w:ind w:firstLine="420" w:firstLineChars="200"/>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报价是否超过预算</w:t>
            </w:r>
          </w:p>
        </w:tc>
        <w:tc>
          <w:tcPr>
            <w:tcW w:w="1965" w:type="dxa"/>
          </w:tcPr>
          <w:p w14:paraId="57F5A6E9">
            <w:pPr>
              <w:pStyle w:val="84"/>
              <w:ind w:firstLine="0" w:firstLineChars="0"/>
              <w:jc w:val="both"/>
              <w:rPr>
                <w:color w:val="000000" w:themeColor="text1"/>
                <w14:textFill>
                  <w14:solidFill>
                    <w14:schemeClr w14:val="tx1"/>
                  </w14:solidFill>
                </w14:textFill>
              </w:rPr>
            </w:pPr>
          </w:p>
        </w:tc>
        <w:tc>
          <w:tcPr>
            <w:tcW w:w="1894" w:type="dxa"/>
          </w:tcPr>
          <w:p w14:paraId="69C3DEAA">
            <w:pPr>
              <w:pStyle w:val="84"/>
              <w:ind w:firstLine="0" w:firstLineChars="0"/>
              <w:jc w:val="both"/>
              <w:rPr>
                <w:color w:val="000000" w:themeColor="text1"/>
                <w14:textFill>
                  <w14:solidFill>
                    <w14:schemeClr w14:val="tx1"/>
                  </w14:solidFill>
                </w14:textFill>
              </w:rPr>
            </w:pPr>
          </w:p>
        </w:tc>
        <w:tc>
          <w:tcPr>
            <w:tcW w:w="2035" w:type="dxa"/>
          </w:tcPr>
          <w:p w14:paraId="59B296B6">
            <w:pPr>
              <w:pStyle w:val="84"/>
              <w:ind w:firstLine="0" w:firstLineChars="0"/>
              <w:jc w:val="both"/>
              <w:rPr>
                <w:color w:val="000000" w:themeColor="text1"/>
                <w14:textFill>
                  <w14:solidFill>
                    <w14:schemeClr w14:val="tx1"/>
                  </w14:solidFill>
                </w14:textFill>
              </w:rPr>
            </w:pPr>
          </w:p>
        </w:tc>
      </w:tr>
      <w:tr w14:paraId="01F1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161" w:type="dxa"/>
            <w:vAlign w:val="center"/>
          </w:tcPr>
          <w:p w14:paraId="06F071F5">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5</w:t>
            </w:r>
          </w:p>
        </w:tc>
        <w:tc>
          <w:tcPr>
            <w:tcW w:w="2767" w:type="dxa"/>
            <w:vAlign w:val="center"/>
          </w:tcPr>
          <w:p w14:paraId="2C1DDF72">
            <w:pPr>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投标人串通投标情形审查</w:t>
            </w:r>
          </w:p>
        </w:tc>
        <w:tc>
          <w:tcPr>
            <w:tcW w:w="1965" w:type="dxa"/>
          </w:tcPr>
          <w:p w14:paraId="784A3023">
            <w:pPr>
              <w:pStyle w:val="84"/>
              <w:ind w:firstLine="0" w:firstLineChars="0"/>
              <w:jc w:val="both"/>
              <w:rPr>
                <w:color w:val="000000" w:themeColor="text1"/>
                <w14:textFill>
                  <w14:solidFill>
                    <w14:schemeClr w14:val="tx1"/>
                  </w14:solidFill>
                </w14:textFill>
              </w:rPr>
            </w:pPr>
          </w:p>
        </w:tc>
        <w:tc>
          <w:tcPr>
            <w:tcW w:w="1894" w:type="dxa"/>
          </w:tcPr>
          <w:p w14:paraId="424C1C5A">
            <w:pPr>
              <w:pStyle w:val="84"/>
              <w:ind w:firstLine="0" w:firstLineChars="0"/>
              <w:jc w:val="both"/>
              <w:rPr>
                <w:color w:val="000000" w:themeColor="text1"/>
                <w14:textFill>
                  <w14:solidFill>
                    <w14:schemeClr w14:val="tx1"/>
                  </w14:solidFill>
                </w14:textFill>
              </w:rPr>
            </w:pPr>
          </w:p>
        </w:tc>
        <w:tc>
          <w:tcPr>
            <w:tcW w:w="2035" w:type="dxa"/>
          </w:tcPr>
          <w:p w14:paraId="79BC5DA1">
            <w:pPr>
              <w:pStyle w:val="84"/>
              <w:ind w:firstLine="0" w:firstLineChars="0"/>
              <w:jc w:val="both"/>
              <w:rPr>
                <w:color w:val="000000" w:themeColor="text1"/>
                <w14:textFill>
                  <w14:solidFill>
                    <w14:schemeClr w14:val="tx1"/>
                  </w14:solidFill>
                </w14:textFill>
              </w:rPr>
            </w:pPr>
          </w:p>
        </w:tc>
      </w:tr>
      <w:tr w14:paraId="6597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161" w:type="dxa"/>
            <w:vAlign w:val="center"/>
          </w:tcPr>
          <w:p w14:paraId="48AF5B62">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6</w:t>
            </w:r>
          </w:p>
        </w:tc>
        <w:tc>
          <w:tcPr>
            <w:tcW w:w="2767" w:type="dxa"/>
            <w:vAlign w:val="center"/>
          </w:tcPr>
          <w:p w14:paraId="178C8C73">
            <w:pPr>
              <w:ind w:firstLine="420" w:firstLineChars="200"/>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投标单位廉政承诺书</w:t>
            </w:r>
          </w:p>
        </w:tc>
        <w:tc>
          <w:tcPr>
            <w:tcW w:w="1965" w:type="dxa"/>
          </w:tcPr>
          <w:p w14:paraId="7B1A24E8">
            <w:pPr>
              <w:pStyle w:val="84"/>
              <w:ind w:firstLine="0" w:firstLineChars="0"/>
              <w:jc w:val="both"/>
              <w:rPr>
                <w:color w:val="000000" w:themeColor="text1"/>
                <w14:textFill>
                  <w14:solidFill>
                    <w14:schemeClr w14:val="tx1"/>
                  </w14:solidFill>
                </w14:textFill>
              </w:rPr>
            </w:pPr>
          </w:p>
        </w:tc>
        <w:tc>
          <w:tcPr>
            <w:tcW w:w="1894" w:type="dxa"/>
          </w:tcPr>
          <w:p w14:paraId="39AC3B2E">
            <w:pPr>
              <w:pStyle w:val="84"/>
              <w:ind w:firstLine="0" w:firstLineChars="0"/>
              <w:jc w:val="both"/>
              <w:rPr>
                <w:color w:val="000000" w:themeColor="text1"/>
                <w14:textFill>
                  <w14:solidFill>
                    <w14:schemeClr w14:val="tx1"/>
                  </w14:solidFill>
                </w14:textFill>
              </w:rPr>
            </w:pPr>
          </w:p>
        </w:tc>
        <w:tc>
          <w:tcPr>
            <w:tcW w:w="2035" w:type="dxa"/>
          </w:tcPr>
          <w:p w14:paraId="1A8DCB96">
            <w:pPr>
              <w:pStyle w:val="84"/>
              <w:ind w:firstLine="0" w:firstLineChars="0"/>
              <w:jc w:val="both"/>
              <w:rPr>
                <w:color w:val="000000" w:themeColor="text1"/>
                <w14:textFill>
                  <w14:solidFill>
                    <w14:schemeClr w14:val="tx1"/>
                  </w14:solidFill>
                </w14:textFill>
              </w:rPr>
            </w:pPr>
          </w:p>
        </w:tc>
      </w:tr>
      <w:tr w14:paraId="3B33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161" w:type="dxa"/>
            <w:vAlign w:val="center"/>
          </w:tcPr>
          <w:p w14:paraId="5AC131EC">
            <w:pPr>
              <w:pStyle w:val="84"/>
              <w:ind w:firstLine="0" w:firstLineChars="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7</w:t>
            </w:r>
          </w:p>
        </w:tc>
        <w:tc>
          <w:tcPr>
            <w:tcW w:w="2767" w:type="dxa"/>
            <w:vAlign w:val="center"/>
          </w:tcPr>
          <w:p w14:paraId="27EFC19F">
            <w:pPr>
              <w:ind w:firstLine="420" w:firstLineChars="200"/>
              <w:jc w:val="both"/>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其它实质性偏差</w:t>
            </w:r>
          </w:p>
        </w:tc>
        <w:tc>
          <w:tcPr>
            <w:tcW w:w="1965" w:type="dxa"/>
          </w:tcPr>
          <w:p w14:paraId="4C738451">
            <w:pPr>
              <w:pStyle w:val="84"/>
              <w:ind w:firstLine="0" w:firstLineChars="0"/>
              <w:jc w:val="both"/>
              <w:rPr>
                <w:color w:val="000000" w:themeColor="text1"/>
                <w14:textFill>
                  <w14:solidFill>
                    <w14:schemeClr w14:val="tx1"/>
                  </w14:solidFill>
                </w14:textFill>
              </w:rPr>
            </w:pPr>
          </w:p>
        </w:tc>
        <w:tc>
          <w:tcPr>
            <w:tcW w:w="1894" w:type="dxa"/>
          </w:tcPr>
          <w:p w14:paraId="076A98BA">
            <w:pPr>
              <w:pStyle w:val="84"/>
              <w:ind w:firstLine="0" w:firstLineChars="0"/>
              <w:jc w:val="both"/>
              <w:rPr>
                <w:color w:val="000000" w:themeColor="text1"/>
                <w14:textFill>
                  <w14:solidFill>
                    <w14:schemeClr w14:val="tx1"/>
                  </w14:solidFill>
                </w14:textFill>
              </w:rPr>
            </w:pPr>
          </w:p>
        </w:tc>
        <w:tc>
          <w:tcPr>
            <w:tcW w:w="2035" w:type="dxa"/>
          </w:tcPr>
          <w:p w14:paraId="31706F8B">
            <w:pPr>
              <w:pStyle w:val="84"/>
              <w:ind w:firstLine="0" w:firstLineChars="0"/>
              <w:jc w:val="both"/>
              <w:rPr>
                <w:color w:val="000000" w:themeColor="text1"/>
                <w14:textFill>
                  <w14:solidFill>
                    <w14:schemeClr w14:val="tx1"/>
                  </w14:solidFill>
                </w14:textFill>
              </w:rPr>
            </w:pPr>
          </w:p>
        </w:tc>
      </w:tr>
    </w:tbl>
    <w:p w14:paraId="4B23F4D8">
      <w:pPr>
        <w:rPr>
          <w:color w:val="000000" w:themeColor="text1"/>
          <w14:textFill>
            <w14:solidFill>
              <w14:schemeClr w14:val="tx1"/>
            </w14:solidFill>
          </w14:textFill>
        </w:rPr>
      </w:pPr>
    </w:p>
    <w:p w14:paraId="25F5BB9E">
      <w:pPr>
        <w:adjustRightInd w:val="0"/>
        <w:snapToGrid w:val="0"/>
        <w:spacing w:line="360" w:lineRule="auto"/>
        <w:ind w:firstLine="482" w:firstLineChars="200"/>
        <w:rPr>
          <w:color w:val="000000" w:themeColor="text1"/>
          <w14:textFill>
            <w14:solidFill>
              <w14:schemeClr w14:val="tx1"/>
            </w14:solidFill>
          </w14:textFill>
        </w:rPr>
      </w:pPr>
      <w:r>
        <w:rPr>
          <w:rFonts w:hint="eastAsia"/>
          <w:b/>
          <w:bCs/>
          <w:color w:val="000000" w:themeColor="text1"/>
          <w:sz w:val="24"/>
          <w14:textFill>
            <w14:solidFill>
              <w14:schemeClr w14:val="tx1"/>
            </w14:solidFill>
          </w14:textFill>
        </w:rPr>
        <w:t>3.3评分标准</w:t>
      </w:r>
    </w:p>
    <w:tbl>
      <w:tblPr>
        <w:tblStyle w:val="65"/>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018"/>
        <w:gridCol w:w="7274"/>
        <w:gridCol w:w="653"/>
      </w:tblGrid>
      <w:tr w14:paraId="2828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68" w:type="dxa"/>
            <w:tcBorders>
              <w:top w:val="single" w:color="auto" w:sz="4" w:space="0"/>
              <w:left w:val="single" w:color="auto" w:sz="4" w:space="0"/>
              <w:bottom w:val="single" w:color="auto" w:sz="4" w:space="0"/>
              <w:right w:val="single" w:color="auto" w:sz="4" w:space="0"/>
            </w:tcBorders>
            <w:vAlign w:val="center"/>
          </w:tcPr>
          <w:p w14:paraId="0AFD0AAC">
            <w:pPr>
              <w:widowControl/>
              <w:spacing w:line="360" w:lineRule="auto"/>
              <w:jc w:val="center"/>
              <w:rPr>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t>序号</w:t>
            </w:r>
          </w:p>
        </w:tc>
        <w:tc>
          <w:tcPr>
            <w:tcW w:w="996" w:type="dxa"/>
            <w:tcBorders>
              <w:top w:val="single" w:color="auto" w:sz="4" w:space="0"/>
              <w:left w:val="single" w:color="auto" w:sz="4" w:space="0"/>
              <w:bottom w:val="single" w:color="auto" w:sz="4" w:space="0"/>
              <w:right w:val="single" w:color="auto" w:sz="4" w:space="0"/>
            </w:tcBorders>
            <w:vAlign w:val="center"/>
          </w:tcPr>
          <w:p w14:paraId="36F92B0A">
            <w:pPr>
              <w:widowControl/>
              <w:spacing w:line="360" w:lineRule="auto"/>
              <w:jc w:val="center"/>
              <w:rPr>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t>评审因素</w:t>
            </w:r>
          </w:p>
        </w:tc>
        <w:tc>
          <w:tcPr>
            <w:tcW w:w="7115" w:type="dxa"/>
            <w:tcBorders>
              <w:top w:val="single" w:color="auto" w:sz="4" w:space="0"/>
              <w:left w:val="single" w:color="auto" w:sz="4" w:space="0"/>
              <w:bottom w:val="single" w:color="auto" w:sz="4" w:space="0"/>
              <w:right w:val="single" w:color="auto" w:sz="4" w:space="0"/>
            </w:tcBorders>
            <w:vAlign w:val="center"/>
          </w:tcPr>
          <w:p w14:paraId="2F6F3475">
            <w:pPr>
              <w:widowControl/>
              <w:spacing w:line="360" w:lineRule="auto"/>
              <w:jc w:val="center"/>
              <w:rPr>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t>评审标准</w:t>
            </w:r>
          </w:p>
        </w:tc>
        <w:tc>
          <w:tcPr>
            <w:tcW w:w="639" w:type="dxa"/>
            <w:tcBorders>
              <w:top w:val="single" w:color="auto" w:sz="4" w:space="0"/>
              <w:left w:val="single" w:color="auto" w:sz="4" w:space="0"/>
              <w:bottom w:val="single" w:color="auto" w:sz="4" w:space="0"/>
              <w:right w:val="single" w:color="auto" w:sz="4" w:space="0"/>
            </w:tcBorders>
            <w:vAlign w:val="center"/>
          </w:tcPr>
          <w:p w14:paraId="3414CFC2">
            <w:pPr>
              <w:widowControl/>
              <w:spacing w:line="360" w:lineRule="auto"/>
              <w:jc w:val="center"/>
              <w:rPr>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t>分值</w:t>
            </w:r>
          </w:p>
        </w:tc>
      </w:tr>
      <w:tr w14:paraId="49BD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868" w:type="dxa"/>
            <w:tcBorders>
              <w:top w:val="single" w:color="auto" w:sz="4" w:space="0"/>
              <w:left w:val="single" w:color="auto" w:sz="4" w:space="0"/>
              <w:bottom w:val="single" w:color="auto" w:sz="4" w:space="0"/>
              <w:right w:val="single" w:color="auto" w:sz="4" w:space="0"/>
            </w:tcBorders>
            <w:vAlign w:val="center"/>
          </w:tcPr>
          <w:p w14:paraId="7D799420">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w:t>
            </w:r>
          </w:p>
        </w:tc>
        <w:tc>
          <w:tcPr>
            <w:tcW w:w="996" w:type="dxa"/>
            <w:tcBorders>
              <w:top w:val="single" w:color="auto" w:sz="4" w:space="0"/>
              <w:left w:val="single" w:color="auto" w:sz="4" w:space="0"/>
              <w:bottom w:val="single" w:color="auto" w:sz="4" w:space="0"/>
              <w:right w:val="single" w:color="auto" w:sz="4" w:space="0"/>
            </w:tcBorders>
            <w:vAlign w:val="center"/>
          </w:tcPr>
          <w:p w14:paraId="64BA2F55">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报价</w:t>
            </w:r>
          </w:p>
        </w:tc>
        <w:tc>
          <w:tcPr>
            <w:tcW w:w="7115" w:type="dxa"/>
            <w:tcBorders>
              <w:top w:val="single" w:color="auto" w:sz="4" w:space="0"/>
              <w:left w:val="single" w:color="auto" w:sz="4" w:space="0"/>
              <w:bottom w:val="single" w:color="auto" w:sz="4" w:space="0"/>
              <w:right w:val="single" w:color="auto" w:sz="4" w:space="0"/>
            </w:tcBorders>
            <w:vAlign w:val="center"/>
          </w:tcPr>
          <w:p w14:paraId="0A60E6E7">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满足采购文件要求且投标价格最低的投标报价为评标基准价，其价格分为满分。其他投标人的价格分统一按照下列公式计算：投标报价得分=(评标基准价／投标报价)×30。分值保留小数点后2位。</w:t>
            </w:r>
          </w:p>
        </w:tc>
        <w:tc>
          <w:tcPr>
            <w:tcW w:w="639" w:type="dxa"/>
            <w:tcBorders>
              <w:top w:val="single" w:color="auto" w:sz="4" w:space="0"/>
              <w:left w:val="single" w:color="auto" w:sz="4" w:space="0"/>
              <w:bottom w:val="single" w:color="auto" w:sz="4" w:space="0"/>
              <w:right w:val="single" w:color="auto" w:sz="4" w:space="0"/>
            </w:tcBorders>
            <w:vAlign w:val="center"/>
          </w:tcPr>
          <w:p w14:paraId="0B22A9AC">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30</w:t>
            </w:r>
          </w:p>
        </w:tc>
      </w:tr>
      <w:tr w14:paraId="5362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8" w:type="dxa"/>
            <w:tcBorders>
              <w:top w:val="single" w:color="auto" w:sz="4" w:space="0"/>
              <w:left w:val="single" w:color="auto" w:sz="4" w:space="0"/>
              <w:right w:val="single" w:color="auto" w:sz="4" w:space="0"/>
            </w:tcBorders>
            <w:vAlign w:val="center"/>
          </w:tcPr>
          <w:p w14:paraId="74A855B8">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w:t>
            </w:r>
          </w:p>
        </w:tc>
        <w:tc>
          <w:tcPr>
            <w:tcW w:w="996" w:type="dxa"/>
            <w:tcBorders>
              <w:top w:val="single" w:color="auto" w:sz="4" w:space="0"/>
              <w:left w:val="single" w:color="auto" w:sz="4" w:space="0"/>
              <w:right w:val="single" w:color="auto" w:sz="4" w:space="0"/>
            </w:tcBorders>
            <w:vAlign w:val="center"/>
          </w:tcPr>
          <w:p w14:paraId="1360C3EC">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技术响应</w:t>
            </w:r>
          </w:p>
        </w:tc>
        <w:tc>
          <w:tcPr>
            <w:tcW w:w="7115" w:type="dxa"/>
            <w:tcBorders>
              <w:top w:val="single" w:color="auto" w:sz="4" w:space="0"/>
              <w:left w:val="single" w:color="auto" w:sz="4" w:space="0"/>
              <w:bottom w:val="single" w:color="auto" w:sz="4" w:space="0"/>
              <w:right w:val="single" w:color="auto" w:sz="4" w:space="0"/>
            </w:tcBorders>
            <w:vAlign w:val="center"/>
          </w:tcPr>
          <w:p w14:paraId="2A36B1DA">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根据采购文件第四章“第一部分：技术部分要求”及“第二部分：商务部分要求”要求，对响应文件中响应情况说明满足程度进行打分，全部响应即满足采购文件第四章“第一部分：技术部分要求”及“第二部分：商务部分要求”要求得20分。其中标注“★”的参数为实质性要求，负偏离作无效投标处理；标注“▲”的内容为重要参数，有一项负偏离的，每项扣1分；其余参数，有一项负偏离的，每项扣0.5分，扣完为止。</w:t>
            </w:r>
          </w:p>
          <w:p w14:paraId="34BFD50D">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注：投标人须在投标文件内对于招标文件第四章进行响应,并在《</w:t>
            </w:r>
            <w:r>
              <w:rPr>
                <w:rFonts w:hint="eastAsia"/>
                <w:bCs/>
                <w:color w:val="000000" w:themeColor="text1"/>
                <w:lang w:val="zh-CN"/>
                <w14:textFill>
                  <w14:solidFill>
                    <w14:schemeClr w14:val="tx1"/>
                  </w14:solidFill>
                </w14:textFill>
              </w:rPr>
              <w:t>技术条款偏离表</w:t>
            </w:r>
            <w:r>
              <w:rPr>
                <w:rFonts w:hint="eastAsia"/>
                <w:bCs/>
                <w:color w:val="000000" w:themeColor="text1"/>
                <w14:textFill>
                  <w14:solidFill>
                    <w14:schemeClr w14:val="tx1"/>
                  </w14:solidFill>
                </w14:textFill>
              </w:rPr>
              <w:t>》或《</w:t>
            </w:r>
            <w:r>
              <w:rPr>
                <w:rFonts w:hint="eastAsia"/>
                <w:bCs/>
                <w:color w:val="000000" w:themeColor="text1"/>
                <w:lang w:val="zh-CN"/>
                <w14:textFill>
                  <w14:solidFill>
                    <w14:schemeClr w14:val="tx1"/>
                  </w14:solidFill>
                </w14:textFill>
              </w:rPr>
              <w:t>商务条款偏离表</w:t>
            </w:r>
            <w:r>
              <w:rPr>
                <w:rFonts w:hint="eastAsia"/>
                <w:bCs/>
                <w:color w:val="000000" w:themeColor="text1"/>
                <w14:textFill>
                  <w14:solidFill>
                    <w14:schemeClr w14:val="tx1"/>
                  </w14:solidFill>
                </w14:textFill>
              </w:rPr>
              <w:t>》中详细标明证明资料在投标文件中的页码和位置。</w:t>
            </w:r>
          </w:p>
        </w:tc>
        <w:tc>
          <w:tcPr>
            <w:tcW w:w="639" w:type="dxa"/>
            <w:tcBorders>
              <w:top w:val="single" w:color="auto" w:sz="4" w:space="0"/>
              <w:left w:val="single" w:color="auto" w:sz="4" w:space="0"/>
              <w:right w:val="single" w:color="auto" w:sz="4" w:space="0"/>
            </w:tcBorders>
            <w:vAlign w:val="center"/>
          </w:tcPr>
          <w:p w14:paraId="562DB697">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20</w:t>
            </w:r>
          </w:p>
        </w:tc>
      </w:tr>
      <w:tr w14:paraId="7A601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jc w:val="center"/>
        </w:trPr>
        <w:tc>
          <w:tcPr>
            <w:tcW w:w="868" w:type="dxa"/>
            <w:tcBorders>
              <w:top w:val="single" w:color="auto" w:sz="4" w:space="0"/>
              <w:left w:val="single" w:color="auto" w:sz="4" w:space="0"/>
              <w:bottom w:val="single" w:color="auto" w:sz="4" w:space="0"/>
              <w:right w:val="single" w:color="auto" w:sz="4" w:space="0"/>
            </w:tcBorders>
            <w:vAlign w:val="center"/>
          </w:tcPr>
          <w:p w14:paraId="12B91BC6">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w:t>
            </w:r>
          </w:p>
        </w:tc>
        <w:tc>
          <w:tcPr>
            <w:tcW w:w="996" w:type="dxa"/>
            <w:tcBorders>
              <w:top w:val="single" w:color="auto" w:sz="4" w:space="0"/>
              <w:left w:val="single" w:color="auto" w:sz="4" w:space="0"/>
              <w:bottom w:val="single" w:color="auto" w:sz="4" w:space="0"/>
              <w:right w:val="single" w:color="auto" w:sz="4" w:space="0"/>
            </w:tcBorders>
            <w:vAlign w:val="center"/>
          </w:tcPr>
          <w:p w14:paraId="21827F9B">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履约能力</w:t>
            </w:r>
          </w:p>
        </w:tc>
        <w:tc>
          <w:tcPr>
            <w:tcW w:w="7115" w:type="dxa"/>
            <w:tcBorders>
              <w:top w:val="single" w:color="auto" w:sz="4" w:space="0"/>
              <w:left w:val="single" w:color="auto" w:sz="4" w:space="0"/>
              <w:bottom w:val="single" w:color="auto" w:sz="4" w:space="0"/>
              <w:right w:val="single" w:color="auto" w:sz="4" w:space="0"/>
            </w:tcBorders>
            <w:vAlign w:val="center"/>
          </w:tcPr>
          <w:p w14:paraId="7905FBDF">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1.项目负责人具有制冷与空调维护或暖通或暖通空调或暖通相关专业中级工程师及以上职称证的得2分，满分2分。</w:t>
            </w:r>
            <w:r>
              <w:rPr>
                <w:rFonts w:hint="eastAsia"/>
                <w:b/>
                <w:bCs w:val="0"/>
                <w:color w:val="000000" w:themeColor="text1"/>
                <w14:textFill>
                  <w14:solidFill>
                    <w14:schemeClr w14:val="tx1"/>
                  </w14:solidFill>
                </w14:textFill>
              </w:rPr>
              <w:t>（须提供2025年</w:t>
            </w:r>
            <w:r>
              <w:rPr>
                <w:rFonts w:hint="eastAsia"/>
                <w:b/>
                <w:bCs w:val="0"/>
                <w:color w:val="000000" w:themeColor="text1"/>
                <w:lang w:val="en-US" w:eastAsia="zh-CN"/>
                <w14:textFill>
                  <w14:solidFill>
                    <w14:schemeClr w14:val="tx1"/>
                  </w14:solidFill>
                </w14:textFill>
              </w:rPr>
              <w:t>12</w:t>
            </w:r>
            <w:r>
              <w:rPr>
                <w:rFonts w:hint="eastAsia"/>
                <w:b/>
                <w:bCs w:val="0"/>
                <w:color w:val="000000" w:themeColor="text1"/>
                <w14:textFill>
                  <w14:solidFill>
                    <w14:schemeClr w14:val="tx1"/>
                  </w14:solidFill>
                </w14:textFill>
              </w:rPr>
              <w:t>月-2026年0</w:t>
            </w:r>
            <w:r>
              <w:rPr>
                <w:rFonts w:hint="eastAsia"/>
                <w:b/>
                <w:bCs w:val="0"/>
                <w:color w:val="000000" w:themeColor="text1"/>
                <w:lang w:val="en-US" w:eastAsia="zh-CN"/>
                <w14:textFill>
                  <w14:solidFill>
                    <w14:schemeClr w14:val="tx1"/>
                  </w14:solidFill>
                </w14:textFill>
              </w:rPr>
              <w:t>5</w:t>
            </w:r>
            <w:r>
              <w:rPr>
                <w:rFonts w:hint="eastAsia"/>
                <w:b/>
                <w:bCs w:val="0"/>
                <w:color w:val="000000" w:themeColor="text1"/>
                <w14:textFill>
                  <w14:solidFill>
                    <w14:schemeClr w14:val="tx1"/>
                  </w14:solidFill>
                </w14:textFill>
              </w:rPr>
              <w:t>月内任意一个月投标单位为其缴纳的社会保险缴纳凭据（须明确缴费月份、个人姓名、缴费单位且加盖社保中心章或社保中心参保缴费证明电子专用章）及有效职称证书复印件，专业以职称证书为准，如职称证书反映不出专业则必须提供正式职称评定申请材料复印件，否则不得分，原件备查。</w:t>
            </w:r>
          </w:p>
          <w:p w14:paraId="582D9917">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2.供应商配备的履约团队人员具有安全生产监督管理部门或应急管理部门颁发的“制冷与空调作业 ”证书，每有1个得1分，最高得2分；</w:t>
            </w:r>
            <w:r>
              <w:rPr>
                <w:rFonts w:hint="eastAsia"/>
                <w:b/>
                <w:bCs w:val="0"/>
                <w:color w:val="000000" w:themeColor="text1"/>
                <w14:textFill>
                  <w14:solidFill>
                    <w14:schemeClr w14:val="tx1"/>
                  </w14:solidFill>
                </w14:textFill>
              </w:rPr>
              <w:t>须提供2025年</w:t>
            </w:r>
            <w:r>
              <w:rPr>
                <w:rFonts w:hint="eastAsia"/>
                <w:b/>
                <w:bCs w:val="0"/>
                <w:color w:val="000000" w:themeColor="text1"/>
                <w:lang w:val="en-US" w:eastAsia="zh-CN"/>
                <w14:textFill>
                  <w14:solidFill>
                    <w14:schemeClr w14:val="tx1"/>
                  </w14:solidFill>
                </w14:textFill>
              </w:rPr>
              <w:t>12</w:t>
            </w:r>
            <w:r>
              <w:rPr>
                <w:rFonts w:hint="eastAsia"/>
                <w:b/>
                <w:bCs w:val="0"/>
                <w:color w:val="000000" w:themeColor="text1"/>
                <w14:textFill>
                  <w14:solidFill>
                    <w14:schemeClr w14:val="tx1"/>
                  </w14:solidFill>
                </w14:textFill>
              </w:rPr>
              <w:t>月-2026年0</w:t>
            </w:r>
            <w:r>
              <w:rPr>
                <w:rFonts w:hint="eastAsia"/>
                <w:b/>
                <w:bCs w:val="0"/>
                <w:color w:val="000000" w:themeColor="text1"/>
                <w:lang w:val="en-US" w:eastAsia="zh-CN"/>
                <w14:textFill>
                  <w14:solidFill>
                    <w14:schemeClr w14:val="tx1"/>
                  </w14:solidFill>
                </w14:textFill>
              </w:rPr>
              <w:t>5</w:t>
            </w:r>
            <w:r>
              <w:rPr>
                <w:rFonts w:hint="eastAsia"/>
                <w:b/>
                <w:bCs w:val="0"/>
                <w:color w:val="000000" w:themeColor="text1"/>
                <w14:textFill>
                  <w14:solidFill>
                    <w14:schemeClr w14:val="tx1"/>
                  </w14:solidFill>
                </w14:textFill>
              </w:rPr>
              <w:t>月内任意一个月投标单位为其缴纳的社会保险缴纳凭据（须明确缴费月份、个人姓名、缴费单位且加盖社保中心章或社保中心参保缴费证明电子专用章），一人多证以一个证书计。</w:t>
            </w:r>
          </w:p>
          <w:p w14:paraId="5AB45BB4">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3.供应商配备的履约团队人员具有安全生产监督管理部门或应急管理部门颁发的 “高处作业 ”证书每有1个得1分，最高得1分；须提供2025年</w:t>
            </w:r>
            <w:r>
              <w:rPr>
                <w:rFonts w:hint="eastAsia"/>
                <w:bCs/>
                <w:color w:val="000000" w:themeColor="text1"/>
                <w:lang w:val="en-US" w:eastAsia="zh-CN"/>
                <w14:textFill>
                  <w14:solidFill>
                    <w14:schemeClr w14:val="tx1"/>
                  </w14:solidFill>
                </w14:textFill>
              </w:rPr>
              <w:t>12</w:t>
            </w:r>
            <w:r>
              <w:rPr>
                <w:rFonts w:hint="eastAsia"/>
                <w:bCs/>
                <w:color w:val="000000" w:themeColor="text1"/>
                <w14:textFill>
                  <w14:solidFill>
                    <w14:schemeClr w14:val="tx1"/>
                  </w14:solidFill>
                </w14:textFill>
              </w:rPr>
              <w:t>月-2026年0</w:t>
            </w:r>
            <w:r>
              <w:rPr>
                <w:rFonts w:hint="eastAsia"/>
                <w:bCs/>
                <w:color w:val="000000" w:themeColor="text1"/>
                <w:lang w:val="en-US" w:eastAsia="zh-CN"/>
                <w14:textFill>
                  <w14:solidFill>
                    <w14:schemeClr w14:val="tx1"/>
                  </w14:solidFill>
                </w14:textFill>
              </w:rPr>
              <w:t>5</w:t>
            </w:r>
            <w:r>
              <w:rPr>
                <w:rFonts w:hint="eastAsia"/>
                <w:bCs/>
                <w:color w:val="000000" w:themeColor="text1"/>
                <w14:textFill>
                  <w14:solidFill>
                    <w14:schemeClr w14:val="tx1"/>
                  </w14:solidFill>
                </w14:textFill>
              </w:rPr>
              <w:t>月内任意一个月投标单位为其缴纳的社会保险缴纳凭据</w:t>
            </w:r>
            <w:r>
              <w:rPr>
                <w:rFonts w:hint="eastAsia"/>
                <w:b/>
                <w:bCs w:val="0"/>
                <w:color w:val="000000" w:themeColor="text1"/>
                <w14:textFill>
                  <w14:solidFill>
                    <w14:schemeClr w14:val="tx1"/>
                  </w14:solidFill>
                </w14:textFill>
              </w:rPr>
              <w:t>（须明确缴费月份、个人姓名、缴费单位且加盖社保中心章或社保中心参保缴费证明电子专用章），一人多证以一个证书计。</w:t>
            </w:r>
          </w:p>
          <w:p w14:paraId="1BA364AD">
            <w:pPr>
              <w:widowControl/>
              <w:spacing w:line="360" w:lineRule="auto"/>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4.供应商配备的履约团队人员具有安全生产监督管理部门或应急管理部门颁发的“电工作业”证书，每有1个得1分，最高得1分；</w:t>
            </w:r>
            <w:r>
              <w:rPr>
                <w:rFonts w:hint="eastAsia"/>
                <w:b/>
                <w:bCs w:val="0"/>
                <w:color w:val="000000" w:themeColor="text1"/>
                <w14:textFill>
                  <w14:solidFill>
                    <w14:schemeClr w14:val="tx1"/>
                  </w14:solidFill>
                </w14:textFill>
              </w:rPr>
              <w:t>须提供2025年</w:t>
            </w:r>
            <w:r>
              <w:rPr>
                <w:rFonts w:hint="eastAsia"/>
                <w:b/>
                <w:bCs w:val="0"/>
                <w:color w:val="000000" w:themeColor="text1"/>
                <w:lang w:val="en-US" w:eastAsia="zh-CN"/>
                <w14:textFill>
                  <w14:solidFill>
                    <w14:schemeClr w14:val="tx1"/>
                  </w14:solidFill>
                </w14:textFill>
              </w:rPr>
              <w:t>12</w:t>
            </w:r>
            <w:r>
              <w:rPr>
                <w:rFonts w:hint="eastAsia"/>
                <w:b/>
                <w:bCs w:val="0"/>
                <w:color w:val="000000" w:themeColor="text1"/>
                <w14:textFill>
                  <w14:solidFill>
                    <w14:schemeClr w14:val="tx1"/>
                  </w14:solidFill>
                </w14:textFill>
              </w:rPr>
              <w:t>月-2026年0</w:t>
            </w:r>
            <w:r>
              <w:rPr>
                <w:rFonts w:hint="eastAsia"/>
                <w:b/>
                <w:bCs w:val="0"/>
                <w:color w:val="000000" w:themeColor="text1"/>
                <w:lang w:val="en-US" w:eastAsia="zh-CN"/>
                <w14:textFill>
                  <w14:solidFill>
                    <w14:schemeClr w14:val="tx1"/>
                  </w14:solidFill>
                </w14:textFill>
              </w:rPr>
              <w:t>5</w:t>
            </w:r>
            <w:r>
              <w:rPr>
                <w:rFonts w:hint="eastAsia"/>
                <w:b/>
                <w:bCs w:val="0"/>
                <w:color w:val="000000" w:themeColor="text1"/>
                <w14:textFill>
                  <w14:solidFill>
                    <w14:schemeClr w14:val="tx1"/>
                  </w14:solidFill>
                </w14:textFill>
              </w:rPr>
              <w:t>月内任意一个月投标单位为其缴纳的社会保险缴纳凭据（须明确缴费月份、个人姓名、缴费单位且加盖社保中心章或社保中心参保缴费证明电子专用章），一人多证以一个证书计。</w:t>
            </w:r>
          </w:p>
          <w:p w14:paraId="048B5DB1">
            <w:pPr>
              <w:pStyle w:val="2"/>
              <w:ind w:left="0" w:leftChars="0" w:firstLine="0" w:firstLineChars="0"/>
              <w:rPr>
                <w:rFonts w:hint="eastAsia" w:eastAsia="宋体"/>
                <w:color w:val="000000" w:themeColor="text1"/>
                <w:lang w:eastAsia="zh-CN"/>
                <w14:textFill>
                  <w14:solidFill>
                    <w14:schemeClr w14:val="tx1"/>
                  </w14:solidFill>
                </w14:textFill>
              </w:rPr>
            </w:pPr>
            <w:r>
              <w:rPr>
                <w:rFonts w:hint="eastAsia"/>
                <w:b/>
                <w:bCs w:val="0"/>
                <w:color w:val="000000" w:themeColor="text1"/>
                <w:lang w:eastAsia="zh-CN"/>
                <w14:textFill>
                  <w14:solidFill>
                    <w14:schemeClr w14:val="tx1"/>
                  </w14:solidFill>
                </w14:textFill>
              </w:rPr>
              <w:t>注：上述同一人员不重复计取。</w:t>
            </w:r>
          </w:p>
        </w:tc>
        <w:tc>
          <w:tcPr>
            <w:tcW w:w="639" w:type="dxa"/>
            <w:tcBorders>
              <w:top w:val="single" w:color="auto" w:sz="4" w:space="0"/>
              <w:left w:val="single" w:color="auto" w:sz="4" w:space="0"/>
              <w:bottom w:val="single" w:color="auto" w:sz="4" w:space="0"/>
              <w:right w:val="single" w:color="auto" w:sz="4" w:space="0"/>
            </w:tcBorders>
            <w:vAlign w:val="center"/>
          </w:tcPr>
          <w:p w14:paraId="754B7A7A">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w:t>
            </w:r>
          </w:p>
        </w:tc>
      </w:tr>
      <w:tr w14:paraId="57D15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868" w:type="dxa"/>
            <w:tcBorders>
              <w:top w:val="single" w:color="auto" w:sz="4" w:space="0"/>
              <w:left w:val="single" w:color="auto" w:sz="4" w:space="0"/>
              <w:bottom w:val="single" w:color="auto" w:sz="4" w:space="0"/>
              <w:right w:val="single" w:color="auto" w:sz="4" w:space="0"/>
            </w:tcBorders>
            <w:vAlign w:val="center"/>
          </w:tcPr>
          <w:p w14:paraId="00202C72">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w:t>
            </w:r>
          </w:p>
        </w:tc>
        <w:tc>
          <w:tcPr>
            <w:tcW w:w="996" w:type="dxa"/>
            <w:tcBorders>
              <w:top w:val="single" w:color="auto" w:sz="4" w:space="0"/>
              <w:left w:val="single" w:color="auto" w:sz="4" w:space="0"/>
              <w:bottom w:val="single" w:color="auto" w:sz="4" w:space="0"/>
              <w:right w:val="single" w:color="auto" w:sz="4" w:space="0"/>
            </w:tcBorders>
            <w:vAlign w:val="center"/>
          </w:tcPr>
          <w:p w14:paraId="1E0223E2">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业绩</w:t>
            </w:r>
          </w:p>
        </w:tc>
        <w:tc>
          <w:tcPr>
            <w:tcW w:w="7115" w:type="dxa"/>
            <w:tcBorders>
              <w:top w:val="single" w:color="auto" w:sz="4" w:space="0"/>
              <w:left w:val="single" w:color="auto" w:sz="4" w:space="0"/>
              <w:bottom w:val="single" w:color="auto" w:sz="4" w:space="0"/>
              <w:right w:val="single" w:color="auto" w:sz="4" w:space="0"/>
            </w:tcBorders>
            <w:vAlign w:val="center"/>
          </w:tcPr>
          <w:p w14:paraId="2316B77C">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供应商2023年</w:t>
            </w:r>
            <w:r>
              <w:rPr>
                <w:rFonts w:hint="eastAsia"/>
                <w:bCs/>
                <w:color w:val="000000" w:themeColor="text1"/>
                <w:lang w:val="en-US" w:eastAsia="zh-CN"/>
                <w14:textFill>
                  <w14:solidFill>
                    <w14:schemeClr w14:val="tx1"/>
                  </w14:solidFill>
                </w14:textFill>
              </w:rPr>
              <w:t>6</w:t>
            </w:r>
            <w:r>
              <w:rPr>
                <w:rFonts w:hint="eastAsia"/>
                <w:bCs/>
                <w:color w:val="000000" w:themeColor="text1"/>
                <w14:textFill>
                  <w14:solidFill>
                    <w14:schemeClr w14:val="tx1"/>
                  </w14:solidFill>
                </w14:textFill>
              </w:rPr>
              <w:t>月1日（含）以来承担过类似项目业绩，每提供1个有效业绩得2分，最高得4分。（时间以合同签订时间为准，提供中标（成交）通知书、合同复印件加盖投标人公章，</w:t>
            </w:r>
            <w:r>
              <w:rPr>
                <w:rFonts w:hint="eastAsia"/>
                <w:bCs/>
                <w:snapToGrid w:val="0"/>
                <w:color w:val="000000" w:themeColor="text1"/>
                <w14:textFill>
                  <w14:solidFill>
                    <w14:schemeClr w14:val="tx1"/>
                  </w14:solidFill>
                </w14:textFill>
              </w:rPr>
              <w:t>以上证明材料需反映相关数据信息，未体现相关数据和内容的视为未提供）。</w:t>
            </w:r>
          </w:p>
        </w:tc>
        <w:tc>
          <w:tcPr>
            <w:tcW w:w="639" w:type="dxa"/>
            <w:tcBorders>
              <w:top w:val="single" w:color="auto" w:sz="4" w:space="0"/>
              <w:left w:val="single" w:color="auto" w:sz="4" w:space="0"/>
              <w:bottom w:val="single" w:color="auto" w:sz="4" w:space="0"/>
              <w:right w:val="single" w:color="auto" w:sz="4" w:space="0"/>
            </w:tcBorders>
            <w:vAlign w:val="center"/>
          </w:tcPr>
          <w:p w14:paraId="009D3C72">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w:t>
            </w:r>
          </w:p>
        </w:tc>
      </w:tr>
      <w:tr w14:paraId="73E9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8" w:type="dxa"/>
            <w:tcBorders>
              <w:top w:val="single" w:color="auto" w:sz="4" w:space="0"/>
              <w:left w:val="single" w:color="auto" w:sz="4" w:space="0"/>
              <w:bottom w:val="single" w:color="auto" w:sz="4" w:space="0"/>
              <w:right w:val="single" w:color="auto" w:sz="4" w:space="0"/>
            </w:tcBorders>
            <w:vAlign w:val="center"/>
          </w:tcPr>
          <w:p w14:paraId="0128E968">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5</w:t>
            </w:r>
          </w:p>
        </w:tc>
        <w:tc>
          <w:tcPr>
            <w:tcW w:w="996" w:type="dxa"/>
            <w:tcBorders>
              <w:top w:val="single" w:color="auto" w:sz="4" w:space="0"/>
              <w:left w:val="single" w:color="auto" w:sz="4" w:space="0"/>
              <w:bottom w:val="single" w:color="auto" w:sz="4" w:space="0"/>
              <w:right w:val="single" w:color="auto" w:sz="4" w:space="0"/>
            </w:tcBorders>
            <w:vAlign w:val="center"/>
          </w:tcPr>
          <w:p w14:paraId="40E1E7B3">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质保、维保承诺书</w:t>
            </w:r>
          </w:p>
        </w:tc>
        <w:tc>
          <w:tcPr>
            <w:tcW w:w="7115" w:type="dxa"/>
            <w:tcBorders>
              <w:top w:val="single" w:color="auto" w:sz="4" w:space="0"/>
              <w:left w:val="single" w:color="auto" w:sz="4" w:space="0"/>
              <w:bottom w:val="single" w:color="auto" w:sz="4" w:space="0"/>
              <w:right w:val="single" w:color="auto" w:sz="4" w:space="0"/>
            </w:tcBorders>
            <w:vAlign w:val="center"/>
          </w:tcPr>
          <w:p w14:paraId="66E4B391">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投标人承诺在质保期内每年提供一次清洗服务得1分，维保期内每年提供一次清洗服务得1分，满分2分；</w:t>
            </w:r>
            <w:r>
              <w:rPr>
                <w:rFonts w:hint="eastAsia"/>
                <w:b/>
                <w:bCs w:val="0"/>
                <w:color w:val="000000" w:themeColor="text1"/>
                <w14:textFill>
                  <w14:solidFill>
                    <w14:schemeClr w14:val="tx1"/>
                  </w14:solidFill>
                </w14:textFill>
              </w:rPr>
              <w:t>需提承诺书加盖投</w:t>
            </w:r>
            <w:r>
              <w:rPr>
                <w:rFonts w:hint="eastAsia"/>
                <w:b/>
                <w:bCs w:val="0"/>
                <w:color w:val="000000" w:themeColor="text1"/>
                <w:lang w:eastAsia="zh-CN"/>
                <w14:textFill>
                  <w14:solidFill>
                    <w14:schemeClr w14:val="tx1"/>
                  </w14:solidFill>
                </w14:textFill>
              </w:rPr>
              <w:t>标人</w:t>
            </w:r>
            <w:r>
              <w:rPr>
                <w:rFonts w:hint="eastAsia"/>
                <w:b/>
                <w:bCs w:val="0"/>
                <w:color w:val="000000" w:themeColor="text1"/>
                <w14:textFill>
                  <w14:solidFill>
                    <w14:schemeClr w14:val="tx1"/>
                  </w14:solidFill>
                </w14:textFill>
              </w:rPr>
              <w:t>公章，格式自拟。</w:t>
            </w:r>
          </w:p>
        </w:tc>
        <w:tc>
          <w:tcPr>
            <w:tcW w:w="639" w:type="dxa"/>
            <w:tcBorders>
              <w:top w:val="single" w:color="auto" w:sz="4" w:space="0"/>
              <w:left w:val="single" w:color="auto" w:sz="4" w:space="0"/>
              <w:bottom w:val="single" w:color="auto" w:sz="4" w:space="0"/>
              <w:right w:val="single" w:color="auto" w:sz="4" w:space="0"/>
            </w:tcBorders>
            <w:vAlign w:val="center"/>
          </w:tcPr>
          <w:p w14:paraId="60B62FEB">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w:t>
            </w:r>
          </w:p>
        </w:tc>
      </w:tr>
      <w:tr w14:paraId="5B48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8" w:type="dxa"/>
            <w:vMerge w:val="restart"/>
            <w:tcBorders>
              <w:top w:val="single" w:color="auto" w:sz="4" w:space="0"/>
              <w:left w:val="single" w:color="auto" w:sz="4" w:space="0"/>
              <w:right w:val="single" w:color="auto" w:sz="4" w:space="0"/>
            </w:tcBorders>
            <w:vAlign w:val="center"/>
          </w:tcPr>
          <w:p w14:paraId="3D2EB49D">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w:t>
            </w:r>
          </w:p>
        </w:tc>
        <w:tc>
          <w:tcPr>
            <w:tcW w:w="996" w:type="dxa"/>
            <w:vMerge w:val="restart"/>
            <w:tcBorders>
              <w:top w:val="single" w:color="auto" w:sz="4" w:space="0"/>
              <w:left w:val="single" w:color="auto" w:sz="4" w:space="0"/>
              <w:right w:val="single" w:color="auto" w:sz="4" w:space="0"/>
            </w:tcBorders>
            <w:vAlign w:val="center"/>
          </w:tcPr>
          <w:p w14:paraId="5A7F32EB">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服务方案</w:t>
            </w:r>
          </w:p>
        </w:tc>
        <w:tc>
          <w:tcPr>
            <w:tcW w:w="7115" w:type="dxa"/>
            <w:tcBorders>
              <w:top w:val="single" w:color="auto" w:sz="4" w:space="0"/>
              <w:left w:val="single" w:color="auto" w:sz="4" w:space="0"/>
              <w:bottom w:val="single" w:color="auto" w:sz="4" w:space="0"/>
              <w:right w:val="single" w:color="auto" w:sz="4" w:space="0"/>
            </w:tcBorders>
            <w:shd w:val="clear" w:color="auto" w:fill="auto"/>
            <w:vAlign w:val="center"/>
          </w:tcPr>
          <w:p w14:paraId="70FAD536">
            <w:pPr>
              <w:pStyle w:val="471"/>
              <w:spacing w:line="420" w:lineRule="exact"/>
              <w:rPr>
                <w:rFonts w:ascii="宋体" w:hAnsi="宋体" w:cs="宋体"/>
                <w:bCs/>
                <w:color w:val="000000" w:themeColor="text1"/>
                <w:kern w:val="0"/>
                <w14:textFill>
                  <w14:solidFill>
                    <w14:schemeClr w14:val="tx1"/>
                  </w14:solidFill>
                </w14:textFill>
              </w:rPr>
            </w:pPr>
            <w:r>
              <w:rPr>
                <w:rFonts w:hint="eastAsia" w:ascii="宋体" w:hAnsi="宋体" w:cs="宋体"/>
                <w:bCs/>
                <w:color w:val="000000" w:themeColor="text1"/>
                <w:kern w:val="0"/>
                <w14:textFill>
                  <w14:solidFill>
                    <w14:schemeClr w14:val="tx1"/>
                  </w14:solidFill>
                </w14:textFill>
              </w:rPr>
              <w:t>供货方案：</w:t>
            </w:r>
          </w:p>
          <w:p w14:paraId="466B4F4D">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根据供应商提供的供货实施方案，内容包括但不限于：计划进度安排、人员安排、吊装运输方案、更换改造安装等施工技术方案、应急处置预案等评分：</w:t>
            </w:r>
          </w:p>
          <w:p w14:paraId="47C70B73">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方案科学详细、有前瞻性、合理、全面、有针对性的，得7分；</w:t>
            </w:r>
          </w:p>
          <w:p w14:paraId="6FF9748C">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内容基本完整、有一定操作性的，得4分;</w:t>
            </w:r>
          </w:p>
          <w:p w14:paraId="59483F5A">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方案粗略，无针对性、与项目需求差距较大得1分；</w:t>
            </w:r>
          </w:p>
          <w:p w14:paraId="72D1797A">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未提供不得分。 </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14:paraId="1DD78C58">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7</w:t>
            </w:r>
          </w:p>
        </w:tc>
      </w:tr>
      <w:tr w14:paraId="0C8B1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8" w:type="dxa"/>
            <w:vMerge w:val="continue"/>
            <w:tcBorders>
              <w:left w:val="single" w:color="auto" w:sz="4" w:space="0"/>
              <w:right w:val="single" w:color="auto" w:sz="4" w:space="0"/>
            </w:tcBorders>
            <w:vAlign w:val="center"/>
          </w:tcPr>
          <w:p w14:paraId="07364A10">
            <w:pPr>
              <w:widowControl/>
              <w:spacing w:line="360" w:lineRule="auto"/>
              <w:jc w:val="center"/>
              <w:rPr>
                <w:bCs/>
                <w:color w:val="000000" w:themeColor="text1"/>
                <w14:textFill>
                  <w14:solidFill>
                    <w14:schemeClr w14:val="tx1"/>
                  </w14:solidFill>
                </w14:textFill>
              </w:rPr>
            </w:pPr>
          </w:p>
        </w:tc>
        <w:tc>
          <w:tcPr>
            <w:tcW w:w="996" w:type="dxa"/>
            <w:vMerge w:val="continue"/>
            <w:tcBorders>
              <w:left w:val="single" w:color="auto" w:sz="4" w:space="0"/>
              <w:right w:val="single" w:color="auto" w:sz="4" w:space="0"/>
            </w:tcBorders>
            <w:vAlign w:val="center"/>
          </w:tcPr>
          <w:p w14:paraId="7EC79F03">
            <w:pPr>
              <w:widowControl/>
              <w:spacing w:line="360" w:lineRule="auto"/>
              <w:rPr>
                <w:bCs/>
                <w:color w:val="000000" w:themeColor="text1"/>
                <w14:textFill>
                  <w14:solidFill>
                    <w14:schemeClr w14:val="tx1"/>
                  </w14:solidFill>
                </w14:textFill>
              </w:rPr>
            </w:pPr>
          </w:p>
        </w:tc>
        <w:tc>
          <w:tcPr>
            <w:tcW w:w="7115" w:type="dxa"/>
            <w:tcBorders>
              <w:top w:val="single" w:color="auto" w:sz="4" w:space="0"/>
              <w:left w:val="single" w:color="auto" w:sz="4" w:space="0"/>
              <w:bottom w:val="single" w:color="auto" w:sz="4" w:space="0"/>
              <w:right w:val="single" w:color="auto" w:sz="4" w:space="0"/>
            </w:tcBorders>
            <w:shd w:val="clear" w:color="auto" w:fill="auto"/>
            <w:vAlign w:val="center"/>
          </w:tcPr>
          <w:p w14:paraId="01E99FAE">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安装调试方案：</w:t>
            </w:r>
          </w:p>
          <w:p w14:paraId="54AA4DE8">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根据供应商提供的安装调试方案进行评审，内容包括但不限于：安装前准备、安装步骤、调试步骤、安装后检查等。</w:t>
            </w:r>
          </w:p>
          <w:p w14:paraId="174812F9">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方案科学详细、有前瞻性、合理、全面、有针对性的，得7分；</w:t>
            </w:r>
          </w:p>
          <w:p w14:paraId="64A1E1B5">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内容基本完整、有一定操作性的，得4分;</w:t>
            </w:r>
          </w:p>
          <w:p w14:paraId="4C854E26">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方案粗略，无针对性、与项目需求差距较大得1分；</w:t>
            </w:r>
          </w:p>
          <w:p w14:paraId="37E592DE">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未提供不得分。 </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14:paraId="008D20C5">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7</w:t>
            </w:r>
          </w:p>
        </w:tc>
      </w:tr>
      <w:tr w14:paraId="6A7B1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68" w:type="dxa"/>
            <w:vMerge w:val="continue"/>
            <w:tcBorders>
              <w:left w:val="single" w:color="auto" w:sz="4" w:space="0"/>
              <w:right w:val="single" w:color="auto" w:sz="4" w:space="0"/>
            </w:tcBorders>
            <w:vAlign w:val="center"/>
          </w:tcPr>
          <w:p w14:paraId="148B0D76">
            <w:pPr>
              <w:widowControl/>
              <w:spacing w:line="360" w:lineRule="auto"/>
              <w:jc w:val="center"/>
              <w:rPr>
                <w:bCs/>
                <w:color w:val="000000" w:themeColor="text1"/>
                <w14:textFill>
                  <w14:solidFill>
                    <w14:schemeClr w14:val="tx1"/>
                  </w14:solidFill>
                </w14:textFill>
              </w:rPr>
            </w:pPr>
          </w:p>
        </w:tc>
        <w:tc>
          <w:tcPr>
            <w:tcW w:w="996" w:type="dxa"/>
            <w:vMerge w:val="continue"/>
            <w:tcBorders>
              <w:left w:val="single" w:color="auto" w:sz="4" w:space="0"/>
              <w:right w:val="single" w:color="auto" w:sz="4" w:space="0"/>
            </w:tcBorders>
            <w:vAlign w:val="center"/>
          </w:tcPr>
          <w:p w14:paraId="017B4AD6">
            <w:pPr>
              <w:widowControl/>
              <w:spacing w:line="360" w:lineRule="auto"/>
              <w:rPr>
                <w:bCs/>
                <w:color w:val="000000" w:themeColor="text1"/>
                <w14:textFill>
                  <w14:solidFill>
                    <w14:schemeClr w14:val="tx1"/>
                  </w14:solidFill>
                </w14:textFill>
              </w:rPr>
            </w:pPr>
          </w:p>
        </w:tc>
        <w:tc>
          <w:tcPr>
            <w:tcW w:w="7115" w:type="dxa"/>
            <w:tcBorders>
              <w:top w:val="single" w:color="auto" w:sz="4" w:space="0"/>
              <w:left w:val="single" w:color="auto" w:sz="4" w:space="0"/>
              <w:bottom w:val="single" w:color="auto" w:sz="4" w:space="0"/>
              <w:right w:val="single" w:color="auto" w:sz="4" w:space="0"/>
            </w:tcBorders>
            <w:shd w:val="clear" w:color="auto" w:fill="auto"/>
            <w:vAlign w:val="center"/>
          </w:tcPr>
          <w:p w14:paraId="2BA6D2C5">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安全施工方案：</w:t>
            </w:r>
          </w:p>
          <w:p w14:paraId="31A015DA">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根据供应商提供的安全施工方案进行评审，内容包括但不限于：施工方案、项目进度计划安排、安装队伍详细情况、负责人履历等。</w:t>
            </w:r>
          </w:p>
          <w:p w14:paraId="4F1E4DEC">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方案科学详细、有前瞻性、合理、全面、有针对性的，得6分；</w:t>
            </w:r>
          </w:p>
          <w:p w14:paraId="78CA8255">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内容基本完整、有一定操作性的，得3分;</w:t>
            </w:r>
          </w:p>
          <w:p w14:paraId="2DC3A97D">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方案粗略，无针对性、与项目需求差距较大得1分；</w:t>
            </w:r>
          </w:p>
          <w:p w14:paraId="52FB9479">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未提供不得分。 </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14:paraId="74AC111E">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w:t>
            </w:r>
          </w:p>
        </w:tc>
      </w:tr>
      <w:tr w14:paraId="79C1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6" w:hRule="atLeast"/>
          <w:jc w:val="center"/>
        </w:trPr>
        <w:tc>
          <w:tcPr>
            <w:tcW w:w="868" w:type="dxa"/>
            <w:vMerge w:val="continue"/>
            <w:tcBorders>
              <w:left w:val="single" w:color="auto" w:sz="4" w:space="0"/>
              <w:right w:val="single" w:color="auto" w:sz="4" w:space="0"/>
            </w:tcBorders>
            <w:vAlign w:val="center"/>
          </w:tcPr>
          <w:p w14:paraId="4972E2F3">
            <w:pPr>
              <w:widowControl/>
              <w:spacing w:line="360" w:lineRule="auto"/>
              <w:jc w:val="center"/>
              <w:rPr>
                <w:bCs/>
                <w:color w:val="000000" w:themeColor="text1"/>
                <w14:textFill>
                  <w14:solidFill>
                    <w14:schemeClr w14:val="tx1"/>
                  </w14:solidFill>
                </w14:textFill>
              </w:rPr>
            </w:pPr>
          </w:p>
        </w:tc>
        <w:tc>
          <w:tcPr>
            <w:tcW w:w="996" w:type="dxa"/>
            <w:vMerge w:val="continue"/>
            <w:tcBorders>
              <w:left w:val="single" w:color="auto" w:sz="4" w:space="0"/>
              <w:bottom w:val="single" w:color="auto" w:sz="4" w:space="0"/>
              <w:right w:val="single" w:color="auto" w:sz="4" w:space="0"/>
            </w:tcBorders>
            <w:vAlign w:val="center"/>
          </w:tcPr>
          <w:p w14:paraId="61941707">
            <w:pPr>
              <w:widowControl/>
              <w:spacing w:line="360" w:lineRule="auto"/>
              <w:rPr>
                <w:bCs/>
                <w:color w:val="000000" w:themeColor="text1"/>
                <w14:textFill>
                  <w14:solidFill>
                    <w14:schemeClr w14:val="tx1"/>
                  </w14:solidFill>
                </w14:textFill>
              </w:rPr>
            </w:pPr>
          </w:p>
        </w:tc>
        <w:tc>
          <w:tcPr>
            <w:tcW w:w="7115" w:type="dxa"/>
            <w:tcBorders>
              <w:top w:val="single" w:color="auto" w:sz="4" w:space="0"/>
              <w:left w:val="single" w:color="auto" w:sz="4" w:space="0"/>
              <w:bottom w:val="single" w:color="auto" w:sz="4" w:space="0"/>
              <w:right w:val="single" w:color="auto" w:sz="4" w:space="0"/>
            </w:tcBorders>
            <w:shd w:val="clear" w:color="auto" w:fill="auto"/>
            <w:vAlign w:val="center"/>
          </w:tcPr>
          <w:p w14:paraId="35A342F2">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验收及质量保证方案：</w:t>
            </w:r>
          </w:p>
          <w:p w14:paraId="76154721">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根据供应商提供验收及质量保证方案进行评审，内容包括但不限于：验收节点、验收重点难点、保证产品质量的技术方案、质量风险管理等。</w:t>
            </w:r>
          </w:p>
          <w:p w14:paraId="3DAC33E0">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方案科学详细、有前瞻性、合理、全面、有针对性的，得6分；</w:t>
            </w:r>
          </w:p>
          <w:p w14:paraId="583212CA">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内容基本完整、有一定操作性的，得3分;</w:t>
            </w:r>
          </w:p>
          <w:p w14:paraId="4C988238">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方案粗略，无针对性、与项目需求差距较大得1分；</w:t>
            </w:r>
          </w:p>
          <w:p w14:paraId="0E1C0C40">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未提供不得分。 </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14:paraId="7B16344D">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w:t>
            </w:r>
          </w:p>
        </w:tc>
      </w:tr>
      <w:tr w14:paraId="51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7" w:hRule="atLeast"/>
          <w:jc w:val="center"/>
        </w:trPr>
        <w:tc>
          <w:tcPr>
            <w:tcW w:w="868" w:type="dxa"/>
            <w:vMerge w:val="continue"/>
            <w:tcBorders>
              <w:left w:val="single" w:color="auto" w:sz="4" w:space="0"/>
              <w:bottom w:val="single" w:color="auto" w:sz="4" w:space="0"/>
              <w:right w:val="single" w:color="auto" w:sz="4" w:space="0"/>
            </w:tcBorders>
            <w:vAlign w:val="center"/>
          </w:tcPr>
          <w:p w14:paraId="196D1EF5">
            <w:pPr>
              <w:widowControl/>
              <w:spacing w:line="360" w:lineRule="auto"/>
              <w:jc w:val="center"/>
              <w:rPr>
                <w:bCs/>
                <w:color w:val="000000" w:themeColor="text1"/>
                <w14:textFill>
                  <w14:solidFill>
                    <w14:schemeClr w14:val="tx1"/>
                  </w14:solidFill>
                </w14:textFill>
              </w:rPr>
            </w:pPr>
          </w:p>
        </w:tc>
        <w:tc>
          <w:tcPr>
            <w:tcW w:w="996" w:type="dxa"/>
            <w:vMerge w:val="continue"/>
            <w:tcBorders>
              <w:left w:val="single" w:color="auto" w:sz="4" w:space="0"/>
              <w:bottom w:val="single" w:color="auto" w:sz="4" w:space="0"/>
              <w:right w:val="single" w:color="auto" w:sz="4" w:space="0"/>
            </w:tcBorders>
            <w:vAlign w:val="center"/>
          </w:tcPr>
          <w:p w14:paraId="2CB92277">
            <w:pPr>
              <w:widowControl/>
              <w:spacing w:line="360" w:lineRule="auto"/>
              <w:rPr>
                <w:bCs/>
                <w:color w:val="000000" w:themeColor="text1"/>
                <w14:textFill>
                  <w14:solidFill>
                    <w14:schemeClr w14:val="tx1"/>
                  </w14:solidFill>
                </w14:textFill>
              </w:rPr>
            </w:pPr>
          </w:p>
        </w:tc>
        <w:tc>
          <w:tcPr>
            <w:tcW w:w="7115" w:type="dxa"/>
            <w:tcBorders>
              <w:top w:val="single" w:color="auto" w:sz="4" w:space="0"/>
              <w:left w:val="single" w:color="auto" w:sz="4" w:space="0"/>
              <w:bottom w:val="single" w:color="auto" w:sz="4" w:space="0"/>
              <w:right w:val="single" w:color="auto" w:sz="4" w:space="0"/>
            </w:tcBorders>
            <w:shd w:val="clear" w:color="auto" w:fill="auto"/>
            <w:vAlign w:val="center"/>
          </w:tcPr>
          <w:p w14:paraId="5817CB39">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售后服务方案：</w:t>
            </w:r>
          </w:p>
          <w:p w14:paraId="095A63E3">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供应商须根据采购文件要求和项目实际，提供详细的售后服务方案，内容包括但不限于：服务体系与范围、故障解决方案、售后服务联系方式与响应时间、应急处理方案、专业技术人员保障服务、培训方案与实施等。</w:t>
            </w:r>
          </w:p>
          <w:p w14:paraId="38690B72">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方案科学详细、有前瞻性、合理、全面、有针对性的，得6分；</w:t>
            </w:r>
          </w:p>
          <w:p w14:paraId="578E80F7">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内容基本完整、有一定操作性的，得3分;</w:t>
            </w:r>
          </w:p>
          <w:p w14:paraId="35ED973A">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方案粗略，无针对性、与项目需求差距较大得1分；</w:t>
            </w:r>
          </w:p>
          <w:p w14:paraId="117EC07D">
            <w:pPr>
              <w:widowControl/>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未提供不得分。 </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14:paraId="1029B027">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w:t>
            </w:r>
          </w:p>
        </w:tc>
      </w:tr>
      <w:tr w14:paraId="756C8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868" w:type="dxa"/>
            <w:vMerge w:val="continue"/>
            <w:tcBorders>
              <w:left w:val="single" w:color="auto" w:sz="4" w:space="0"/>
              <w:bottom w:val="single" w:color="auto" w:sz="4" w:space="0"/>
              <w:right w:val="single" w:color="auto" w:sz="4" w:space="0"/>
            </w:tcBorders>
            <w:vAlign w:val="center"/>
          </w:tcPr>
          <w:p w14:paraId="54A50881">
            <w:pPr>
              <w:widowControl/>
              <w:spacing w:line="360" w:lineRule="auto"/>
              <w:jc w:val="center"/>
              <w:rPr>
                <w:bCs/>
                <w:color w:val="000000" w:themeColor="text1"/>
                <w14:textFill>
                  <w14:solidFill>
                    <w14:schemeClr w14:val="tx1"/>
                  </w14:solidFill>
                </w14:textFill>
              </w:rPr>
            </w:pPr>
          </w:p>
        </w:tc>
        <w:tc>
          <w:tcPr>
            <w:tcW w:w="996" w:type="dxa"/>
            <w:vMerge w:val="continue"/>
            <w:tcBorders>
              <w:left w:val="single" w:color="auto" w:sz="4" w:space="0"/>
              <w:bottom w:val="single" w:color="auto" w:sz="4" w:space="0"/>
              <w:right w:val="single" w:color="auto" w:sz="4" w:space="0"/>
            </w:tcBorders>
            <w:vAlign w:val="center"/>
          </w:tcPr>
          <w:p w14:paraId="41F114E4">
            <w:pPr>
              <w:widowControl/>
              <w:spacing w:line="360" w:lineRule="auto"/>
              <w:rPr>
                <w:bCs/>
                <w:color w:val="000000" w:themeColor="text1"/>
                <w14:textFill>
                  <w14:solidFill>
                    <w14:schemeClr w14:val="tx1"/>
                  </w14:solidFill>
                </w14:textFill>
              </w:rPr>
            </w:pPr>
          </w:p>
        </w:tc>
        <w:tc>
          <w:tcPr>
            <w:tcW w:w="7115" w:type="dxa"/>
            <w:tcBorders>
              <w:top w:val="single" w:color="auto" w:sz="4" w:space="0"/>
              <w:left w:val="single" w:color="auto" w:sz="4" w:space="0"/>
              <w:bottom w:val="single" w:color="auto" w:sz="4" w:space="0"/>
              <w:right w:val="single" w:color="auto" w:sz="4" w:space="0"/>
            </w:tcBorders>
            <w:shd w:val="clear" w:color="auto" w:fill="auto"/>
            <w:vAlign w:val="center"/>
          </w:tcPr>
          <w:p w14:paraId="01F285FD">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项目重难点的解决方案:</w:t>
            </w:r>
          </w:p>
          <w:p w14:paraId="376ACEAA">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供应商须根据采购文件要求和项目实际,提供关键技术、工艺及项目实施的重点、难点、特殊部分处理的解决方案：</w:t>
            </w:r>
          </w:p>
          <w:p w14:paraId="3D9F7BBA">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对本项目关键技术的难点、重点的分析明确，针对性合理化建议（措施）具有科学性，内容完整有效、可操作性强的，得6分；</w:t>
            </w:r>
          </w:p>
          <w:p w14:paraId="1D168BA0">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分析较明确，内容基本完整、有一定操作性的，得3分；</w:t>
            </w:r>
          </w:p>
          <w:p w14:paraId="783D3F74">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认识不全面，分析没有针对性，无操作性的，得1分；</w:t>
            </w:r>
          </w:p>
          <w:p w14:paraId="5A24B0B9">
            <w:pPr>
              <w:pStyle w:val="471"/>
              <w:spacing w:line="42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其他或未提供的不得分</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14:paraId="043C6A17">
            <w:pPr>
              <w:widowControl/>
              <w:spacing w:line="360" w:lineRule="auto"/>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w:t>
            </w:r>
          </w:p>
        </w:tc>
      </w:tr>
      <w:tr w14:paraId="5CD2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8979" w:type="dxa"/>
            <w:gridSpan w:val="3"/>
            <w:tcBorders>
              <w:top w:val="single" w:color="auto" w:sz="4" w:space="0"/>
              <w:left w:val="single" w:color="auto" w:sz="4" w:space="0"/>
              <w:bottom w:val="single" w:color="auto" w:sz="4" w:space="0"/>
              <w:right w:val="single" w:color="auto" w:sz="4" w:space="0"/>
            </w:tcBorders>
            <w:vAlign w:val="center"/>
          </w:tcPr>
          <w:p w14:paraId="79E7BE33">
            <w:pPr>
              <w:widowControl/>
              <w:spacing w:line="336" w:lineRule="auto"/>
              <w:rPr>
                <w:bCs/>
                <w:color w:val="000000" w:themeColor="text1"/>
                <w:sz w:val="24"/>
                <w14:textFill>
                  <w14:solidFill>
                    <w14:schemeClr w14:val="tx1"/>
                  </w14:solidFill>
                </w14:textFill>
              </w:rPr>
            </w:pPr>
            <w:r>
              <w:rPr>
                <w:rFonts w:hint="eastAsia"/>
                <w:bCs/>
                <w:color w:val="000000" w:themeColor="text1"/>
                <w:szCs w:val="24"/>
                <w14:textFill>
                  <w14:solidFill>
                    <w14:schemeClr w14:val="tx1"/>
                  </w14:solidFill>
                </w14:textFill>
              </w:rPr>
              <w:t>合计</w:t>
            </w:r>
          </w:p>
        </w:tc>
        <w:tc>
          <w:tcPr>
            <w:tcW w:w="639" w:type="dxa"/>
            <w:tcBorders>
              <w:top w:val="single" w:color="auto" w:sz="4" w:space="0"/>
              <w:left w:val="single" w:color="auto" w:sz="4" w:space="0"/>
              <w:bottom w:val="single" w:color="auto" w:sz="4" w:space="0"/>
              <w:right w:val="single" w:color="auto" w:sz="4" w:space="0"/>
            </w:tcBorders>
            <w:vAlign w:val="center"/>
          </w:tcPr>
          <w:p w14:paraId="1DF41AAA">
            <w:pPr>
              <w:widowControl/>
              <w:spacing w:line="336"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100</w:t>
            </w:r>
          </w:p>
        </w:tc>
      </w:tr>
    </w:tbl>
    <w:p w14:paraId="5BB1468A">
      <w:pPr>
        <w:autoSpaceDE/>
        <w:autoSpaceDN/>
        <w:rPr>
          <w:rFonts w:cs="微软雅黑"/>
          <w:b/>
          <w:bCs/>
          <w:color w:val="000000" w:themeColor="text1"/>
          <w:szCs w:val="24"/>
          <w14:textFill>
            <w14:solidFill>
              <w14:schemeClr w14:val="tx1"/>
            </w14:solidFill>
          </w14:textFill>
        </w:rPr>
      </w:pPr>
    </w:p>
    <w:p w14:paraId="2D12B2CD">
      <w:pPr>
        <w:widowControl/>
        <w:spacing w:line="360" w:lineRule="auto"/>
        <w:rPr>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t>说明：</w:t>
      </w:r>
    </w:p>
    <w:p w14:paraId="19C2C4F0">
      <w:pPr>
        <w:widowControl/>
        <w:spacing w:line="360" w:lineRule="auto"/>
        <w:ind w:firstLine="440" w:firstLineChars="200"/>
        <w:rPr>
          <w:bCs/>
          <w:color w:val="000000" w:themeColor="text1"/>
          <w14:textFill>
            <w14:solidFill>
              <w14:schemeClr w14:val="tx1"/>
            </w14:solidFill>
          </w14:textFill>
        </w:rPr>
      </w:pPr>
      <w:r>
        <w:rPr>
          <w:rFonts w:hint="eastAsia"/>
          <w:bCs/>
          <w:color w:val="000000" w:themeColor="text1"/>
          <w:sz w:val="22"/>
          <w:szCs w:val="22"/>
          <w14:textFill>
            <w14:solidFill>
              <w14:schemeClr w14:val="tx1"/>
            </w14:solidFill>
          </w14:textFill>
        </w:rPr>
        <w:t>一、</w:t>
      </w:r>
      <w:r>
        <w:rPr>
          <w:rFonts w:hint="eastAsia"/>
          <w:bCs/>
          <w:color w:val="000000" w:themeColor="text1"/>
          <w14:textFill>
            <w14:solidFill>
              <w14:schemeClr w14:val="tx1"/>
            </w14:solidFill>
          </w14:textFill>
        </w:rPr>
        <w:t>小微企业的价格扣除</w:t>
      </w:r>
    </w:p>
    <w:p w14:paraId="2A964D1B">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14:paraId="0A6A930C">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2.价格扣除比例或者价格分加分比例对小型企业和微型企业同等对待，不作区分。</w:t>
      </w:r>
    </w:p>
    <w:p w14:paraId="2FBBF90B">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 二、监狱和戒毒企业的价格扣除</w:t>
      </w:r>
    </w:p>
    <w:p w14:paraId="50B5CE28">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1.本项目对监狱和戒毒企业（简称监狱企业）视同小型、微型企业，享受相同的价格扣除优惠政策。</w:t>
      </w:r>
    </w:p>
    <w:p w14:paraId="027A4208">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2.监狱企业需提供由省级以上监狱管理局、戒毒管理局（含新疆生产建设兵团）出具的属于监狱企业的证明文件。</w:t>
      </w:r>
    </w:p>
    <w:p w14:paraId="309DD888">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3.监狱企业标准请参照《关于政府采购支持监狱企业发展有关问题的通知》（财库〔2014〕68号）。</w:t>
      </w:r>
    </w:p>
    <w:p w14:paraId="48CE4C2D">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三、残疾人福利性单位的价格扣除</w:t>
      </w:r>
    </w:p>
    <w:p w14:paraId="653ECFA4">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1.本项目对残疾人福利性单位视同小型、微型企业，享受相同的价格扣除优惠政策。</w:t>
      </w:r>
    </w:p>
    <w:p w14:paraId="2CE8530E">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2.残疾人福利性单位需按照招标文件的要求提供《残疾人福利性单位声明函》。</w:t>
      </w:r>
    </w:p>
    <w:p w14:paraId="2BC7A51D">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3.残疾人福利性单位标准请参照《关于促进残疾人就业政府采购政策的通知》（财库〔2017〕141号）。</w:t>
      </w:r>
    </w:p>
    <w:p w14:paraId="60059C2F">
      <w:pPr>
        <w:widowControl/>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四、监狱企业、残疾人福利性单位属于小型、微型企业的，不重复享受政策。</w:t>
      </w:r>
    </w:p>
    <w:p w14:paraId="1B15B7C0">
      <w:pPr>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五、采购本国产品的支持政策</w:t>
      </w:r>
    </w:p>
    <w:p w14:paraId="0EE3209F">
      <w:pPr>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 本项目政府采购活动中既有本国产品又有非本国产品参与竞争的，依法对本国产品给予价格评审优惠，对本国产品的报价给予20%的价格扣除，用扣除后的价格参与评审。</w:t>
      </w:r>
    </w:p>
    <w:p w14:paraId="3129C562">
      <w:pPr>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4EF0064">
      <w:pPr>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3、供应商需按照招标文件的要求提供《关于符合本国产品标准的声明函》（以下简称《声明函》），如不提供将不享受本国产品价格评审优惠。</w:t>
      </w:r>
    </w:p>
    <w:p w14:paraId="2DB685BB">
      <w:pPr>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97FFFC2">
      <w:pPr>
        <w:spacing w:line="360" w:lineRule="auto"/>
        <w:ind w:firstLine="420" w:firstLineChars="20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D119B3B">
      <w:pPr>
        <w:spacing w:line="360" w:lineRule="auto"/>
        <w:ind w:firstLine="420" w:firstLineChars="200"/>
        <w:rPr>
          <w:bCs/>
          <w:color w:val="000000" w:themeColor="text1"/>
          <w14:textFill>
            <w14:solidFill>
              <w14:schemeClr w14:val="tx1"/>
            </w14:solidFill>
          </w14:textFill>
        </w:rPr>
        <w:sectPr>
          <w:headerReference r:id="rId5" w:type="default"/>
          <w:footerReference r:id="rId6" w:type="default"/>
          <w:pgSz w:w="11906" w:h="16838"/>
          <w:pgMar w:top="850" w:right="850" w:bottom="850" w:left="1418" w:header="340" w:footer="397" w:gutter="0"/>
          <w:cols w:space="720" w:num="1"/>
          <w:docGrid w:type="lines" w:linePitch="312" w:charSpace="0"/>
        </w:sectPr>
      </w:pPr>
      <w:r>
        <w:rPr>
          <w:rFonts w:hint="eastAsia"/>
          <w:bCs/>
          <w:color w:val="000000" w:themeColor="text1"/>
          <w14:textFill>
            <w14:solidFill>
              <w14:schemeClr w14:val="tx1"/>
            </w14:solidFill>
          </w14:textFill>
        </w:rPr>
        <w:t>六、除评分标准中另有说明外，所有认证、证明和业绩均以有效的证明文件的复印件为依据。</w:t>
      </w:r>
    </w:p>
    <w:p w14:paraId="1DD12988">
      <w:pPr>
        <w:widowControl/>
        <w:spacing w:line="360" w:lineRule="auto"/>
        <w:jc w:val="center"/>
        <w:rPr>
          <w:color w:val="000000" w:themeColor="text1"/>
          <w14:textFill>
            <w14:solidFill>
              <w14:schemeClr w14:val="tx1"/>
            </w14:solidFill>
          </w14:textFill>
        </w:rPr>
      </w:pPr>
      <w:r>
        <w:rPr>
          <w:rFonts w:hint="eastAsia"/>
          <w:color w:val="000000" w:themeColor="text1"/>
          <w:sz w:val="36"/>
          <w:szCs w:val="36"/>
          <w14:textFill>
            <w14:solidFill>
              <w14:schemeClr w14:val="tx1"/>
            </w14:solidFill>
          </w14:textFill>
        </w:rPr>
        <w:t>第四章 招标项目要求</w:t>
      </w:r>
      <w:r>
        <w:rPr>
          <w:rFonts w:hint="eastAsia"/>
          <w:color w:val="000000" w:themeColor="text1"/>
          <w14:textFill>
            <w14:solidFill>
              <w14:schemeClr w14:val="tx1"/>
            </w14:solidFill>
          </w14:textFill>
        </w:rPr>
        <w:t xml:space="preserve">                                   </w:t>
      </w:r>
      <w:bookmarkStart w:id="43" w:name="_Toc523143959"/>
    </w:p>
    <w:p w14:paraId="5E06FECB">
      <w:pPr>
        <w:widowControl/>
        <w:spacing w:line="360" w:lineRule="auto"/>
        <w:jc w:val="both"/>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一、项目概况</w:t>
      </w:r>
    </w:p>
    <w:p w14:paraId="590B05B8">
      <w:pPr>
        <w:widowControl/>
        <w:spacing w:line="360" w:lineRule="auto"/>
        <w:ind w:firstLine="480" w:firstLineChars="20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1、项目名称：中国药科大学江宁校区教学楼空调更换项目</w:t>
      </w:r>
    </w:p>
    <w:p w14:paraId="4264D525">
      <w:pPr>
        <w:widowControl/>
        <w:spacing w:line="360" w:lineRule="auto"/>
        <w:ind w:firstLine="480" w:firstLineChars="20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2、项目地点：中国药科大学江宁校区（南京市江宁区龙眠大道639号）</w:t>
      </w:r>
    </w:p>
    <w:p w14:paraId="3FA9B378">
      <w:pPr>
        <w:widowControl/>
        <w:spacing w:line="360" w:lineRule="auto"/>
        <w:ind w:firstLine="480" w:firstLineChars="20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3、招标内容：教学楼部分老旧空调更新，包含新空调等一切配件，以及运输、安装、调试、保修等服务；原旧机器拆除以及老旧线路的重新铺设，控制系统改造。具体详见下文及图纸。</w:t>
      </w:r>
    </w:p>
    <w:p w14:paraId="4FCE4FC4">
      <w:pPr>
        <w:widowControl/>
        <w:spacing w:line="360" w:lineRule="auto"/>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（第一部分：技术部分要求）</w:t>
      </w:r>
    </w:p>
    <w:p w14:paraId="12E1CB66">
      <w:pPr>
        <w:widowControl/>
        <w:numPr>
          <w:ilvl w:val="0"/>
          <w:numId w:val="1"/>
        </w:numPr>
        <w:spacing w:line="360" w:lineRule="auto"/>
        <w:rPr>
          <w:color w:val="000000" w:themeColor="text1"/>
          <w14:textFill>
            <w14:solidFill>
              <w14:schemeClr w14:val="tx1"/>
            </w14:solidFill>
          </w14:textFill>
        </w:rPr>
      </w:pPr>
      <w:r>
        <w:rPr>
          <w:rFonts w:hint="eastAsia"/>
          <w:b/>
          <w:color w:val="000000" w:themeColor="text1"/>
          <w:sz w:val="24"/>
          <w:szCs w:val="24"/>
          <w14:textFill>
            <w14:solidFill>
              <w14:schemeClr w14:val="tx1"/>
            </w14:solidFill>
          </w14:textFill>
        </w:rPr>
        <w:t>货物清单及技术要求</w:t>
      </w:r>
    </w:p>
    <w:p w14:paraId="60440682">
      <w:pPr>
        <w:widowControl/>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b/>
          <w:color w:val="000000" w:themeColor="text1"/>
          <w:sz w:val="24"/>
          <w:szCs w:val="24"/>
          <w14:textFill>
            <w14:solidFill>
              <w14:schemeClr w14:val="tx1"/>
            </w14:solidFill>
          </w14:textFill>
        </w:rPr>
        <w:t>货物清单</w:t>
      </w:r>
    </w:p>
    <w:tbl>
      <w:tblPr>
        <w:tblStyle w:val="65"/>
        <w:tblW w:w="4981" w:type="pct"/>
        <w:jc w:val="center"/>
        <w:tblLayout w:type="fixed"/>
        <w:tblCellMar>
          <w:top w:w="0" w:type="dxa"/>
          <w:left w:w="108" w:type="dxa"/>
          <w:bottom w:w="0" w:type="dxa"/>
          <w:right w:w="108" w:type="dxa"/>
        </w:tblCellMar>
      </w:tblPr>
      <w:tblGrid>
        <w:gridCol w:w="817"/>
        <w:gridCol w:w="1442"/>
        <w:gridCol w:w="928"/>
        <w:gridCol w:w="1389"/>
        <w:gridCol w:w="5241"/>
      </w:tblGrid>
      <w:tr w14:paraId="4C2D9A6F">
        <w:tblPrEx>
          <w:tblCellMar>
            <w:top w:w="0" w:type="dxa"/>
            <w:left w:w="108" w:type="dxa"/>
            <w:bottom w:w="0" w:type="dxa"/>
            <w:right w:w="108" w:type="dxa"/>
          </w:tblCellMar>
        </w:tblPrEx>
        <w:trPr>
          <w:trHeight w:val="382"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1BD6A">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采购序号</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47D06">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产品名称</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8DD9">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★单位</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9745E">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★数量</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10F6">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技术参数要求</w:t>
            </w:r>
          </w:p>
        </w:tc>
      </w:tr>
      <w:tr w14:paraId="16B6E4C5">
        <w:tblPrEx>
          <w:tblCellMar>
            <w:top w:w="0" w:type="dxa"/>
            <w:left w:w="108" w:type="dxa"/>
            <w:bottom w:w="0" w:type="dxa"/>
            <w:right w:w="108" w:type="dxa"/>
          </w:tblCellMar>
        </w:tblPrEx>
        <w:trPr>
          <w:trHeight w:val="205"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A95A6">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一</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A310">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暖通部分</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B187">
            <w:pPr>
              <w:jc w:val="center"/>
              <w:rPr>
                <w:b/>
                <w:bCs/>
                <w:color w:val="000000" w:themeColor="text1"/>
                <w:sz w:val="24"/>
                <w:szCs w:val="24"/>
                <w14:textFill>
                  <w14:solidFill>
                    <w14:schemeClr w14:val="tx1"/>
                  </w14:solidFill>
                </w14:textFill>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F8482">
            <w:pPr>
              <w:jc w:val="center"/>
              <w:rPr>
                <w:b/>
                <w:bCs/>
                <w:color w:val="000000" w:themeColor="text1"/>
                <w:sz w:val="24"/>
                <w:szCs w:val="24"/>
                <w14:textFill>
                  <w14:solidFill>
                    <w14:schemeClr w14:val="tx1"/>
                  </w14:solidFill>
                </w14:textFill>
              </w:rPr>
            </w:pP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86A4">
            <w:pPr>
              <w:jc w:val="center"/>
              <w:rPr>
                <w:b/>
                <w:bCs/>
                <w:color w:val="000000" w:themeColor="text1"/>
                <w:sz w:val="24"/>
                <w:szCs w:val="24"/>
                <w14:textFill>
                  <w14:solidFill>
                    <w14:schemeClr w14:val="tx1"/>
                  </w14:solidFill>
                </w14:textFill>
              </w:rPr>
            </w:pPr>
          </w:p>
        </w:tc>
      </w:tr>
      <w:tr w14:paraId="4216B144">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F81DD">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1.1</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617C2">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空调设备</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2E69">
            <w:pPr>
              <w:jc w:val="center"/>
              <w:rPr>
                <w:b/>
                <w:bCs/>
                <w:color w:val="000000" w:themeColor="text1"/>
                <w:sz w:val="24"/>
                <w:szCs w:val="24"/>
                <w14:textFill>
                  <w14:solidFill>
                    <w14:schemeClr w14:val="tx1"/>
                  </w14:solidFill>
                </w14:textFill>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1605E">
            <w:pPr>
              <w:jc w:val="center"/>
              <w:rPr>
                <w:b/>
                <w:bCs/>
                <w:color w:val="000000" w:themeColor="text1"/>
                <w:sz w:val="24"/>
                <w:szCs w:val="24"/>
                <w14:textFill>
                  <w14:solidFill>
                    <w14:schemeClr w14:val="tx1"/>
                  </w14:solidFill>
                </w14:textFill>
              </w:rPr>
            </w:pP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0B28">
            <w:pPr>
              <w:jc w:val="center"/>
              <w:rPr>
                <w:b/>
                <w:bCs/>
                <w:color w:val="000000" w:themeColor="text1"/>
                <w:sz w:val="24"/>
                <w:szCs w:val="24"/>
                <w14:textFill>
                  <w14:solidFill>
                    <w14:schemeClr w14:val="tx1"/>
                  </w14:solidFill>
                </w14:textFill>
              </w:rPr>
            </w:pPr>
          </w:p>
        </w:tc>
      </w:tr>
      <w:tr w14:paraId="3FD06A67">
        <w:tblPrEx>
          <w:tblCellMar>
            <w:top w:w="0" w:type="dxa"/>
            <w:left w:w="108" w:type="dxa"/>
            <w:bottom w:w="0" w:type="dxa"/>
            <w:right w:w="108" w:type="dxa"/>
          </w:tblCellMar>
        </w:tblPrEx>
        <w:trPr>
          <w:trHeight w:val="207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A571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449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空调室外机1</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13A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3D5DA">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4784">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★1、电源规格：380V；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★2、能效等级≥2级；</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▲3、额定制冷量：≥33.5KW；</w:t>
            </w:r>
            <w:r>
              <w:rPr>
                <w:rFonts w:hint="eastAsia"/>
                <w:b/>
                <w:color w:val="000000" w:themeColor="text1"/>
                <w14:textFill>
                  <w14:solidFill>
                    <w14:schemeClr w14:val="tx1"/>
                  </w14:solidFill>
                </w14:textFill>
              </w:rPr>
              <w:t>(提供相关证明材料包括但不限于官网截图或彩页或白皮书或产品铭牌或检测报告功能截图或证书等)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▲4、额定制热量：≥37.5KW；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5、额定制冷功率≤10.6KW；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6、额定制热功率≤10.3KW；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7、APF≥4</w:t>
            </w:r>
            <w:r>
              <w:rPr>
                <w:rFonts w:hint="eastAsia"/>
                <w:bCs/>
                <w:color w:val="000000" w:themeColor="text1"/>
                <w:lang w:val="en-US" w:eastAsia="zh-CN"/>
                <w14:textFill>
                  <w14:solidFill>
                    <w14:schemeClr w14:val="tx1"/>
                  </w14:solidFill>
                </w14:textFill>
              </w:rPr>
              <w:t>.2</w:t>
            </w:r>
            <w:r>
              <w:rPr>
                <w:rFonts w:hint="eastAsia"/>
                <w:bCs/>
                <w:color w:val="000000" w:themeColor="text1"/>
                <w14:textFill>
                  <w14:solidFill>
                    <w14:schemeClr w14:val="tx1"/>
                  </w14:solidFill>
                </w14:textFill>
              </w:rPr>
              <w:t>；</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8、外机噪音≤65dB；</w:t>
            </w:r>
          </w:p>
          <w:p w14:paraId="4501C77F">
            <w:pPr>
              <w:widowControl/>
              <w:numPr>
                <w:ilvl w:val="0"/>
                <w:numId w:val="2"/>
              </w:numPr>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安装形式:落地安装。</w:t>
            </w:r>
          </w:p>
          <w:p w14:paraId="473293D5">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10、其他详见设计图纸；</w:t>
            </w:r>
          </w:p>
        </w:tc>
      </w:tr>
      <w:tr w14:paraId="00FD70E9">
        <w:tblPrEx>
          <w:tblCellMar>
            <w:top w:w="0" w:type="dxa"/>
            <w:left w:w="108" w:type="dxa"/>
            <w:bottom w:w="0" w:type="dxa"/>
            <w:right w:w="108" w:type="dxa"/>
          </w:tblCellMar>
        </w:tblPrEx>
        <w:trPr>
          <w:trHeight w:val="207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5C8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08D5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空调室外机2</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AF7B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9A24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6E98">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★1、电源规格：380V；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★2、能效等级≥2级；</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▲3、额定制冷量≥45KW；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▲4、额定制热量≥50KW；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5、额定制冷功率≤14KW；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6、额定制热功率≤14.5KW；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7、APF≥4</w:t>
            </w:r>
            <w:r>
              <w:rPr>
                <w:rFonts w:hint="eastAsia"/>
                <w:bCs/>
                <w:color w:val="000000" w:themeColor="text1"/>
                <w:lang w:val="en-US" w:eastAsia="zh-CN"/>
                <w14:textFill>
                  <w14:solidFill>
                    <w14:schemeClr w14:val="tx1"/>
                  </w14:solidFill>
                </w14:textFill>
              </w:rPr>
              <w:t>.2</w:t>
            </w:r>
            <w:r>
              <w:rPr>
                <w:rFonts w:hint="eastAsia"/>
                <w:bCs/>
                <w:color w:val="000000" w:themeColor="text1"/>
                <w14:textFill>
                  <w14:solidFill>
                    <w14:schemeClr w14:val="tx1"/>
                  </w14:solidFill>
                </w14:textFill>
              </w:rPr>
              <w:t>；</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8、外机噪音≤65dB；</w:t>
            </w:r>
          </w:p>
          <w:p w14:paraId="0E1DB3A3">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9、安装形式:落地安装。</w:t>
            </w:r>
          </w:p>
          <w:p w14:paraId="1F74EBA9">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10、其他详见设计图纸；</w:t>
            </w:r>
          </w:p>
        </w:tc>
      </w:tr>
      <w:tr w14:paraId="12D5B4DF">
        <w:tblPrEx>
          <w:tblCellMar>
            <w:top w:w="0" w:type="dxa"/>
            <w:left w:w="108" w:type="dxa"/>
            <w:bottom w:w="0" w:type="dxa"/>
            <w:right w:w="108" w:type="dxa"/>
          </w:tblCellMar>
        </w:tblPrEx>
        <w:trPr>
          <w:trHeight w:val="207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CB1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635BE">
            <w:pPr>
              <w:widowControl/>
              <w:jc w:val="center"/>
              <w:textAlignment w:val="center"/>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bidi="ar"/>
                <w14:textFill>
                  <w14:solidFill>
                    <w14:schemeClr w14:val="tx1"/>
                  </w14:solidFill>
                </w14:textFill>
              </w:rPr>
              <w:t>空调室外机3</w:t>
            </w:r>
            <w:r>
              <w:rPr>
                <w:rFonts w:hint="eastAsia"/>
                <w:color w:val="000000" w:themeColor="text1"/>
                <w:sz w:val="24"/>
                <w:szCs w:val="24"/>
                <w:lang w:eastAsia="zh-CN" w:bidi="ar"/>
                <w14:textFill>
                  <w14:solidFill>
                    <w14:schemeClr w14:val="tx1"/>
                  </w14:solidFill>
                </w14:textFill>
              </w:rPr>
              <w:t>（核心产品</w:t>
            </w:r>
            <w:bookmarkStart w:id="63" w:name="_GoBack"/>
            <w:bookmarkEnd w:id="63"/>
            <w:r>
              <w:rPr>
                <w:rFonts w:hint="eastAsia"/>
                <w:color w:val="000000" w:themeColor="text1"/>
                <w:sz w:val="24"/>
                <w:szCs w:val="24"/>
                <w:lang w:eastAsia="zh-CN" w:bidi="ar"/>
                <w14:textFill>
                  <w14:solidFill>
                    <w14:schemeClr w14:val="tx1"/>
                  </w14:solidFill>
                </w14:textFill>
              </w:rPr>
              <w:t>）</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1DA7">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64D5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8.00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675A">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★1、电源规格：380V；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★2、能效等级≥2级；</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▲3、额定制冷量≥56KW；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▲4、额定制热量≥63KW；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5、额定制冷功率≤16.8KW；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6、额定制热功率≤17KW；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7、APF≥4</w:t>
            </w:r>
            <w:r>
              <w:rPr>
                <w:rFonts w:hint="eastAsia"/>
                <w:bCs/>
                <w:color w:val="000000" w:themeColor="text1"/>
                <w:lang w:val="en-US" w:eastAsia="zh-CN"/>
                <w14:textFill>
                  <w14:solidFill>
                    <w14:schemeClr w14:val="tx1"/>
                  </w14:solidFill>
                </w14:textFill>
              </w:rPr>
              <w:t>.0</w:t>
            </w:r>
            <w:r>
              <w:rPr>
                <w:rFonts w:hint="eastAsia"/>
                <w:bCs/>
                <w:color w:val="000000" w:themeColor="text1"/>
                <w14:textFill>
                  <w14:solidFill>
                    <w14:schemeClr w14:val="tx1"/>
                  </w14:solidFill>
                </w14:textFill>
              </w:rPr>
              <w:t>；</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8、外机噪音≤65dB；</w:t>
            </w:r>
          </w:p>
          <w:p w14:paraId="22CDA501">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9、安装形式:落地安装。</w:t>
            </w:r>
          </w:p>
          <w:p w14:paraId="48F9FE49">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10、其他详见设计图纸；</w:t>
            </w:r>
          </w:p>
        </w:tc>
      </w:tr>
      <w:tr w14:paraId="2F26BCE4">
        <w:tblPrEx>
          <w:tblCellMar>
            <w:top w:w="0" w:type="dxa"/>
            <w:left w:w="108" w:type="dxa"/>
            <w:bottom w:w="0" w:type="dxa"/>
            <w:right w:w="108" w:type="dxa"/>
          </w:tblCellMar>
        </w:tblPrEx>
        <w:trPr>
          <w:trHeight w:val="207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85E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4</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B83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空调室外机4</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30B3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F8AD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C0E6">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★1、电源规格：380V；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★2、能效等级≥2级；</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▲3、额定制冷量≥78.5KW；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▲4、额定制热量≥87.5KW；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5、额定制冷功率≤24KW；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6、额定制热功率≤25KW；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7、APF≥</w:t>
            </w:r>
            <w:r>
              <w:rPr>
                <w:rFonts w:hint="eastAsia"/>
                <w:bCs/>
                <w:color w:val="000000" w:themeColor="text1"/>
                <w:lang w:val="en-US" w:eastAsia="zh-CN"/>
                <w14:textFill>
                  <w14:solidFill>
                    <w14:schemeClr w14:val="tx1"/>
                  </w14:solidFill>
                </w14:textFill>
              </w:rPr>
              <w:t>3.8</w:t>
            </w:r>
            <w:r>
              <w:rPr>
                <w:rFonts w:hint="eastAsia"/>
                <w:bCs/>
                <w:color w:val="000000" w:themeColor="text1"/>
                <w14:textFill>
                  <w14:solidFill>
                    <w14:schemeClr w14:val="tx1"/>
                  </w14:solidFill>
                </w14:textFill>
              </w:rPr>
              <w:t>；</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8、外机噪音≤65dB；</w:t>
            </w:r>
          </w:p>
          <w:p w14:paraId="5F7ACBCC">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9、安装形式:落地安装。</w:t>
            </w:r>
          </w:p>
          <w:p w14:paraId="3DC8D16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10、其他详见设计图纸；</w:t>
            </w:r>
          </w:p>
        </w:tc>
      </w:tr>
      <w:tr w14:paraId="1904469C">
        <w:tblPrEx>
          <w:tblCellMar>
            <w:top w:w="0" w:type="dxa"/>
            <w:left w:w="108" w:type="dxa"/>
            <w:bottom w:w="0" w:type="dxa"/>
            <w:right w:w="108" w:type="dxa"/>
          </w:tblCellMar>
        </w:tblPrEx>
        <w:trPr>
          <w:trHeight w:val="207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F8F8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5</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E05D7">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空调室外机5</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4B60">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8BB0">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224E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★1、电源规格：380V；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★2、能效等级≥2级；</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▲3、额定制冷量≥85KW；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▲4、额定制热量≥90KW；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5、额定制冷功率≤25.5KW；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6、额定制热功率≤25KW；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7、APF≥</w:t>
            </w:r>
            <w:r>
              <w:rPr>
                <w:rFonts w:hint="eastAsia"/>
                <w:bCs/>
                <w:color w:val="000000" w:themeColor="text1"/>
                <w:lang w:val="en-US" w:eastAsia="zh-CN"/>
                <w14:textFill>
                  <w14:solidFill>
                    <w14:schemeClr w14:val="tx1"/>
                  </w14:solidFill>
                </w14:textFill>
              </w:rPr>
              <w:t>3.8</w:t>
            </w:r>
            <w:r>
              <w:rPr>
                <w:rFonts w:hint="eastAsia"/>
                <w:bCs/>
                <w:color w:val="000000" w:themeColor="text1"/>
                <w14:textFill>
                  <w14:solidFill>
                    <w14:schemeClr w14:val="tx1"/>
                  </w14:solidFill>
                </w14:textFill>
              </w:rPr>
              <w:t>；</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8、外机噪音≤65dB；</w:t>
            </w:r>
          </w:p>
          <w:p w14:paraId="077FA075">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9、安装形式:落地安装。</w:t>
            </w:r>
          </w:p>
          <w:p w14:paraId="6CED7FBC">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10、其他详见设计图纸；</w:t>
            </w:r>
          </w:p>
        </w:tc>
      </w:tr>
      <w:tr w14:paraId="0F73CAB7">
        <w:tblPrEx>
          <w:tblCellMar>
            <w:top w:w="0" w:type="dxa"/>
            <w:left w:w="108" w:type="dxa"/>
            <w:bottom w:w="0" w:type="dxa"/>
            <w:right w:w="108" w:type="dxa"/>
          </w:tblCellMar>
        </w:tblPrEx>
        <w:trPr>
          <w:trHeight w:val="207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3F94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6</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035FC">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空调室外机6</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A1B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4D1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4105">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★1、电源规格：380V；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★2、能效等级≥2级；</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▲3、额定制冷量≥90KW；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▲4、额定制热量≥100KW；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5、额定制冷功率≤27.5KW；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6、额定制热功率≤26.5KW；</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7、APF≥</w:t>
            </w:r>
            <w:r>
              <w:rPr>
                <w:rFonts w:hint="eastAsia"/>
                <w:bCs/>
                <w:color w:val="000000" w:themeColor="text1"/>
                <w:lang w:val="en-US" w:eastAsia="zh-CN"/>
                <w14:textFill>
                  <w14:solidFill>
                    <w14:schemeClr w14:val="tx1"/>
                  </w14:solidFill>
                </w14:textFill>
              </w:rPr>
              <w:t>3.8</w:t>
            </w:r>
            <w:r>
              <w:rPr>
                <w:rFonts w:hint="eastAsia"/>
                <w:bCs/>
                <w:color w:val="000000" w:themeColor="text1"/>
                <w14:textFill>
                  <w14:solidFill>
                    <w14:schemeClr w14:val="tx1"/>
                  </w14:solidFill>
                </w14:textFill>
              </w:rPr>
              <w:t>；</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8、外机噪音≤65dB；</w:t>
            </w:r>
          </w:p>
          <w:p w14:paraId="36D9C90F">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9、安装形式:落地安装。</w:t>
            </w:r>
          </w:p>
          <w:p w14:paraId="31BCBBC3">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10、其他详见设计图纸；</w:t>
            </w:r>
          </w:p>
        </w:tc>
      </w:tr>
      <w:tr w14:paraId="69D58D8D">
        <w:tblPrEx>
          <w:tblCellMar>
            <w:top w:w="0" w:type="dxa"/>
            <w:left w:w="108" w:type="dxa"/>
            <w:bottom w:w="0" w:type="dxa"/>
            <w:right w:w="108" w:type="dxa"/>
          </w:tblCellMar>
        </w:tblPrEx>
        <w:trPr>
          <w:trHeight w:val="601"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52D57">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7</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1A7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空调室内机1</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B5B2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CBB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4E7F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★1、电源规格：220V；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2</w:t>
            </w:r>
            <w:r>
              <w:rPr>
                <w:rFonts w:hint="eastAsia"/>
                <w:bCs/>
                <w:color w:val="000000" w:themeColor="text1"/>
                <w14:textFill>
                  <w14:solidFill>
                    <w14:schemeClr w14:val="tx1"/>
                  </w14:solidFill>
                </w14:textFill>
              </w:rPr>
              <w:t>、额定制冷量≥2.8KW；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3</w:t>
            </w:r>
            <w:r>
              <w:rPr>
                <w:rFonts w:hint="eastAsia"/>
                <w:bCs/>
                <w:color w:val="000000" w:themeColor="text1"/>
                <w14:textFill>
                  <w14:solidFill>
                    <w14:schemeClr w14:val="tx1"/>
                  </w14:solidFill>
                </w14:textFill>
              </w:rPr>
              <w:t>、额定制热量≥3.2KW；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lang w:val="en-US" w:eastAsia="zh-CN"/>
                <w14:textFill>
                  <w14:solidFill>
                    <w14:schemeClr w14:val="tx1"/>
                  </w14:solidFill>
                </w14:textFill>
              </w:rPr>
              <w:t>4</w:t>
            </w:r>
            <w:r>
              <w:rPr>
                <w:rFonts w:hint="eastAsia"/>
                <w:bCs/>
                <w:color w:val="000000" w:themeColor="text1"/>
                <w14:textFill>
                  <w14:solidFill>
                    <w14:schemeClr w14:val="tx1"/>
                  </w14:solidFill>
                </w14:textFill>
              </w:rPr>
              <w:t>、内机噪音(高风档)≤37dB；</w:t>
            </w:r>
          </w:p>
          <w:p w14:paraId="3B206DCC">
            <w:pPr>
              <w:widowControl/>
              <w:numPr>
                <w:ilvl w:val="0"/>
                <w:numId w:val="0"/>
              </w:numPr>
              <w:textAlignment w:val="center"/>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5、</w:t>
            </w:r>
            <w:r>
              <w:rPr>
                <w:rFonts w:hint="eastAsia"/>
                <w:bCs/>
                <w:color w:val="000000" w:themeColor="text1"/>
                <w14:textFill>
                  <w14:solidFill>
                    <w14:schemeClr w14:val="tx1"/>
                  </w14:solidFill>
                </w14:textFill>
              </w:rPr>
              <w:t>安装形式:环形出风嵌入式。</w:t>
            </w:r>
          </w:p>
          <w:p w14:paraId="0ED7E88C">
            <w:pPr>
              <w:widowControl/>
              <w:textAlignment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w:t>
            </w:r>
            <w:r>
              <w:rPr>
                <w:rFonts w:hint="eastAsia"/>
                <w:bCs/>
                <w:color w:val="000000" w:themeColor="text1"/>
                <w14:textFill>
                  <w14:solidFill>
                    <w14:schemeClr w14:val="tx1"/>
                  </w14:solidFill>
                </w14:textFill>
              </w:rPr>
              <w:t>其他详见设计图纸；</w:t>
            </w:r>
          </w:p>
        </w:tc>
      </w:tr>
      <w:tr w14:paraId="2A8484E4">
        <w:tblPrEx>
          <w:tblCellMar>
            <w:top w:w="0" w:type="dxa"/>
            <w:left w:w="108" w:type="dxa"/>
            <w:bottom w:w="0" w:type="dxa"/>
            <w:right w:w="108" w:type="dxa"/>
          </w:tblCellMar>
        </w:tblPrEx>
        <w:trPr>
          <w:trHeight w:val="1886"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644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8</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B7E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空调室内机2</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3DF0">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71C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8.00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3ACA">
            <w:pPr>
              <w:widowControl/>
              <w:textAlignment w:val="center"/>
              <w:rPr>
                <w:b/>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★1、电源规格：220V；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2</w:t>
            </w:r>
            <w:r>
              <w:rPr>
                <w:rFonts w:hint="eastAsia"/>
                <w:bCs/>
                <w:color w:val="000000" w:themeColor="text1"/>
                <w14:textFill>
                  <w14:solidFill>
                    <w14:schemeClr w14:val="tx1"/>
                  </w14:solidFill>
                </w14:textFill>
              </w:rPr>
              <w:t>、额定制冷量≥7.1KW；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p>
          <w:p w14:paraId="72633C86">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3</w:t>
            </w:r>
            <w:r>
              <w:rPr>
                <w:rFonts w:hint="eastAsia"/>
                <w:bCs/>
                <w:color w:val="000000" w:themeColor="text1"/>
                <w14:textFill>
                  <w14:solidFill>
                    <w14:schemeClr w14:val="tx1"/>
                  </w14:solidFill>
                </w14:textFill>
              </w:rPr>
              <w:t>、额定制热量≥8KW；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lang w:val="en-US" w:eastAsia="zh-CN"/>
                <w14:textFill>
                  <w14:solidFill>
                    <w14:schemeClr w14:val="tx1"/>
                  </w14:solidFill>
                </w14:textFill>
              </w:rPr>
              <w:t>4</w:t>
            </w:r>
            <w:r>
              <w:rPr>
                <w:rFonts w:hint="eastAsia"/>
                <w:bCs/>
                <w:color w:val="000000" w:themeColor="text1"/>
                <w14:textFill>
                  <w14:solidFill>
                    <w14:schemeClr w14:val="tx1"/>
                  </w14:solidFill>
                </w14:textFill>
              </w:rPr>
              <w:t>、内机噪音(高风档)≤38dB；</w:t>
            </w:r>
          </w:p>
          <w:p w14:paraId="604340A8">
            <w:pPr>
              <w:widowControl/>
              <w:textAlignment w:val="center"/>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5</w:t>
            </w:r>
            <w:r>
              <w:rPr>
                <w:rFonts w:hint="eastAsia"/>
                <w:bCs/>
                <w:color w:val="000000" w:themeColor="text1"/>
                <w14:textFill>
                  <w14:solidFill>
                    <w14:schemeClr w14:val="tx1"/>
                  </w14:solidFill>
                </w14:textFill>
              </w:rPr>
              <w:t>、安装形式:环形出风嵌入式。</w:t>
            </w:r>
          </w:p>
          <w:p w14:paraId="66577EC4">
            <w:pPr>
              <w:widowControl/>
              <w:textAlignment w:val="center"/>
              <w:rPr>
                <w:bCs/>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w:t>
            </w:r>
            <w:r>
              <w:rPr>
                <w:rFonts w:hint="eastAsia"/>
                <w:bCs/>
                <w:color w:val="000000" w:themeColor="text1"/>
                <w14:textFill>
                  <w14:solidFill>
                    <w14:schemeClr w14:val="tx1"/>
                  </w14:solidFill>
                </w14:textFill>
              </w:rPr>
              <w:t>其他详见设计图纸；</w:t>
            </w:r>
          </w:p>
        </w:tc>
      </w:tr>
      <w:tr w14:paraId="75494E65">
        <w:tblPrEx>
          <w:tblCellMar>
            <w:top w:w="0" w:type="dxa"/>
            <w:left w:w="108" w:type="dxa"/>
            <w:bottom w:w="0" w:type="dxa"/>
            <w:right w:w="108" w:type="dxa"/>
          </w:tblCellMar>
        </w:tblPrEx>
        <w:trPr>
          <w:trHeight w:val="338"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6242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9</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636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空调室内机3</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CDD9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C54B8">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45.00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581A">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★1、电源规格：220V；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2</w:t>
            </w:r>
            <w:r>
              <w:rPr>
                <w:rFonts w:hint="eastAsia"/>
                <w:bCs/>
                <w:color w:val="000000" w:themeColor="text1"/>
                <w14:textFill>
                  <w14:solidFill>
                    <w14:schemeClr w14:val="tx1"/>
                  </w14:solidFill>
                </w14:textFill>
              </w:rPr>
              <w:t>、额定制冷量≥12.5KW；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3</w:t>
            </w:r>
            <w:r>
              <w:rPr>
                <w:rFonts w:hint="eastAsia"/>
                <w:bCs/>
                <w:color w:val="000000" w:themeColor="text1"/>
                <w14:textFill>
                  <w14:solidFill>
                    <w14:schemeClr w14:val="tx1"/>
                  </w14:solidFill>
                </w14:textFill>
              </w:rPr>
              <w:t>、额定制热量≥14KW；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lang w:val="en-US" w:eastAsia="zh-CN"/>
                <w14:textFill>
                  <w14:solidFill>
                    <w14:schemeClr w14:val="tx1"/>
                  </w14:solidFill>
                </w14:textFill>
              </w:rPr>
              <w:t>4</w:t>
            </w:r>
            <w:r>
              <w:rPr>
                <w:rFonts w:hint="eastAsia"/>
                <w:bCs/>
                <w:color w:val="000000" w:themeColor="text1"/>
                <w14:textFill>
                  <w14:solidFill>
                    <w14:schemeClr w14:val="tx1"/>
                  </w14:solidFill>
                </w14:textFill>
              </w:rPr>
              <w:t>、内机噪音(高风档)≤44dB；</w:t>
            </w:r>
          </w:p>
          <w:p w14:paraId="400A80CB">
            <w:pPr>
              <w:widowControl/>
              <w:textAlignment w:val="center"/>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5</w:t>
            </w:r>
            <w:r>
              <w:rPr>
                <w:rFonts w:hint="eastAsia"/>
                <w:bCs/>
                <w:color w:val="000000" w:themeColor="text1"/>
                <w14:textFill>
                  <w14:solidFill>
                    <w14:schemeClr w14:val="tx1"/>
                  </w14:solidFill>
                </w14:textFill>
              </w:rPr>
              <w:t>、安装形式:环形出风嵌入式。</w:t>
            </w:r>
          </w:p>
          <w:p w14:paraId="148FE3A7">
            <w:pPr>
              <w:widowControl/>
              <w:textAlignment w:val="center"/>
              <w:rPr>
                <w:bCs/>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w:t>
            </w:r>
            <w:r>
              <w:rPr>
                <w:rFonts w:hint="eastAsia"/>
                <w:bCs/>
                <w:color w:val="000000" w:themeColor="text1"/>
                <w14:textFill>
                  <w14:solidFill>
                    <w14:schemeClr w14:val="tx1"/>
                  </w14:solidFill>
                </w14:textFill>
              </w:rPr>
              <w:t>其他详见设计图纸；</w:t>
            </w:r>
          </w:p>
        </w:tc>
      </w:tr>
      <w:tr w14:paraId="6D5A1FF3">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A8E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10</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C6C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空调室内机4</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E47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CBA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25.00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E8F1">
            <w:pPr>
              <w:widowControl/>
              <w:textAlignment w:val="center"/>
              <w:rPr>
                <w:b/>
                <w:color w:val="000000" w:themeColor="text1"/>
                <w14:textFill>
                  <w14:solidFill>
                    <w14:schemeClr w14:val="tx1"/>
                  </w14:solidFill>
                </w14:textFill>
              </w:rPr>
            </w:pPr>
            <w:r>
              <w:rPr>
                <w:rFonts w:hint="eastAsia"/>
                <w:bCs/>
                <w:color w:val="000000" w:themeColor="text1"/>
                <w14:textFill>
                  <w14:solidFill>
                    <w14:schemeClr w14:val="tx1"/>
                  </w14:solidFill>
                </w14:textFill>
              </w:rPr>
              <w:t>★1、电源规格：220V；</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p>
          <w:p w14:paraId="3409778B">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2</w:t>
            </w:r>
            <w:r>
              <w:rPr>
                <w:rFonts w:hint="eastAsia"/>
                <w:bCs/>
                <w:color w:val="000000" w:themeColor="text1"/>
                <w14:textFill>
                  <w14:solidFill>
                    <w14:schemeClr w14:val="tx1"/>
                  </w14:solidFill>
                </w14:textFill>
              </w:rPr>
              <w:t>、额定制冷量≥14KW；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w:t>
            </w:r>
            <w:r>
              <w:rPr>
                <w:rFonts w:hint="eastAsia"/>
                <w:bCs/>
                <w:color w:val="000000" w:themeColor="text1"/>
                <w:lang w:val="en-US" w:eastAsia="zh-CN"/>
                <w14:textFill>
                  <w14:solidFill>
                    <w14:schemeClr w14:val="tx1"/>
                  </w14:solidFill>
                </w14:textFill>
              </w:rPr>
              <w:t>3</w:t>
            </w:r>
            <w:r>
              <w:rPr>
                <w:rFonts w:hint="eastAsia"/>
                <w:bCs/>
                <w:color w:val="000000" w:themeColor="text1"/>
                <w14:textFill>
                  <w14:solidFill>
                    <w14:schemeClr w14:val="tx1"/>
                  </w14:solidFill>
                </w14:textFill>
              </w:rPr>
              <w:t>、额定制热量≥16KW；</w:t>
            </w:r>
            <w:r>
              <w:rPr>
                <w:rFonts w:hint="eastAsia"/>
                <w:b/>
                <w:color w:val="000000" w:themeColor="text1"/>
                <w14:textFill>
                  <w14:solidFill>
                    <w14:schemeClr w14:val="tx1"/>
                  </w14:solidFill>
                </w14:textFill>
              </w:rPr>
              <w:t>(提供相关证明材料包括但不限于官网截图或彩页或白皮书或产品铭牌或检测报告或功能截图或证书等)</w:t>
            </w:r>
            <w:r>
              <w:rPr>
                <w:rFonts w:hint="eastAsia"/>
                <w:bCs/>
                <w:color w:val="000000" w:themeColor="text1"/>
                <w14:textFill>
                  <w14:solidFill>
                    <w14:schemeClr w14:val="tx1"/>
                  </w14:solidFill>
                </w14:textFill>
              </w:rPr>
              <w:br w:type="textWrapping"/>
            </w:r>
            <w:r>
              <w:rPr>
                <w:rFonts w:hint="eastAsia"/>
                <w:bCs/>
                <w:color w:val="000000" w:themeColor="text1"/>
                <w:lang w:val="en-US" w:eastAsia="zh-CN"/>
                <w14:textFill>
                  <w14:solidFill>
                    <w14:schemeClr w14:val="tx1"/>
                  </w14:solidFill>
                </w14:textFill>
              </w:rPr>
              <w:t>4</w:t>
            </w:r>
            <w:r>
              <w:rPr>
                <w:rFonts w:hint="eastAsia"/>
                <w:bCs/>
                <w:color w:val="000000" w:themeColor="text1"/>
                <w14:textFill>
                  <w14:solidFill>
                    <w14:schemeClr w14:val="tx1"/>
                  </w14:solidFill>
                </w14:textFill>
              </w:rPr>
              <w:t>、内机噪音(高风档)≤45dB；</w:t>
            </w:r>
          </w:p>
          <w:p w14:paraId="536DC8DF">
            <w:pPr>
              <w:widowControl/>
              <w:textAlignment w:val="center"/>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5</w:t>
            </w:r>
            <w:r>
              <w:rPr>
                <w:rFonts w:hint="eastAsia"/>
                <w:bCs/>
                <w:color w:val="000000" w:themeColor="text1"/>
                <w14:textFill>
                  <w14:solidFill>
                    <w14:schemeClr w14:val="tx1"/>
                  </w14:solidFill>
                </w14:textFill>
              </w:rPr>
              <w:t>、安装形式:环形出风嵌入式。</w:t>
            </w:r>
          </w:p>
          <w:p w14:paraId="4C3B8928">
            <w:pPr>
              <w:widowControl/>
              <w:textAlignment w:val="center"/>
              <w:rPr>
                <w:bCs/>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w:t>
            </w:r>
            <w:r>
              <w:rPr>
                <w:rFonts w:hint="eastAsia"/>
                <w:bCs/>
                <w:color w:val="000000" w:themeColor="text1"/>
                <w14:textFill>
                  <w14:solidFill>
                    <w14:schemeClr w14:val="tx1"/>
                  </w14:solidFill>
                </w14:textFill>
              </w:rPr>
              <w:t>其他详见设计图纸；</w:t>
            </w:r>
          </w:p>
        </w:tc>
      </w:tr>
      <w:tr w14:paraId="4FA2DE28">
        <w:tblPrEx>
          <w:tblCellMar>
            <w:top w:w="0" w:type="dxa"/>
            <w:left w:w="108" w:type="dxa"/>
            <w:bottom w:w="0" w:type="dxa"/>
            <w:right w:w="108" w:type="dxa"/>
          </w:tblCellMar>
        </w:tblPrEx>
        <w:trPr>
          <w:trHeight w:val="172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091E9">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11</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0F8C">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空调室内机控制触摸屏</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FBCEE">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个</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ECC4F">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80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B20A">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1.含设备及安装费</w:t>
            </w:r>
          </w:p>
          <w:p w14:paraId="3EAF0317">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2.规格:与设备配套</w:t>
            </w:r>
          </w:p>
          <w:p w14:paraId="4601C8B7">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3.安装方式:距地1.3m暗装</w:t>
            </w:r>
          </w:p>
          <w:p w14:paraId="3D813088">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4.包含墙面开凿及恢复，穿管费用</w:t>
            </w:r>
          </w:p>
        </w:tc>
      </w:tr>
      <w:tr w14:paraId="42140D13">
        <w:tblPrEx>
          <w:tblCellMar>
            <w:top w:w="0" w:type="dxa"/>
            <w:left w:w="108" w:type="dxa"/>
            <w:bottom w:w="0" w:type="dxa"/>
            <w:right w:w="108" w:type="dxa"/>
          </w:tblCellMar>
        </w:tblPrEx>
        <w:trPr>
          <w:trHeight w:val="1028"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FD96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12</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50D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集控系统</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28C7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套</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8492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6CEED">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1.对原有集控系统设备改造及安装：包含原有空调外机81组、内机约518台（品牌：美的）</w:t>
            </w:r>
          </w:p>
          <w:p w14:paraId="6869BB7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2.本次新装空调集控系统设备及安装：新设备含中央空调智能控制器，内置4G模块，可对接学校节能监管平台以实现对多品牌空调控制。</w:t>
            </w:r>
          </w:p>
          <w:p w14:paraId="146B1B02">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3.支持多用户权限管理，支持定时开关机，设定温度、冷热模式锁定，开关锁定，温度锁定，线控遥控锁定，风速锁定，支持远程空调故障预警通知及故障分析。</w:t>
            </w:r>
          </w:p>
          <w:p w14:paraId="7B6EBA8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4.提供Modbus、JSON等多种第三方接口可提供SDK二次开发包。</w:t>
            </w:r>
          </w:p>
          <w:p w14:paraId="0937AF8D">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5.处理器：i5或以上系统处理器系统平台、不小于16G内存、不小于512G固态硬盘、不小于23 英寸 IPS显示器。</w:t>
            </w:r>
          </w:p>
          <w:p w14:paraId="28CC2BFA">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6.工作内容包含但不限于：集中控制网关；室内机采集模块；集中管理软件及以上设备相关的布线，调试等实现目标的所有相关费用</w:t>
            </w:r>
          </w:p>
        </w:tc>
      </w:tr>
      <w:tr w14:paraId="0C2806E1">
        <w:tblPrEx>
          <w:tblCellMar>
            <w:top w:w="0" w:type="dxa"/>
            <w:left w:w="108" w:type="dxa"/>
            <w:bottom w:w="0" w:type="dxa"/>
            <w:right w:w="108" w:type="dxa"/>
          </w:tblCellMar>
        </w:tblPrEx>
        <w:trPr>
          <w:trHeight w:val="382"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B482C">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1.2</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D853">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空调配套材料</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C10E">
            <w:pPr>
              <w:jc w:val="center"/>
              <w:rPr>
                <w:b/>
                <w:bCs/>
                <w:color w:val="000000" w:themeColor="text1"/>
                <w:sz w:val="24"/>
                <w:szCs w:val="24"/>
                <w14:textFill>
                  <w14:solidFill>
                    <w14:schemeClr w14:val="tx1"/>
                  </w14:solidFill>
                </w14:textFill>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9C1B">
            <w:pPr>
              <w:jc w:val="center"/>
              <w:rPr>
                <w:b/>
                <w:bCs/>
                <w:color w:val="000000" w:themeColor="text1"/>
                <w:sz w:val="24"/>
                <w:szCs w:val="24"/>
                <w14:textFill>
                  <w14:solidFill>
                    <w14:schemeClr w14:val="tx1"/>
                  </w14:solidFill>
                </w14:textFill>
              </w:rPr>
            </w:pP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7CC1">
            <w:pPr>
              <w:widowControl/>
              <w:textAlignment w:val="center"/>
              <w:rPr>
                <w:bCs/>
                <w:color w:val="000000" w:themeColor="text1"/>
                <w14:textFill>
                  <w14:solidFill>
                    <w14:schemeClr w14:val="tx1"/>
                  </w14:solidFill>
                </w14:textFill>
              </w:rPr>
            </w:pPr>
          </w:p>
        </w:tc>
      </w:tr>
      <w:tr w14:paraId="2C43B09B">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F44BC">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13</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4A94">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冷凝水管1</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B1F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32E1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270.00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5B32">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2.介质:空调水</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3.材质:U-PVC管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4.规格:DN25</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5.连接形式:粘接</w:t>
            </w:r>
          </w:p>
        </w:tc>
      </w:tr>
      <w:tr w14:paraId="53E88DB1">
        <w:tblPrEx>
          <w:tblCellMar>
            <w:top w:w="0" w:type="dxa"/>
            <w:left w:w="108" w:type="dxa"/>
            <w:bottom w:w="0" w:type="dxa"/>
            <w:right w:w="108" w:type="dxa"/>
          </w:tblCellMar>
        </w:tblPrEx>
        <w:trPr>
          <w:trHeight w:val="362"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0AE8">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14</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66D6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冷凝水管2</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4C60C">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8C64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130.00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643F">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2.介质:空调水</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3.材质:U-PVC管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4.规格:DN32</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5.连接形式:粘接</w:t>
            </w:r>
          </w:p>
        </w:tc>
      </w:tr>
      <w:tr w14:paraId="385C7942">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EEA8">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15</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E6C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冷凝水管3</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591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00AB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445.00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1D78">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2.介质:空调水</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3.材质:U-PVC管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4.规格:DN40</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5.连接形式:粘接</w:t>
            </w:r>
          </w:p>
        </w:tc>
      </w:tr>
      <w:tr w14:paraId="2BFBE5B8">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BEE7">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16</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9CC9">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冷媒管1</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81C7B">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F63AE">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5.50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302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4.规格、压力等级:不小于φ6或符合所投产品空调厂家安装要求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4D587C61">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F538">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17</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E9237">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冷媒管2</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8CDC8">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F486">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218.80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82D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4.规格、压力等级:不小于φ9或符合所投产品空调厂家安装要求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740022F3">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EF7F8">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18</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A035E">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冷媒管3</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0422">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D02B">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126.70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0124">
            <w:pPr>
              <w:widowControl/>
              <w:numPr>
                <w:ilvl w:val="0"/>
                <w:numId w:val="3"/>
              </w:numPr>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4.规格、压力等级:不小于φ12或符合所投产品空调厂家安装要求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14C8FC94">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4E09">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19</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175B0">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冷媒管4</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AD561">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5A44">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634.40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BF30">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4.规格、压力等级:不小于φ15或符合所投产品空调厂家安装要求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394F2BD5">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87C0">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20</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9DAD5">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冷媒管5</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60EA">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9380">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121.20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EE1E">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4.规格、压力等级:不小于φ18.5或符合所投产品空调厂家安装要求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71B0A037">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8BBA">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21</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8C51C">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冷媒管6</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8A18">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3F3ED">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415.60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6F40">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4.规格、压力等级:不小于φ21.5或符合所投产品空调厂家安装要求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08B931F6">
        <w:tblPrEx>
          <w:tblCellMar>
            <w:top w:w="0" w:type="dxa"/>
            <w:left w:w="108" w:type="dxa"/>
            <w:bottom w:w="0" w:type="dxa"/>
            <w:right w:w="108" w:type="dxa"/>
          </w:tblCellMar>
        </w:tblPrEx>
        <w:trPr>
          <w:trHeight w:val="335"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3D808">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22</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97AF">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冷媒管7</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FE3C8">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1C08">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90.00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C041">
            <w:pPr>
              <w:widowControl/>
              <w:numPr>
                <w:ilvl w:val="0"/>
                <w:numId w:val="4"/>
              </w:numPr>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4.规格、压力等级:不小于φ28或符合所投产品空调厂家安装要求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15D3197E">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D31C">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23</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EE29">
            <w:pPr>
              <w:widowControl/>
              <w:jc w:val="center"/>
              <w:textAlignment w:val="center"/>
              <w:rPr>
                <w:rFonts w:ascii="微软雅黑" w:hAnsi="微软雅黑" w:eastAsia="微软雅黑" w:cs="微软雅黑"/>
                <w:color w:val="000000" w:themeColor="text1"/>
                <w:sz w:val="20"/>
                <w:szCs w:val="20"/>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冷媒管8</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A4A4">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6718">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35.00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62A2">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1.安装部位:室内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2.介质:冷媒</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3.材质:去鳞无缝紫铜管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4.规格、压力等级:不小于φ31或符合所投产品空调厂家安装要求</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5.连接形式:氧乙炔焊</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6.压力试验及吹、洗设计要求:空气吹扫,充氟利昂</w:t>
            </w:r>
          </w:p>
        </w:tc>
      </w:tr>
      <w:tr w14:paraId="37AD7528">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7B335">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24</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38A0D">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分歧管</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EE22D">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个</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2528">
            <w:pPr>
              <w:widowControl/>
              <w:jc w:val="center"/>
              <w:textAlignment w:val="center"/>
              <w:rPr>
                <w:rFonts w:ascii="微软雅黑" w:hAnsi="微软雅黑" w:eastAsia="微软雅黑" w:cs="微软雅黑"/>
                <w:color w:val="000000" w:themeColor="text1"/>
                <w:sz w:val="20"/>
                <w:szCs w:val="20"/>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120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241AD">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1.材质:铜</w:t>
            </w:r>
          </w:p>
        </w:tc>
      </w:tr>
      <w:tr w14:paraId="0A6EC798">
        <w:tblPrEx>
          <w:tblCellMar>
            <w:top w:w="0" w:type="dxa"/>
            <w:left w:w="108" w:type="dxa"/>
            <w:bottom w:w="0" w:type="dxa"/>
            <w:right w:w="108" w:type="dxa"/>
          </w:tblCellMar>
        </w:tblPrEx>
        <w:trPr>
          <w:trHeight w:val="604"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296FA">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25</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EC6A">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管道绝热</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E1342">
            <w:pPr>
              <w:widowControl/>
              <w:jc w:val="center"/>
              <w:textAlignment w:val="center"/>
              <w:rPr>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m3</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CE0BF">
            <w:pPr>
              <w:widowControl/>
              <w:jc w:val="center"/>
              <w:textAlignment w:val="center"/>
              <w:rPr>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5.75 </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9DC7">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1.绝热材料品种:难燃B1级橡塑</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2.绝热厚度:20mm以内</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3.管道外径:Φ≤58mm</w:t>
            </w:r>
          </w:p>
        </w:tc>
      </w:tr>
      <w:tr w14:paraId="184A226E">
        <w:tblPrEx>
          <w:tblCellMar>
            <w:top w:w="0" w:type="dxa"/>
            <w:left w:w="108" w:type="dxa"/>
            <w:bottom w:w="0" w:type="dxa"/>
            <w:right w:w="108" w:type="dxa"/>
          </w:tblCellMar>
        </w:tblPrEx>
        <w:trPr>
          <w:trHeight w:val="205"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8066">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二</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822AE">
            <w:pPr>
              <w:widowControl/>
              <w:jc w:val="center"/>
              <w:textAlignment w:val="center"/>
              <w:rPr>
                <w:b/>
                <w:bCs/>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配电部分</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CFBE4">
            <w:pPr>
              <w:jc w:val="center"/>
              <w:rPr>
                <w:b/>
                <w:bCs/>
                <w:color w:val="000000" w:themeColor="text1"/>
                <w:sz w:val="24"/>
                <w:szCs w:val="24"/>
                <w14:textFill>
                  <w14:solidFill>
                    <w14:schemeClr w14:val="tx1"/>
                  </w14:solidFill>
                </w14:textFill>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1210">
            <w:pPr>
              <w:jc w:val="center"/>
              <w:rPr>
                <w:b/>
                <w:bCs/>
                <w:color w:val="000000" w:themeColor="text1"/>
                <w:sz w:val="24"/>
                <w:szCs w:val="24"/>
                <w14:textFill>
                  <w14:solidFill>
                    <w14:schemeClr w14:val="tx1"/>
                  </w14:solidFill>
                </w14:textFill>
              </w:rPr>
            </w:pP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01D9">
            <w:pPr>
              <w:widowControl/>
              <w:textAlignment w:val="center"/>
              <w:rPr>
                <w:bCs/>
                <w:color w:val="000000" w:themeColor="text1"/>
                <w14:textFill>
                  <w14:solidFill>
                    <w14:schemeClr w14:val="tx1"/>
                  </w14:solidFill>
                </w14:textFill>
              </w:rPr>
            </w:pPr>
          </w:p>
        </w:tc>
      </w:tr>
      <w:tr w14:paraId="29BB4C84">
        <w:tblPrEx>
          <w:tblCellMar>
            <w:top w:w="0" w:type="dxa"/>
            <w:left w:w="108" w:type="dxa"/>
            <w:bottom w:w="0" w:type="dxa"/>
            <w:right w:w="108" w:type="dxa"/>
          </w:tblCellMar>
        </w:tblPrEx>
        <w:trPr>
          <w:trHeight w:val="100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B2F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26</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07A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配电箱</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D67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80D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EBED">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1.型号:4AK/5AK，详见设计图纸</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2.端子板外部接线材质、规格:无端子板外部接线</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3.安装方式:距地1.5m安装</w:t>
            </w:r>
          </w:p>
        </w:tc>
      </w:tr>
      <w:tr w14:paraId="4BACF076">
        <w:tblPrEx>
          <w:tblCellMar>
            <w:top w:w="0" w:type="dxa"/>
            <w:left w:w="108" w:type="dxa"/>
            <w:bottom w:w="0" w:type="dxa"/>
            <w:right w:w="108" w:type="dxa"/>
          </w:tblCellMar>
        </w:tblPrEx>
        <w:trPr>
          <w:trHeight w:val="404"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B44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27</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10B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电力电缆1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9D7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F7A7">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1251.33</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DBB19">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规格:详见设计图纸WDZA-YJY-3x4mm2</w:t>
            </w:r>
          </w:p>
        </w:tc>
      </w:tr>
      <w:tr w14:paraId="25AA358E">
        <w:tblPrEx>
          <w:tblCellMar>
            <w:top w:w="0" w:type="dxa"/>
            <w:left w:w="108" w:type="dxa"/>
            <w:bottom w:w="0" w:type="dxa"/>
            <w:right w:w="108" w:type="dxa"/>
          </w:tblCellMar>
        </w:tblPrEx>
        <w:trPr>
          <w:trHeight w:val="404"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CEC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28</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054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电力电缆2</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E5F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B588">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295.98</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B3FB">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规格:详见设计图纸WDZB-YJY-5×10mm2</w:t>
            </w:r>
          </w:p>
        </w:tc>
      </w:tr>
      <w:tr w14:paraId="38D05E6D">
        <w:tblPrEx>
          <w:tblCellMar>
            <w:top w:w="0" w:type="dxa"/>
            <w:left w:w="108" w:type="dxa"/>
            <w:bottom w:w="0" w:type="dxa"/>
            <w:right w:w="108" w:type="dxa"/>
          </w:tblCellMar>
        </w:tblPrEx>
        <w:trPr>
          <w:trHeight w:val="404"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B7C2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29</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4403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电力电缆3</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3FD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6443">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336.34</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4A45">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规格:详见设计图纸WDZB-YJY-5×16mm2</w:t>
            </w:r>
          </w:p>
        </w:tc>
      </w:tr>
      <w:tr w14:paraId="222BB4DF">
        <w:tblPrEx>
          <w:tblCellMar>
            <w:top w:w="0" w:type="dxa"/>
            <w:left w:w="108" w:type="dxa"/>
            <w:bottom w:w="0" w:type="dxa"/>
            <w:right w:w="108" w:type="dxa"/>
          </w:tblCellMar>
        </w:tblPrEx>
        <w:trPr>
          <w:trHeight w:val="603"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DB6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30</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F54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电力电缆头</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5A9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个</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6A2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33</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97B5">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1.型号:干包式</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2.规格:截面35mm2以内</w:t>
            </w:r>
          </w:p>
        </w:tc>
      </w:tr>
      <w:tr w14:paraId="3B2DB716">
        <w:tblPrEx>
          <w:tblCellMar>
            <w:top w:w="0" w:type="dxa"/>
            <w:left w:w="108" w:type="dxa"/>
            <w:bottom w:w="0" w:type="dxa"/>
            <w:right w:w="108" w:type="dxa"/>
          </w:tblCellMar>
        </w:tblPrEx>
        <w:trPr>
          <w:trHeight w:val="801"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333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31</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521D">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配管1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1778">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86CA">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88.6</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D0CEF">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1.材质:焊接钢管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2.规格:DN40</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3.配置形式:暗配或吊顶内配置</w:t>
            </w:r>
          </w:p>
        </w:tc>
      </w:tr>
      <w:tr w14:paraId="794ABDAE">
        <w:tblPrEx>
          <w:tblCellMar>
            <w:top w:w="0" w:type="dxa"/>
            <w:left w:w="108" w:type="dxa"/>
            <w:bottom w:w="0" w:type="dxa"/>
            <w:right w:w="108" w:type="dxa"/>
          </w:tblCellMar>
        </w:tblPrEx>
        <w:trPr>
          <w:trHeight w:val="801"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F39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32</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188A">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配管2</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53804">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F788">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145</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EBA2">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1.材质:焊接钢管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2.规格:DN50</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3.配置形式:暗配或吊顶内配置</w:t>
            </w:r>
          </w:p>
        </w:tc>
      </w:tr>
      <w:tr w14:paraId="0C3E519D">
        <w:tblPrEx>
          <w:tblCellMar>
            <w:top w:w="0" w:type="dxa"/>
            <w:left w:w="108" w:type="dxa"/>
            <w:bottom w:w="0" w:type="dxa"/>
            <w:right w:w="108" w:type="dxa"/>
          </w:tblCellMar>
        </w:tblPrEx>
        <w:trPr>
          <w:trHeight w:val="801"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3E42">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33</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60DC">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配管3</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83B0">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26E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1700</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93383">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1.材质:JDG管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2.规格:DN25</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3.配置形式:暗配或吊顶内配置</w:t>
            </w:r>
          </w:p>
        </w:tc>
      </w:tr>
      <w:tr w14:paraId="0D237CFB">
        <w:tblPrEx>
          <w:tblCellMar>
            <w:top w:w="0" w:type="dxa"/>
            <w:left w:w="108" w:type="dxa"/>
            <w:bottom w:w="0" w:type="dxa"/>
            <w:right w:w="108" w:type="dxa"/>
          </w:tblCellMar>
        </w:tblPrEx>
        <w:trPr>
          <w:trHeight w:val="801"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7C15">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34</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D069">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配管4</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5D9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4126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53.5</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59C2">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1.材质:JDG管</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2.规格:DN20</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3.配置形式:暗配或吊顶内配置</w:t>
            </w:r>
          </w:p>
        </w:tc>
      </w:tr>
      <w:tr w14:paraId="174EB5E3">
        <w:tblPrEx>
          <w:tblCellMar>
            <w:top w:w="0" w:type="dxa"/>
            <w:left w:w="108" w:type="dxa"/>
            <w:bottom w:w="0" w:type="dxa"/>
            <w:right w:w="108" w:type="dxa"/>
          </w:tblCellMar>
        </w:tblPrEx>
        <w:trPr>
          <w:trHeight w:val="801"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951F">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35</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CD9B">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配线1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BBBE">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04FA">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4540.59</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1CF4">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1.规格:信号线RVS-3*1.5</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2.材质:铜</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3.配线部位:管内穿线</w:t>
            </w:r>
          </w:p>
        </w:tc>
      </w:tr>
      <w:tr w14:paraId="5F28F1AE">
        <w:tblPrEx>
          <w:tblCellMar>
            <w:top w:w="0" w:type="dxa"/>
            <w:left w:w="108" w:type="dxa"/>
            <w:bottom w:w="0" w:type="dxa"/>
            <w:right w:w="108" w:type="dxa"/>
          </w:tblCellMar>
        </w:tblPrEx>
        <w:trPr>
          <w:trHeight w:val="808"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8C7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36</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1E41">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配线3</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CD66">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m</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6DF47">
            <w:pPr>
              <w:widowControl/>
              <w:jc w:val="center"/>
              <w:textAlignment w:val="cente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954.063</w:t>
            </w:r>
          </w:p>
        </w:tc>
        <w:tc>
          <w:tcPr>
            <w:tcW w:w="4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F917">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1.规格:控制线BV-3*1.5</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2.材质:铜</w:t>
            </w:r>
            <w:r>
              <w:rPr>
                <w:rFonts w:hint="eastAsia"/>
                <w:bCs/>
                <w:color w:val="000000" w:themeColor="text1"/>
                <w14:textFill>
                  <w14:solidFill>
                    <w14:schemeClr w14:val="tx1"/>
                  </w14:solidFill>
                </w14:textFill>
              </w:rPr>
              <w:br w:type="textWrapping"/>
            </w:r>
            <w:r>
              <w:rPr>
                <w:rFonts w:hint="eastAsia"/>
                <w:bCs/>
                <w:color w:val="000000" w:themeColor="text1"/>
                <w14:textFill>
                  <w14:solidFill>
                    <w14:schemeClr w14:val="tx1"/>
                  </w14:solidFill>
                </w14:textFill>
              </w:rPr>
              <w:t>3.配线部位:管内穿线</w:t>
            </w:r>
          </w:p>
        </w:tc>
      </w:tr>
    </w:tbl>
    <w:p w14:paraId="2868D923">
      <w:pPr>
        <w:widowControl/>
        <w:spacing w:line="360" w:lineRule="auto"/>
        <w:rPr>
          <w:color w:val="000000" w:themeColor="text1"/>
          <w14:textFill>
            <w14:solidFill>
              <w14:schemeClr w14:val="tx1"/>
            </w14:solidFill>
          </w14:textFill>
        </w:rPr>
      </w:pPr>
    </w:p>
    <w:p w14:paraId="66D2C084">
      <w:pPr>
        <w:widowControl/>
        <w:spacing w:line="360" w:lineRule="auto"/>
        <w:rPr>
          <w:color w:val="000000" w:themeColor="text1"/>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14:textFill>
            <w14:solidFill>
              <w14:schemeClr w14:val="tx1"/>
            </w14:solidFill>
          </w14:textFill>
        </w:rPr>
        <w:t>（2）</w:t>
      </w:r>
      <w:r>
        <w:rPr>
          <w:rFonts w:hint="eastAsia"/>
          <w:color w:val="000000" w:themeColor="text1"/>
          <w:sz w:val="24"/>
          <w:szCs w:val="24"/>
          <w:lang w:bidi="ar"/>
          <w14:textFill>
            <w14:solidFill>
              <w14:schemeClr w14:val="tx1"/>
            </w14:solidFill>
          </w14:textFill>
        </w:rPr>
        <w:t>相关配套辅助</w:t>
      </w:r>
    </w:p>
    <w:tbl>
      <w:tblPr>
        <w:tblStyle w:val="65"/>
        <w:tblW w:w="4981" w:type="pct"/>
        <w:jc w:val="center"/>
        <w:tblLayout w:type="fixed"/>
        <w:tblCellMar>
          <w:top w:w="0" w:type="dxa"/>
          <w:left w:w="108" w:type="dxa"/>
          <w:bottom w:w="0" w:type="dxa"/>
          <w:right w:w="108" w:type="dxa"/>
        </w:tblCellMar>
      </w:tblPr>
      <w:tblGrid>
        <w:gridCol w:w="546"/>
        <w:gridCol w:w="1720"/>
        <w:gridCol w:w="932"/>
        <w:gridCol w:w="1391"/>
        <w:gridCol w:w="5228"/>
      </w:tblGrid>
      <w:tr w14:paraId="0B42AF4E">
        <w:tblPrEx>
          <w:tblCellMar>
            <w:top w:w="0" w:type="dxa"/>
            <w:left w:w="108" w:type="dxa"/>
            <w:bottom w:w="0" w:type="dxa"/>
            <w:right w:w="108" w:type="dxa"/>
          </w:tblCellMar>
        </w:tblPrEx>
        <w:trPr>
          <w:trHeight w:val="808"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862CC">
            <w:pPr>
              <w:widowControl/>
              <w:jc w:val="center"/>
              <w:textAlignment w:val="center"/>
              <w:rPr>
                <w:color w:val="000000" w:themeColor="text1"/>
                <w:sz w:val="24"/>
                <w:szCs w:val="24"/>
                <w:lang w:bidi="ar"/>
                <w14:textFill>
                  <w14:solidFill>
                    <w14:schemeClr w14:val="tx1"/>
                  </w14:solidFill>
                </w14:textFill>
              </w:rPr>
            </w:pPr>
            <w:r>
              <w:rPr>
                <w:rFonts w:hint="eastAsia"/>
                <w:b/>
                <w:bCs/>
                <w:color w:val="000000" w:themeColor="text1"/>
                <w:sz w:val="24"/>
                <w:szCs w:val="24"/>
                <w:lang w:bidi="ar"/>
                <w14:textFill>
                  <w14:solidFill>
                    <w14:schemeClr w14:val="tx1"/>
                  </w14:solidFill>
                </w14:textFill>
              </w:rPr>
              <w:t>序号</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AFE41">
            <w:pPr>
              <w:widowControl/>
              <w:jc w:val="center"/>
              <w:textAlignment w:val="center"/>
              <w:rPr>
                <w:color w:val="000000" w:themeColor="text1"/>
                <w:sz w:val="24"/>
                <w:szCs w:val="24"/>
                <w:lang w:bidi="ar"/>
                <w14:textFill>
                  <w14:solidFill>
                    <w14:schemeClr w14:val="tx1"/>
                  </w14:solidFill>
                </w14:textFill>
              </w:rPr>
            </w:pPr>
            <w:r>
              <w:rPr>
                <w:rFonts w:hint="eastAsia"/>
                <w:b/>
                <w:bCs/>
                <w:color w:val="000000" w:themeColor="text1"/>
                <w:sz w:val="24"/>
                <w:szCs w:val="24"/>
                <w:lang w:bidi="ar"/>
                <w14:textFill>
                  <w14:solidFill>
                    <w14:schemeClr w14:val="tx1"/>
                  </w14:solidFill>
                </w14:textFill>
              </w:rPr>
              <w:t>类别</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9A7E">
            <w:pPr>
              <w:widowControl/>
              <w:jc w:val="center"/>
              <w:textAlignment w:val="center"/>
              <w:rPr>
                <w:color w:val="000000" w:themeColor="text1"/>
                <w:sz w:val="24"/>
                <w:szCs w:val="24"/>
                <w:lang w:bidi="ar"/>
                <w14:textFill>
                  <w14:solidFill>
                    <w14:schemeClr w14:val="tx1"/>
                  </w14:solidFill>
                </w14:textFill>
              </w:rPr>
            </w:pPr>
            <w:r>
              <w:rPr>
                <w:rFonts w:hint="eastAsia"/>
                <w:b/>
                <w:bCs/>
                <w:color w:val="000000" w:themeColor="text1"/>
                <w:sz w:val="24"/>
                <w:szCs w:val="24"/>
                <w:lang w:bidi="ar"/>
                <w14:textFill>
                  <w14:solidFill>
                    <w14:schemeClr w14:val="tx1"/>
                  </w14:solidFill>
                </w14:textFill>
              </w:rPr>
              <w:t>单位</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5C205">
            <w:pPr>
              <w:widowControl/>
              <w:jc w:val="center"/>
              <w:textAlignment w:val="center"/>
              <w:rPr>
                <w:rFonts w:ascii="微软雅黑" w:hAnsi="微软雅黑" w:eastAsia="微软雅黑" w:cs="微软雅黑"/>
                <w:color w:val="000000" w:themeColor="text1"/>
                <w:sz w:val="20"/>
                <w:szCs w:val="20"/>
                <w:lang w:bidi="ar"/>
                <w14:textFill>
                  <w14:solidFill>
                    <w14:schemeClr w14:val="tx1"/>
                  </w14:solidFill>
                </w14:textFill>
              </w:rPr>
            </w:pPr>
            <w:r>
              <w:rPr>
                <w:rFonts w:hint="eastAsia"/>
                <w:b/>
                <w:bCs/>
                <w:color w:val="000000" w:themeColor="text1"/>
                <w:sz w:val="24"/>
                <w:szCs w:val="24"/>
                <w:lang w:bidi="ar"/>
                <w14:textFill>
                  <w14:solidFill>
                    <w14:schemeClr w14:val="tx1"/>
                  </w14:solidFill>
                </w14:textFill>
              </w:rPr>
              <w:t>数量</w:t>
            </w:r>
          </w:p>
        </w:tc>
        <w:tc>
          <w:tcPr>
            <w:tcW w:w="5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98A0">
            <w:pPr>
              <w:widowControl/>
              <w:jc w:val="center"/>
              <w:textAlignment w:val="center"/>
              <w:rPr>
                <w:color w:val="000000" w:themeColor="text1"/>
                <w14:textFill>
                  <w14:solidFill>
                    <w14:schemeClr w14:val="tx1"/>
                  </w14:solidFill>
                </w14:textFill>
              </w:rPr>
            </w:pPr>
            <w:r>
              <w:rPr>
                <w:rFonts w:hint="eastAsia"/>
                <w:b/>
                <w:bCs/>
                <w:color w:val="000000" w:themeColor="text1"/>
                <w:sz w:val="24"/>
                <w:szCs w:val="24"/>
                <w:lang w:bidi="ar"/>
                <w14:textFill>
                  <w14:solidFill>
                    <w14:schemeClr w14:val="tx1"/>
                  </w14:solidFill>
                </w14:textFill>
              </w:rPr>
              <w:t>具体要求</w:t>
            </w:r>
          </w:p>
        </w:tc>
      </w:tr>
      <w:tr w14:paraId="210E0E7D">
        <w:tblPrEx>
          <w:tblCellMar>
            <w:top w:w="0" w:type="dxa"/>
            <w:left w:w="108" w:type="dxa"/>
            <w:bottom w:w="0" w:type="dxa"/>
            <w:right w:w="108" w:type="dxa"/>
          </w:tblCellMar>
        </w:tblPrEx>
        <w:trPr>
          <w:trHeight w:val="808"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76F3">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4ED4">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空调管道开孔及洞口防水封堵处理</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A8C2">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处</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00CF">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100.00 </w:t>
            </w:r>
          </w:p>
        </w:tc>
        <w:tc>
          <w:tcPr>
            <w:tcW w:w="5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1DF0">
            <w:pPr>
              <w:pStyle w:val="18"/>
              <w:rPr>
                <w:rFonts w:hint="default"/>
                <w:color w:val="000000" w:themeColor="text1"/>
                <w14:textFill>
                  <w14:solidFill>
                    <w14:schemeClr w14:val="tx1"/>
                  </w14:solidFill>
                </w14:textFill>
              </w:rPr>
            </w:pPr>
            <w:r>
              <w:rPr>
                <w:color w:val="000000" w:themeColor="text1"/>
                <w14:textFill>
                  <w14:solidFill>
                    <w14:schemeClr w14:val="tx1"/>
                  </w14:solidFill>
                </w14:textFill>
              </w:rPr>
              <w:t>1. 施工范围：仅针对本项目空调安装所需的新增管道洞口，不含建筑原有洞口整改、非本项目管道洞口处理</w:t>
            </w:r>
          </w:p>
          <w:p w14:paraId="73A13E39">
            <w:pPr>
              <w:pStyle w:val="18"/>
              <w:rPr>
                <w:rFonts w:hint="default"/>
                <w:color w:val="000000" w:themeColor="text1"/>
                <w14:textFill>
                  <w14:solidFill>
                    <w14:schemeClr w14:val="tx1"/>
                  </w14:solidFill>
                </w14:textFill>
              </w:rPr>
            </w:pPr>
            <w:r>
              <w:rPr>
                <w:color w:val="000000" w:themeColor="text1"/>
                <w14:textFill>
                  <w14:solidFill>
                    <w14:schemeClr w14:val="tx1"/>
                  </w14:solidFill>
                </w14:textFill>
              </w:rPr>
              <w:t>2. 开孔要求：按管道外径精准开孔，孔径偏差≤5mm，开孔后墙体 / 屋面结构无破损、无开裂，孔洞边缘平整无毛刺</w:t>
            </w:r>
          </w:p>
          <w:p w14:paraId="2A46E6AA">
            <w:pPr>
              <w:pStyle w:val="18"/>
              <w:rPr>
                <w:rFonts w:hint="default"/>
                <w:color w:val="000000" w:themeColor="text1"/>
                <w14:textFill>
                  <w14:solidFill>
                    <w14:schemeClr w14:val="tx1"/>
                  </w14:solidFill>
                </w14:textFill>
              </w:rPr>
            </w:pPr>
            <w:r>
              <w:rPr>
                <w:color w:val="000000" w:themeColor="text1"/>
                <w14:textFill>
                  <w14:solidFill>
                    <w14:schemeClr w14:val="tx1"/>
                  </w14:solidFill>
                </w14:textFill>
              </w:rPr>
              <w:t>3. 封堵与防水要求：穿墙洞口采用防火密封泥 + 中性耐候胶封堵密实穿屋面洞口采用与原屋面同等级的国标防水材料，防水收头与原有屋面防水层搭接宽度≥100mm</w:t>
            </w:r>
          </w:p>
          <w:p w14:paraId="6931ECC3">
            <w:pPr>
              <w:pStyle w:val="18"/>
              <w:rPr>
                <w:rFonts w:hint="default"/>
                <w:color w:val="000000" w:themeColor="text1"/>
                <w14:textFill>
                  <w14:solidFill>
                    <w14:schemeClr w14:val="tx1"/>
                  </w14:solidFill>
                </w14:textFill>
              </w:rPr>
            </w:pPr>
            <w:r>
              <w:rPr>
                <w:color w:val="000000" w:themeColor="text1"/>
                <w14:textFill>
                  <w14:solidFill>
                    <w14:schemeClr w14:val="tx1"/>
                  </w14:solidFill>
                </w14:textFill>
              </w:rPr>
              <w:t>4. 验收要求：穿屋面洞口施工完成后必须做 24 小时闭水试验，无渗漏为合格所有洞口封堵完成后无空鼓、无开裂、无渗漏，外观平整</w:t>
            </w:r>
          </w:p>
          <w:p w14:paraId="2A4A7DA2">
            <w:pPr>
              <w:pStyle w:val="18"/>
              <w:rPr>
                <w:rFonts w:hint="default" w:cs="宋体"/>
                <w:bCs/>
                <w:color w:val="000000" w:themeColor="text1"/>
                <w14:textFill>
                  <w14:solidFill>
                    <w14:schemeClr w14:val="tx1"/>
                  </w14:solidFill>
                </w14:textFill>
              </w:rPr>
            </w:pPr>
            <w:r>
              <w:rPr>
                <w:color w:val="000000" w:themeColor="text1"/>
                <w14:textFill>
                  <w14:solidFill>
                    <w14:schemeClr w14:val="tx1"/>
                  </w14:solidFill>
                </w14:textFill>
              </w:rPr>
              <w:t>5. 包含内容：开孔、孔洞清理、封堵材料 / 防水材料采购及施工、密封收头、闭水试验、成品保护、垃圾清运全部工作</w:t>
            </w:r>
          </w:p>
        </w:tc>
      </w:tr>
      <w:tr w14:paraId="7C62FD48">
        <w:tblPrEx>
          <w:tblCellMar>
            <w:top w:w="0" w:type="dxa"/>
            <w:left w:w="108" w:type="dxa"/>
            <w:bottom w:w="0" w:type="dxa"/>
            <w:right w:w="108" w:type="dxa"/>
          </w:tblCellMar>
        </w:tblPrEx>
        <w:trPr>
          <w:trHeight w:val="808"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128B9">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2</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7030">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空调内机拆除</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5B25">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96CC">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80.00 </w:t>
            </w:r>
          </w:p>
        </w:tc>
        <w:tc>
          <w:tcPr>
            <w:tcW w:w="5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ECA5">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1.现有空调内机保护性拆除，拆除过程中若造成顶面乳胶漆/吊顶天棚损坏，需原状恢复</w:t>
            </w:r>
          </w:p>
          <w:p w14:paraId="11A3ACC6">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2.拆除后设备、材料需堆放至采购人指定位置，含现场清理、成品保护，不含外运处置费用</w:t>
            </w:r>
          </w:p>
        </w:tc>
      </w:tr>
      <w:tr w14:paraId="577384D7">
        <w:tblPrEx>
          <w:tblCellMar>
            <w:top w:w="0" w:type="dxa"/>
            <w:left w:w="108" w:type="dxa"/>
            <w:bottom w:w="0" w:type="dxa"/>
            <w:right w:w="108" w:type="dxa"/>
          </w:tblCellMar>
        </w:tblPrEx>
        <w:trPr>
          <w:trHeight w:val="808"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C6C63">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3</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55D30">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空调外机拆除</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CF1D">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B04D">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17</w:t>
            </w:r>
          </w:p>
        </w:tc>
        <w:tc>
          <w:tcPr>
            <w:tcW w:w="5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12627">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1.现有空调外机保护性拆除</w:t>
            </w:r>
          </w:p>
          <w:p w14:paraId="0900397A">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2.拆除后设备、材料需堆放至甲方指定位置，含现场清理、成品保护，不含外运处置费用</w:t>
            </w:r>
          </w:p>
        </w:tc>
      </w:tr>
      <w:tr w14:paraId="103561C9">
        <w:tblPrEx>
          <w:tblCellMar>
            <w:top w:w="0" w:type="dxa"/>
            <w:left w:w="108" w:type="dxa"/>
            <w:bottom w:w="0" w:type="dxa"/>
            <w:right w:w="108" w:type="dxa"/>
          </w:tblCellMar>
        </w:tblPrEx>
        <w:trPr>
          <w:trHeight w:val="808"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9D93">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4</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0FD0">
            <w:pPr>
              <w:widowControl/>
              <w:jc w:val="center"/>
              <w:textAlignment w:val="center"/>
              <w:rPr>
                <w:color w:val="000000" w:themeColor="text1"/>
                <w:sz w:val="24"/>
                <w:szCs w:val="24"/>
                <w:lang w:bidi="ar"/>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空调新外机安装</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0798">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台</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285A">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17</w:t>
            </w:r>
          </w:p>
        </w:tc>
        <w:tc>
          <w:tcPr>
            <w:tcW w:w="5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C7C42">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1.设备开箱、场内搬运（不含吊装费；搬运距离已包含在报价内，投标人自行考虑，不另计）</w:t>
            </w:r>
          </w:p>
          <w:p w14:paraId="7FA4CA93">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2.减震支架安装：型钢 / 不锈钢支架，≥20mm 天然橡胶垫，承重≥4 倍设备重量，防锈处理；利用原有基础，不含基础及排水沟施工</w:t>
            </w:r>
          </w:p>
          <w:p w14:paraId="227ACFA6">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3.冷媒管氮气保护焊，冷凝水管规范连接，无渗漏</w:t>
            </w:r>
          </w:p>
          <w:p w14:paraId="6937E7AC">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4.电气接线、系统调试、试运行</w:t>
            </w:r>
          </w:p>
          <w:p w14:paraId="02D9BD89">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5.</w:t>
            </w:r>
            <w:r>
              <w:rPr>
                <w:rFonts w:hint="eastAsia"/>
                <w:color w:val="000000" w:themeColor="text1"/>
                <w14:textFill>
                  <w14:solidFill>
                    <w14:schemeClr w14:val="tx1"/>
                  </w14:solidFill>
                </w14:textFill>
              </w:rPr>
              <w:t>通过</w:t>
            </w:r>
            <w:r>
              <w:rPr>
                <w:rFonts w:hint="eastAsia"/>
                <w:bCs/>
                <w:color w:val="000000" w:themeColor="text1"/>
                <w14:textFill>
                  <w14:solidFill>
                    <w14:schemeClr w14:val="tx1"/>
                  </w14:solidFill>
                </w14:textFill>
              </w:rPr>
              <w:t>气密性试验</w:t>
            </w:r>
          </w:p>
        </w:tc>
      </w:tr>
      <w:tr w14:paraId="7BBF45EE">
        <w:tblPrEx>
          <w:tblCellMar>
            <w:top w:w="0" w:type="dxa"/>
            <w:left w:w="108" w:type="dxa"/>
            <w:bottom w:w="0" w:type="dxa"/>
            <w:right w:w="108" w:type="dxa"/>
          </w:tblCellMar>
        </w:tblPrEx>
        <w:trPr>
          <w:trHeight w:val="808"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3137">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5</w:t>
            </w:r>
          </w:p>
        </w:tc>
        <w:tc>
          <w:tcPr>
            <w:tcW w:w="1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9EC0">
            <w:pPr>
              <w:widowControl/>
              <w:jc w:val="center"/>
              <w:textAlignment w:val="center"/>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吊顶拆除及恢复</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E2CAD">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m2</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2E55">
            <w:pPr>
              <w:widowControl/>
              <w:jc w:val="center"/>
              <w:textAlignment w:val="center"/>
              <w:rPr>
                <w:rFonts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lang w:bidi="ar"/>
                <w14:textFill>
                  <w14:solidFill>
                    <w14:schemeClr w14:val="tx1"/>
                  </w14:solidFill>
                </w14:textFill>
              </w:rPr>
              <w:t xml:space="preserve">2212.06 </w:t>
            </w:r>
          </w:p>
        </w:tc>
        <w:tc>
          <w:tcPr>
            <w:tcW w:w="5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7E007">
            <w:pPr>
              <w:widowControl/>
              <w:numPr>
                <w:ilvl w:val="0"/>
                <w:numId w:val="5"/>
              </w:numPr>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原吊顶吊筋，龙骨保留，面层根据施工要求拆除并原样利旧恢复，零星损坏的吊顶面层更换（破损吊顶的恢复包含在报价内，投标人自行考虑，不另计）</w:t>
            </w:r>
          </w:p>
          <w:p w14:paraId="60FD56AA">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2.部位：室内吊顶及走廊沿线施工区域吊顶</w:t>
            </w:r>
          </w:p>
          <w:p w14:paraId="7AC47F9C">
            <w:pPr>
              <w:widowControl/>
              <w:textAlignment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3.天棚拆除时避免对监控、烟感、火灾报警、无线AP及喷淋等所有附属物品进行拆除，若需要拆除则保管及恢复费用由投标人综合考虑包含在报价中</w:t>
            </w:r>
          </w:p>
        </w:tc>
      </w:tr>
    </w:tbl>
    <w:p w14:paraId="06EE97C3">
      <w:pPr>
        <w:rPr>
          <w:color w:val="000000" w:themeColor="text1"/>
          <w14:textFill>
            <w14:solidFill>
              <w14:schemeClr w14:val="tx1"/>
            </w14:solidFill>
          </w14:textFill>
        </w:rPr>
      </w:pPr>
    </w:p>
    <w:p w14:paraId="336E61EC">
      <w:pPr>
        <w:spacing w:line="360" w:lineRule="auto"/>
        <w:ind w:firstLine="480" w:firstLineChars="200"/>
        <w:rPr>
          <w:rFonts w:hint="eastAsia" w:eastAsia="宋体"/>
          <w:color w:val="000000" w:themeColor="text1"/>
          <w:sz w:val="24"/>
          <w:szCs w:val="24"/>
          <w:lang w:eastAsia="zh-CN"/>
          <w14:textFill>
            <w14:solidFill>
              <w14:schemeClr w14:val="tx1"/>
            </w14:solidFill>
          </w14:textFill>
        </w:rPr>
      </w:pPr>
      <w:bookmarkStart w:id="44" w:name="bookmark11"/>
      <w:bookmarkStart w:id="45" w:name="bookmark12"/>
      <w:bookmarkStart w:id="46" w:name="bookmark14"/>
      <w:r>
        <w:rPr>
          <w:rFonts w:hint="eastAsia"/>
          <w:color w:val="000000" w:themeColor="text1"/>
          <w:sz w:val="24"/>
          <w:szCs w:val="24"/>
          <w14:textFill>
            <w14:solidFill>
              <w14:schemeClr w14:val="tx1"/>
            </w14:solidFill>
          </w14:textFill>
        </w:rPr>
        <w:t>★1.</w:t>
      </w:r>
      <w:r>
        <w:rPr>
          <w:rFonts w:hint="eastAsia"/>
          <w:color w:val="000000" w:themeColor="text1"/>
          <w:sz w:val="24"/>
          <w:szCs w:val="24"/>
          <w:lang w:val="zh-CN"/>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如本项目采购产品属于实施政府强制采购品目清单范围的节能产品，则供应商所报产品必须获得国家确定的认证机构出具的、处于有效期之内的节能产品认证证书，否则响应无效</w:t>
      </w:r>
      <w:r>
        <w:rPr>
          <w:rFonts w:hint="eastAsia"/>
          <w:color w:val="000000" w:themeColor="text1"/>
          <w:sz w:val="24"/>
          <w:szCs w:val="24"/>
          <w:lang w:eastAsia="zh-CN"/>
          <w14:textFill>
            <w14:solidFill>
              <w14:schemeClr w14:val="tx1"/>
            </w14:solidFill>
          </w14:textFill>
        </w:rPr>
        <w:t>。</w:t>
      </w:r>
    </w:p>
    <w:p w14:paraId="0BC54FD6">
      <w:pPr>
        <w:spacing w:line="360" w:lineRule="auto"/>
        <w:ind w:firstLine="482" w:firstLineChars="200"/>
        <w:rPr>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sz w:val="24"/>
          <w:szCs w:val="24"/>
          <w14:textFill>
            <w14:solidFill>
              <w14:schemeClr w14:val="tx1"/>
            </w14:solidFill>
          </w14:textFill>
        </w:rPr>
        <w:t>2、中标后进场前，投标人需提供制造商对于本项目的授权书，以及关于质保期的承诺函。</w:t>
      </w:r>
    </w:p>
    <w:p w14:paraId="06044021">
      <w:pPr>
        <w:spacing w:line="360" w:lineRule="auto"/>
        <w:ind w:firstLine="482" w:firstLineChars="200"/>
        <w:rPr>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sz w:val="24"/>
          <w:szCs w:val="24"/>
          <w14:textFill>
            <w14:solidFill>
              <w14:schemeClr w14:val="tx1"/>
            </w14:solidFill>
          </w14:textFill>
        </w:rPr>
        <w:t>3、技术规范：设备安装、验收应遵循国家施工与验收标准、规范、行业地方标准及招标文件要求，不局限于或高于上述标准、规范要求，如有最新按最新要求执行。</w:t>
      </w:r>
    </w:p>
    <w:p w14:paraId="0033758A">
      <w:pPr>
        <w:spacing w:line="360" w:lineRule="auto"/>
        <w:ind w:left="479" w:leftChars="228"/>
        <w:rPr>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sz w:val="24"/>
          <w:szCs w:val="24"/>
          <w14:textFill>
            <w14:solidFill>
              <w14:schemeClr w14:val="tx1"/>
            </w14:solidFill>
          </w14:textFill>
        </w:rPr>
        <w:t>4、投标人须具备满足本项目空调配套安装的专业能力及相关资质（若需）。</w:t>
      </w:r>
    </w:p>
    <w:p w14:paraId="7821C7CE">
      <w:pPr>
        <w:spacing w:line="360" w:lineRule="auto"/>
        <w:ind w:left="479" w:leftChars="228"/>
        <w:rPr>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sz w:val="24"/>
          <w:szCs w:val="24"/>
          <w14:textFill>
            <w14:solidFill>
              <w14:schemeClr w14:val="tx1"/>
            </w14:solidFill>
          </w14:textFill>
        </w:rPr>
        <w:t>5、如果发生因供应商安全措施不力造成的事故责任、或者其他工作失误，由此所产生的一切责任由供应商承担。</w:t>
      </w:r>
    </w:p>
    <w:p w14:paraId="5A54E1AC">
      <w:pPr>
        <w:spacing w:line="360" w:lineRule="auto"/>
        <w:ind w:firstLine="482" w:firstLineChars="200"/>
        <w:rPr>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sz w:val="24"/>
          <w:szCs w:val="24"/>
          <w14:textFill>
            <w14:solidFill>
              <w14:schemeClr w14:val="tx1"/>
            </w14:solidFill>
          </w14:textFill>
        </w:rPr>
        <w:t>6、如因投标人投入人员过少原因，造成无法在承诺工期内完成服务，由此产生的一切责任由投标人承担。</w:t>
      </w:r>
    </w:p>
    <w:p w14:paraId="24F9F9E8">
      <w:pPr>
        <w:spacing w:line="360" w:lineRule="auto"/>
        <w:ind w:firstLine="482" w:firstLineChars="200"/>
        <w:rPr>
          <w:color w:val="000000" w:themeColor="text1"/>
          <w:sz w:val="24"/>
          <w:szCs w:val="24"/>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color w:val="000000" w:themeColor="text1"/>
          <w:sz w:val="24"/>
          <w:szCs w:val="24"/>
          <w14:textFill>
            <w14:solidFill>
              <w14:schemeClr w14:val="tx1"/>
            </w14:solidFill>
          </w14:textFill>
        </w:rPr>
        <w:t>7、调试和验收：</w:t>
      </w:r>
    </w:p>
    <w:p w14:paraId="65D9AFBF">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（1）原厂原包装未经使用的全新产品；</w:t>
      </w:r>
    </w:p>
    <w:p w14:paraId="67C7B1D1">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（2）包装完好；</w:t>
      </w:r>
    </w:p>
    <w:p w14:paraId="59FCBE15">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（3）设备外观无损；</w:t>
      </w:r>
    </w:p>
    <w:p w14:paraId="755505C7">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（4）调试后正常运行；</w:t>
      </w:r>
    </w:p>
    <w:p w14:paraId="7049A7EC">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（5）电气线路应安装平整、牢固、横平竖直，过墙应有套管、导线连接必须牢固。</w:t>
      </w:r>
    </w:p>
    <w:p w14:paraId="22A674F2">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（6）各系统接线箱完整、盘内外清洁、箱盖，开关灵活、线路无绞接现象，各回路线编号齐全、完整、清晰、正确，接线整齐。</w:t>
      </w:r>
    </w:p>
    <w:p w14:paraId="29698399">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（7）各设备接口接触良好，位置准确，外观完好，功能完好，控制准确迅速。</w:t>
      </w:r>
    </w:p>
    <w:p w14:paraId="16C3E6CE">
      <w:pPr>
        <w:autoSpaceDE/>
        <w:autoSpaceDN/>
        <w:spacing w:line="460" w:lineRule="exact"/>
        <w:ind w:firstLine="480" w:firstLineChars="200"/>
        <w:rPr>
          <w:bCs/>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（8）各种设备功能完好，材料及配件进入施工现场应有清单、质量合格证明文件、国家法定质检机构的检验报告等文件；</w:t>
      </w:r>
      <w:r>
        <w:rPr>
          <w:bCs/>
          <w:color w:val="000000" w:themeColor="text1"/>
          <w:sz w:val="24"/>
          <w14:textFill>
            <w14:solidFill>
              <w14:schemeClr w14:val="tx1"/>
            </w14:solidFill>
          </w14:textFill>
        </w:rPr>
        <w:t>使用说明书、质量检验证明书、随配附件和工具以及清单</w:t>
      </w:r>
      <w:r>
        <w:rPr>
          <w:rFonts w:hint="eastAsia"/>
          <w:bCs/>
          <w:color w:val="000000" w:themeColor="text1"/>
          <w:sz w:val="24"/>
          <w14:textFill>
            <w14:solidFill>
              <w14:schemeClr w14:val="tx1"/>
            </w14:solidFill>
          </w14:textFill>
        </w:rPr>
        <w:t>（</w:t>
      </w:r>
      <w:r>
        <w:rPr>
          <w:rFonts w:hint="eastAsia"/>
          <w:color w:val="000000" w:themeColor="text1"/>
          <w:sz w:val="24"/>
          <w:szCs w:val="24"/>
          <w14:textFill>
            <w14:solidFill>
              <w14:schemeClr w14:val="tx1"/>
            </w14:solidFill>
          </w14:textFill>
        </w:rPr>
        <w:t>设备清单与采购文件一致</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一并附于货物内。</w:t>
      </w:r>
      <w:r>
        <w:rPr>
          <w:rFonts w:hint="eastAsia"/>
          <w:color w:val="000000" w:themeColor="text1"/>
          <w:sz w:val="24"/>
          <w:szCs w:val="24"/>
          <w14:textFill>
            <w14:solidFill>
              <w14:schemeClr w14:val="tx1"/>
            </w14:solidFill>
          </w14:textFill>
        </w:rPr>
        <w:t>管材的材质、规格、型号应符合招标文件的规定。</w:t>
      </w:r>
    </w:p>
    <w:p w14:paraId="253D5A74">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（9）各系统硬件设备与软件匹配良好、运行正常。</w:t>
      </w:r>
    </w:p>
    <w:p w14:paraId="11575902">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（10）各系统连接硬件符合招标要求，标记和号码清晰，性能标志设置正确。 </w:t>
      </w:r>
    </w:p>
    <w:p w14:paraId="5B21D977">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（11）交货前应对产品作出全面检查和对验收文件进行整理，并列出清单，作为采购人收货验收和使用的技术条件依据，检验的结果应随货物交采购人。</w:t>
      </w:r>
    </w:p>
    <w:p w14:paraId="243F4753">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（12）采购人对供应商提供的货物在使用前进行调试时，供应商需负责安装并培训采购人的使用操作人员，并协助采购人一起调试，直到符合技术要求，采购人才做最终验收。</w:t>
      </w:r>
    </w:p>
    <w:p w14:paraId="392898F3">
      <w:pPr>
        <w:autoSpaceDE/>
        <w:autoSpaceDN/>
        <w:spacing w:line="460" w:lineRule="exact"/>
        <w:ind w:firstLine="480" w:firstLineChars="200"/>
        <w:rPr>
          <w:bCs/>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(13)供应商</w:t>
      </w:r>
      <w:r>
        <w:rPr>
          <w:bCs/>
          <w:color w:val="000000" w:themeColor="text1"/>
          <w:sz w:val="24"/>
          <w14:textFill>
            <w14:solidFill>
              <w14:schemeClr w14:val="tx1"/>
            </w14:solidFill>
          </w14:textFill>
        </w:rPr>
        <w:t>在货物发运手续办理完毕后24小时内或货到</w:t>
      </w:r>
      <w:r>
        <w:rPr>
          <w:rFonts w:hint="eastAsia"/>
          <w:bCs/>
          <w:color w:val="000000" w:themeColor="text1"/>
          <w:sz w:val="24"/>
          <w14:textFill>
            <w14:solidFill>
              <w14:schemeClr w14:val="tx1"/>
            </w14:solidFill>
          </w14:textFill>
        </w:rPr>
        <w:t>采购人</w:t>
      </w:r>
      <w:r>
        <w:rPr>
          <w:bCs/>
          <w:color w:val="000000" w:themeColor="text1"/>
          <w:sz w:val="24"/>
          <w14:textFill>
            <w14:solidFill>
              <w14:schemeClr w14:val="tx1"/>
            </w14:solidFill>
          </w14:textFill>
        </w:rPr>
        <w:t>48小时前通知</w:t>
      </w:r>
      <w:r>
        <w:rPr>
          <w:rFonts w:hint="eastAsia"/>
          <w:bCs/>
          <w:color w:val="000000" w:themeColor="text1"/>
          <w:sz w:val="24"/>
          <w14:textFill>
            <w14:solidFill>
              <w14:schemeClr w14:val="tx1"/>
            </w14:solidFill>
          </w14:textFill>
        </w:rPr>
        <w:t>采购人</w:t>
      </w:r>
      <w:r>
        <w:rPr>
          <w:bCs/>
          <w:color w:val="000000" w:themeColor="text1"/>
          <w:sz w:val="24"/>
          <w14:textFill>
            <w14:solidFill>
              <w14:schemeClr w14:val="tx1"/>
            </w14:solidFill>
          </w14:textFill>
        </w:rPr>
        <w:t>，以准备接货。</w:t>
      </w:r>
    </w:p>
    <w:p w14:paraId="0BB862F2">
      <w:pPr>
        <w:widowControl/>
        <w:spacing w:line="360" w:lineRule="auto"/>
        <w:jc w:val="center"/>
        <w:rPr>
          <w:b/>
          <w:color w:val="000000" w:themeColor="text1"/>
          <w:sz w:val="28"/>
          <w:szCs w:val="28"/>
          <w14:textFill>
            <w14:solidFill>
              <w14:schemeClr w14:val="tx1"/>
            </w14:solidFill>
          </w14:textFill>
        </w:rPr>
      </w:pPr>
      <w:r>
        <w:rPr>
          <w:rFonts w:hint="eastAsia"/>
          <w:b/>
          <w:bCs/>
          <w:color w:val="000000" w:themeColor="text1"/>
          <w:sz w:val="24"/>
          <w:szCs w:val="24"/>
          <w:lang w:bidi="ar"/>
          <w14:textFill>
            <w14:solidFill>
              <w14:schemeClr w14:val="tx1"/>
            </w14:solidFill>
          </w14:textFill>
        </w:rPr>
        <w:t>★</w:t>
      </w:r>
      <w:r>
        <w:rPr>
          <w:rFonts w:hint="eastAsia"/>
          <w:b/>
          <w:color w:val="000000" w:themeColor="text1"/>
          <w:sz w:val="28"/>
          <w:szCs w:val="28"/>
          <w14:textFill>
            <w14:solidFill>
              <w14:schemeClr w14:val="tx1"/>
            </w14:solidFill>
          </w14:textFill>
        </w:rPr>
        <w:t>（第二部分：商务部分要求）</w:t>
      </w:r>
    </w:p>
    <w:p w14:paraId="3FA2B2B0">
      <w:pPr>
        <w:widowControl/>
        <w:spacing w:line="360" w:lineRule="auto"/>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三</w:t>
      </w:r>
      <w:bookmarkEnd w:id="44"/>
      <w:bookmarkEnd w:id="45"/>
      <w:bookmarkEnd w:id="46"/>
      <w:r>
        <w:rPr>
          <w:rFonts w:hint="eastAsia"/>
          <w:b/>
          <w:color w:val="000000" w:themeColor="text1"/>
          <w:sz w:val="24"/>
          <w:szCs w:val="24"/>
          <w14:textFill>
            <w14:solidFill>
              <w14:schemeClr w14:val="tx1"/>
            </w14:solidFill>
          </w14:textFill>
        </w:rPr>
        <w:t>、商务部分</w:t>
      </w:r>
    </w:p>
    <w:p w14:paraId="499796C7">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bookmarkStart w:id="47" w:name="_Hlk60664517"/>
      <w:r>
        <w:rPr>
          <w:rFonts w:hint="eastAsia"/>
          <w:color w:val="000000" w:themeColor="text1"/>
          <w:sz w:val="24"/>
          <w:szCs w:val="24"/>
          <w14:textFill>
            <w14:solidFill>
              <w14:schemeClr w14:val="tx1"/>
            </w14:solidFill>
          </w14:textFill>
        </w:rPr>
        <w:t>项目工期或交货期：</w:t>
      </w:r>
      <w:r>
        <w:rPr>
          <w:rFonts w:hint="eastAsia"/>
          <w:color w:val="000000" w:themeColor="text1"/>
          <w:sz w:val="24"/>
          <w:szCs w:val="32"/>
          <w14:textFill>
            <w14:solidFill>
              <w14:schemeClr w14:val="tx1"/>
            </w14:solidFill>
          </w14:textFill>
        </w:rPr>
        <w:t>合同签订后50天内完成安装、调试、提供相应技术服务。</w:t>
      </w:r>
    </w:p>
    <w:bookmarkEnd w:id="47"/>
    <w:p w14:paraId="13687109">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2、施工（安装）地点或交货地点：江宁校区教学楼</w:t>
      </w:r>
    </w:p>
    <w:p w14:paraId="59ACB3A5">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3、质保期：5年。</w:t>
      </w:r>
    </w:p>
    <w:p w14:paraId="787176E6">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4、维保期限：自质保期满后3年。维保费用需由供应商综合考虑并计入投标报价中，采购人不承担由此产生的额外相关费用。</w:t>
      </w:r>
    </w:p>
    <w:p w14:paraId="3CF507AD">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5、售后服务要求</w:t>
      </w:r>
    </w:p>
    <w:p w14:paraId="5FB69BFE">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质保期内，本合同项目所有技术和服务发生任何故障，由投标人负责维修处理，该费用包含在投标报价中。故障报修的响应时间为即时，小型故障恢复时间为4个小时内，严重故障恢复时间为24小时内，并及时有效地提供解决方案。</w:t>
      </w:r>
    </w:p>
    <w:p w14:paraId="12817130">
      <w:pPr>
        <w:autoSpaceDE/>
        <w:autoSpaceDN/>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（2）质保期内，对采购人提出的合理服务要求，投标人必须即时进行电话支持，并在6小时内到场服务。如不到场，采购人有权自行处理，相关费用由投标人负责。</w:t>
      </w:r>
    </w:p>
    <w:p w14:paraId="4BB8F405">
      <w:pPr>
        <w:autoSpaceDE/>
        <w:autoSpaceDN/>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（3）质保期内投标人需提供定期回访服务并提供相应的书面回访记录。</w:t>
      </w:r>
    </w:p>
    <w:p w14:paraId="6C81885D">
      <w:pPr>
        <w:autoSpaceDE/>
        <w:autoSpaceDN/>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（4）维保期内投标人需提供定期维护保养服务并提供相应的书面维保记录。</w:t>
      </w:r>
    </w:p>
    <w:p w14:paraId="10C5BCA2">
      <w:pPr>
        <w:spacing w:line="360" w:lineRule="auto"/>
        <w:ind w:firstLine="480" w:firstLineChars="200"/>
        <w:rPr>
          <w:color w:val="000000" w:themeColor="text1"/>
          <w:sz w:val="24"/>
          <w:szCs w:val="24"/>
          <w14:textFill>
            <w14:solidFill>
              <w14:schemeClr w14:val="tx1"/>
            </w14:solidFill>
          </w14:textFill>
        </w:rPr>
      </w:pPr>
      <w:bookmarkStart w:id="48" w:name="_Hlk163565180"/>
      <w:r>
        <w:rPr>
          <w:rFonts w:hint="eastAsia"/>
          <w:color w:val="000000" w:themeColor="text1"/>
          <w:sz w:val="24"/>
          <w:szCs w:val="24"/>
          <w14:textFill>
            <w14:solidFill>
              <w14:schemeClr w14:val="tx1"/>
            </w14:solidFill>
          </w14:textFill>
        </w:rPr>
        <w:t>（5）</w:t>
      </w:r>
      <w:bookmarkEnd w:id="48"/>
      <w:r>
        <w:rPr>
          <w:rFonts w:hint="eastAsia"/>
          <w:color w:val="000000" w:themeColor="text1"/>
          <w:sz w:val="24"/>
          <w:szCs w:val="24"/>
          <w14:textFill>
            <w14:solidFill>
              <w14:schemeClr w14:val="tx1"/>
            </w14:solidFill>
          </w14:textFill>
        </w:rPr>
        <w:t>所有的服务方式均为上门维修，即由投标人派人员到使用现场进行故障恢复，由此产生的一切费用均由投标人承担。</w:t>
      </w:r>
    </w:p>
    <w:p w14:paraId="4F5F7035">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6、报价说明</w:t>
      </w:r>
    </w:p>
    <w:p w14:paraId="2741CF6C">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（1）本项目按实结算，数量以实际发生为准，单价以投标时所报单价为准。</w:t>
      </w:r>
    </w:p>
    <w:p w14:paraId="11B054D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14:textFill>
            <w14:solidFill>
              <w14:schemeClr w14:val="tx1"/>
            </w14:solidFill>
          </w14:textFill>
        </w:rPr>
        <w:t>（2）投标人需充分了解现场情况，本次室内机安装费、本体调试费已包含在对应设备综合单价内，不另计取；本项目报价需要包含系统调试费（包括但不限于调试周期不少于72小时，并提供调试报告，含所有内外机的联动运行、参数整定、故障排查；冷媒追加、气密性试验、平台联调等；集中计量控制系统、校内集中控制平台的联调等）；空调设备吊机上楼吊运费（包括但不限于吊机租赁、操作员、指挥工、设备楼层吊运、上楼就位、安全防护、成品保护等）；脚手措施费（包括但不限于本项目所有室内安装区域的脚手架搭拆，覆盖吊顶内安装、高吊顶作业、穿墙孔作业等所有需高空作业的区域等）；零星辅材（包含但不限于穿墙护圈、防火密封泥、中性耐候玻璃胶、生料带、绝缘胶布、螺丝、垫片等所有供应商认为需使用的零星辅材）；风机盘管检查接线；空调内、外机电线、电缆拆除（除拆除后设备、材料需堆放至采购人指定位置，含现场</w:t>
      </w:r>
      <w:r>
        <w:rPr>
          <w:rFonts w:hint="eastAsia"/>
          <w:color w:val="000000" w:themeColor="text1"/>
          <w:sz w:val="24"/>
          <w:szCs w:val="24"/>
          <w:highlight w:val="none"/>
          <w14:textFill>
            <w14:solidFill>
              <w14:schemeClr w14:val="tx1"/>
            </w14:solidFill>
          </w14:textFill>
        </w:rPr>
        <w:t>清理、成品保护，不含外运处置费用等）；旧管道拆除费（包含但不限于旧管道拆除费、拆除后设备、材料需堆放至采购人方指定位置，含现场清理、成品保护，不含外运处置费用）；安全文明施工费（包括但不限于现场安全警示、防护栏杆、安全网、临时围挡、文明施工标牌、环境保护（降尘、降噪）、施工人员安全教育及劳动防护用品等，要满足采购人管理要求，符合相关管理规定及当地安监要求，费用由投标人自行考虑，价格不予调整）等，投标人需综合考虑，包含在投标报价中，旧设备、旧管线拆除后由采购人回收处置，供应商仅负责集中堆放至指定位置。</w:t>
      </w:r>
    </w:p>
    <w:p w14:paraId="4C3A4F74">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t>（3）投标人应确认本清单已包含空调设备、配套材料、安装、调试、拆除、恢复、税金等全部内容。除明确标注“不含”的项目外，所有单项价格均视为包</w:t>
      </w:r>
      <w:r>
        <w:rPr>
          <w:rFonts w:hint="eastAsia"/>
          <w:color w:val="000000" w:themeColor="text1"/>
          <w:sz w:val="24"/>
          <w:szCs w:val="24"/>
          <w14:textFill>
            <w14:solidFill>
              <w14:schemeClr w14:val="tx1"/>
            </w14:solidFill>
          </w14:textFill>
        </w:rPr>
        <w:t>含材料、人工、机械、辅材、管理费、利润及风险，包含但不限于：清单所列内容及为完成本项目而产生的所有有关费用，包含但不限于人员、设备、材料、安装调试、验收、售后服务、伴随配套服务等所有含税费用。同时，还应包含支付给员工的工资和国家强制缴纳的各种社会保障资金，按照验收规范要求应进行检测、检验、工程资料收集、整理等费用。以及供应商认为需要的其他费用等。</w:t>
      </w:r>
    </w:p>
    <w:p w14:paraId="5496BA21">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投标人需充分考虑吊装难度、楼层高度、吊顶内部空间、脚手架搭设条件、旧设备搬运路径等因素，自行承担未踏勘导致的风险；投标人的任何错漏、优惠、竞争性报价不得作为减轻责任、减少服务、增加收费、降低服务质量的理由。投标人报价除包含采购文件中列明的项目外还应包括保障服务正常运行应当具有的物资和服务，对服务正常运行应当具有的物资和服务理解不一致的以采购人理解为准。</w:t>
      </w:r>
    </w:p>
    <w:p w14:paraId="14B12A7A">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（5）包装要求及费用承担：按供应商的标准包装，但应考虑到防漏、防潮、防震、防盗和可能会发生的野蛮装卸等内陆运输及多次装卸之需要。费用包含在投标总价中，由供应商承担。</w:t>
      </w:r>
    </w:p>
    <w:p w14:paraId="21019A24">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（6）投标总价需包括按照验收规范要求应进行检测、检验、工程资料收集、整理等费用；投标总价需包括完成所有检测检验所需缴纳的费用。</w:t>
      </w:r>
    </w:p>
    <w:p w14:paraId="175B18C8">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（7）各投标单位应充分考虑各类市场风险和政策性调整确定风险系数计入报价，中标后不作调整。</w:t>
      </w:r>
    </w:p>
    <w:p w14:paraId="78AD1158">
      <w:pPr>
        <w:spacing w:line="360" w:lineRule="auto"/>
        <w:ind w:firstLine="480" w:firstLineChars="200"/>
        <w:rPr>
          <w:color w:val="000000" w:themeColor="text1"/>
          <w:sz w:val="24"/>
          <w:szCs w:val="24"/>
          <w:lang w:val="ja-JP"/>
          <w14:textFill>
            <w14:solidFill>
              <w14:schemeClr w14:val="tx1"/>
            </w14:solidFill>
          </w14:textFill>
        </w:rPr>
      </w:pPr>
      <w:r>
        <w:rPr>
          <w:rFonts w:hint="eastAsia"/>
          <w:color w:val="000000" w:themeColor="text1"/>
          <w:sz w:val="24"/>
          <w:szCs w:val="24"/>
          <w14:textFill>
            <w14:solidFill>
              <w14:schemeClr w14:val="tx1"/>
            </w14:solidFill>
          </w14:textFill>
        </w:rPr>
        <w:t>7、</w:t>
      </w:r>
      <w:r>
        <w:rPr>
          <w:rFonts w:hint="eastAsia"/>
          <w:color w:val="000000" w:themeColor="text1"/>
          <w:sz w:val="24"/>
          <w:szCs w:val="24"/>
          <w:lang w:val="ja-JP" w:eastAsia="ja-JP"/>
          <w14:textFill>
            <w14:solidFill>
              <w14:schemeClr w14:val="tx1"/>
            </w14:solidFill>
          </w14:textFill>
        </w:rPr>
        <w:t>付款方式</w:t>
      </w:r>
      <w:r>
        <w:rPr>
          <w:rFonts w:hint="eastAsia"/>
          <w:color w:val="000000" w:themeColor="text1"/>
          <w:sz w:val="24"/>
          <w:szCs w:val="24"/>
          <w:lang w:val="ja-JP"/>
          <w14:textFill>
            <w14:solidFill>
              <w14:schemeClr w14:val="tx1"/>
            </w14:solidFill>
          </w14:textFill>
        </w:rPr>
        <w:t>：</w:t>
      </w:r>
    </w:p>
    <w:p w14:paraId="4ED442A5">
      <w:pPr>
        <w:pStyle w:val="243"/>
        <w:shd w:val="clear" w:color="auto" w:fill="FFFFFF"/>
        <w:spacing w:before="0" w:beforeAutospacing="0" w:after="0" w:afterAutospacing="0" w:line="360" w:lineRule="auto"/>
        <w:jc w:val="both"/>
        <w:rPr>
          <w:color w:val="000000" w:themeColor="text1"/>
          <w:lang w:val="zh-TW" w:eastAsia="zh-TW"/>
          <w14:textFill>
            <w14:solidFill>
              <w14:schemeClr w14:val="tx1"/>
            </w14:solidFill>
          </w14:textFill>
        </w:rPr>
      </w:pPr>
      <w:r>
        <w:rPr>
          <w:rFonts w:hint="eastAsia"/>
          <w:color w:val="000000" w:themeColor="text1"/>
          <w:lang w:val="zh-TW"/>
          <w14:textFill>
            <w14:solidFill>
              <w14:schemeClr w14:val="tx1"/>
            </w14:solidFill>
          </w14:textFill>
        </w:rPr>
        <w:t>（</w:t>
      </w:r>
      <w:r>
        <w:rPr>
          <w:rFonts w:hint="eastAsia"/>
          <w:color w:val="000000" w:themeColor="text1"/>
          <w14:textFill>
            <w14:solidFill>
              <w14:schemeClr w14:val="tx1"/>
            </w14:solidFill>
          </w14:textFill>
        </w:rPr>
        <w:t>1</w:t>
      </w:r>
      <w:r>
        <w:rPr>
          <w:rFonts w:hint="eastAsia"/>
          <w:color w:val="000000" w:themeColor="text1"/>
          <w:lang w:val="zh-TW"/>
          <w14:textFill>
            <w14:solidFill>
              <w14:schemeClr w14:val="tx1"/>
            </w14:solidFill>
          </w14:textFill>
        </w:rPr>
        <w:t>）</w:t>
      </w:r>
      <w:r>
        <w:rPr>
          <w:rFonts w:hint="eastAsia"/>
          <w:color w:val="000000" w:themeColor="text1"/>
          <w:lang w:val="zh-TW" w:eastAsia="zh-TW"/>
          <w14:textFill>
            <w14:solidFill>
              <w14:schemeClr w14:val="tx1"/>
            </w14:solidFill>
          </w14:textFill>
        </w:rPr>
        <w:t>合同签订货到后，全部安装完成，经竣工验收合格且收到付款申请后，付至合同价款的70%；</w:t>
      </w:r>
    </w:p>
    <w:p w14:paraId="095631F6">
      <w:pPr>
        <w:pStyle w:val="243"/>
        <w:shd w:val="clear" w:color="auto" w:fill="FFFFFF"/>
        <w:spacing w:before="0" w:beforeAutospacing="0" w:after="0" w:afterAutospacing="0" w:line="360" w:lineRule="auto"/>
        <w:jc w:val="both"/>
        <w:rPr>
          <w:color w:val="000000" w:themeColor="text1"/>
          <w:lang w:val="zh-TW" w:eastAsia="zh-TW"/>
          <w14:textFill>
            <w14:solidFill>
              <w14:schemeClr w14:val="tx1"/>
            </w14:solidFill>
          </w14:textFill>
        </w:rPr>
      </w:pPr>
      <w:r>
        <w:rPr>
          <w:rFonts w:hint="eastAsia"/>
          <w:color w:val="000000" w:themeColor="text1"/>
          <w:lang w:val="zh-TW" w:eastAsia="zh-TW"/>
          <w14:textFill>
            <w14:solidFill>
              <w14:schemeClr w14:val="tx1"/>
            </w14:solidFill>
          </w14:textFill>
        </w:rPr>
        <w:t>（</w:t>
      </w:r>
      <w:r>
        <w:rPr>
          <w:rFonts w:hint="eastAsia"/>
          <w:color w:val="000000" w:themeColor="text1"/>
          <w14:textFill>
            <w14:solidFill>
              <w14:schemeClr w14:val="tx1"/>
            </w14:solidFill>
          </w14:textFill>
        </w:rPr>
        <w:t>2</w:t>
      </w:r>
      <w:r>
        <w:rPr>
          <w:rFonts w:hint="eastAsia"/>
          <w:color w:val="000000" w:themeColor="text1"/>
          <w:lang w:val="zh-TW" w:eastAsia="zh-TW"/>
          <w14:textFill>
            <w14:solidFill>
              <w14:schemeClr w14:val="tx1"/>
            </w14:solidFill>
          </w14:textFill>
        </w:rPr>
        <w:t>）竣工结算经审计部门审计结束，</w:t>
      </w:r>
      <w:r>
        <w:rPr>
          <w:rFonts w:hint="eastAsia"/>
          <w:color w:val="000000" w:themeColor="text1"/>
          <w:lang w:val="zh-CN"/>
          <w14:textFill>
            <w14:solidFill>
              <w14:schemeClr w14:val="tx1"/>
            </w14:solidFill>
          </w14:textFill>
        </w:rPr>
        <w:t>卖方提交水电费、</w:t>
      </w:r>
      <w:r>
        <w:rPr>
          <w:rFonts w:hint="eastAsia"/>
          <w:color w:val="000000" w:themeColor="text1"/>
          <w14:textFill>
            <w14:solidFill>
              <w14:schemeClr w14:val="tx1"/>
            </w14:solidFill>
          </w14:textFill>
        </w:rPr>
        <w:t>违约金</w:t>
      </w:r>
      <w:r>
        <w:rPr>
          <w:rFonts w:hint="eastAsia"/>
          <w:color w:val="000000" w:themeColor="text1"/>
          <w:lang w:val="zh-CN"/>
          <w14:textFill>
            <w14:solidFill>
              <w14:schemeClr w14:val="tx1"/>
            </w14:solidFill>
          </w14:textFill>
        </w:rPr>
        <w:t>至买方账户，并按照要求提交所有竣工资料后，付至项目结算审定价款的</w:t>
      </w:r>
      <w:r>
        <w:rPr>
          <w:rFonts w:hint="eastAsia"/>
          <w:color w:val="000000" w:themeColor="text1"/>
          <w14:textFill>
            <w14:solidFill>
              <w14:schemeClr w14:val="tx1"/>
            </w14:solidFill>
          </w14:textFill>
        </w:rPr>
        <w:t>100</w:t>
      </w:r>
      <w:r>
        <w:rPr>
          <w:rFonts w:hint="eastAsia"/>
          <w:color w:val="000000" w:themeColor="text1"/>
          <w:lang w:val="zh-CN"/>
          <w14:textFill>
            <w14:solidFill>
              <w14:schemeClr w14:val="tx1"/>
            </w14:solidFill>
          </w14:textFill>
        </w:rPr>
        <w:t>%（卖方需开具审定价的全额发票）；</w:t>
      </w:r>
    </w:p>
    <w:p w14:paraId="36A2F2F7">
      <w:pPr>
        <w:pStyle w:val="243"/>
        <w:shd w:val="clear" w:color="auto" w:fill="FFFFFF"/>
        <w:spacing w:before="0" w:beforeAutospacing="0" w:after="0" w:afterAutospacing="0" w:line="360" w:lineRule="auto"/>
        <w:jc w:val="both"/>
        <w:rPr>
          <w:color w:val="000000" w:themeColor="text1"/>
          <w:lang w:val="zh-TW" w:eastAsia="zh-TW"/>
          <w14:textFill>
            <w14:solidFill>
              <w14:schemeClr w14:val="tx1"/>
            </w14:solidFill>
          </w14:textFill>
        </w:rPr>
      </w:pPr>
      <w:r>
        <w:rPr>
          <w:rFonts w:hint="eastAsia"/>
          <w:color w:val="000000" w:themeColor="text1"/>
          <w:lang w:val="zh-TW" w:eastAsia="zh-TW"/>
          <w14:textFill>
            <w14:solidFill>
              <w14:schemeClr w14:val="tx1"/>
            </w14:solidFill>
          </w14:textFill>
        </w:rPr>
        <w:t>（</w:t>
      </w:r>
      <w:r>
        <w:rPr>
          <w:rFonts w:hint="eastAsia"/>
          <w:color w:val="000000" w:themeColor="text1"/>
          <w14:textFill>
            <w14:solidFill>
              <w14:schemeClr w14:val="tx1"/>
            </w14:solidFill>
          </w14:textFill>
        </w:rPr>
        <w:t>3</w:t>
      </w:r>
      <w:r>
        <w:rPr>
          <w:rFonts w:hint="eastAsia"/>
          <w:color w:val="000000" w:themeColor="text1"/>
          <w:lang w:val="zh-TW" w:eastAsia="zh-TW"/>
          <w14:textFill>
            <w14:solidFill>
              <w14:schemeClr w14:val="tx1"/>
            </w14:solidFill>
          </w14:textFill>
        </w:rPr>
        <w:t>）所有合同外增加的工作内容施工项目，一律不得作为进度款支付的计算基数，待竣工结算审计后方可进行价款结算。</w:t>
      </w:r>
    </w:p>
    <w:p w14:paraId="47B5C8D9">
      <w:pPr>
        <w:pStyle w:val="243"/>
        <w:shd w:val="clear" w:color="auto" w:fill="FFFFFF"/>
        <w:spacing w:before="0" w:beforeAutospacing="0" w:after="0" w:afterAutospacing="0" w:line="360" w:lineRule="auto"/>
        <w:jc w:val="both"/>
        <w:rPr>
          <w:color w:val="000000" w:themeColor="text1"/>
          <w:lang w:val="zh-TW" w:eastAsia="zh-TW"/>
          <w14:textFill>
            <w14:solidFill>
              <w14:schemeClr w14:val="tx1"/>
            </w14:solidFill>
          </w14:textFill>
        </w:rPr>
      </w:pPr>
      <w:r>
        <w:rPr>
          <w:rFonts w:hint="eastAsia"/>
          <w:color w:val="000000" w:themeColor="text1"/>
          <w:lang w:val="zh-TW"/>
          <w14:textFill>
            <w14:solidFill>
              <w14:schemeClr w14:val="tx1"/>
            </w14:solidFill>
          </w14:textFill>
        </w:rPr>
        <w:t>（</w:t>
      </w:r>
      <w:r>
        <w:rPr>
          <w:rFonts w:hint="eastAsia"/>
          <w:color w:val="000000" w:themeColor="text1"/>
          <w14:textFill>
            <w14:solidFill>
              <w14:schemeClr w14:val="tx1"/>
            </w14:solidFill>
          </w14:textFill>
        </w:rPr>
        <w:t>4</w:t>
      </w:r>
      <w:r>
        <w:rPr>
          <w:rFonts w:hint="eastAsia"/>
          <w:color w:val="000000" w:themeColor="text1"/>
          <w:lang w:val="zh-TW"/>
          <w14:textFill>
            <w14:solidFill>
              <w14:schemeClr w14:val="tx1"/>
            </w14:solidFill>
          </w14:textFill>
        </w:rPr>
        <w:t>）</w:t>
      </w:r>
      <w:r>
        <w:rPr>
          <w:rFonts w:hint="eastAsia"/>
          <w:color w:val="000000" w:themeColor="text1"/>
          <w14:textFill>
            <w14:solidFill>
              <w14:schemeClr w14:val="tx1"/>
            </w14:solidFill>
          </w14:textFill>
        </w:rPr>
        <w:t>每</w:t>
      </w:r>
      <w:r>
        <w:rPr>
          <w:rFonts w:hint="eastAsia"/>
          <w:color w:val="000000" w:themeColor="text1"/>
          <w:lang w:val="zh-TW" w:eastAsia="zh-TW"/>
          <w14:textFill>
            <w14:solidFill>
              <w14:schemeClr w14:val="tx1"/>
            </w14:solidFill>
          </w14:textFill>
        </w:rPr>
        <w:t>次付款均需提供有效增值税发票。</w:t>
      </w:r>
    </w:p>
    <w:p w14:paraId="7392A816">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注：水电费按工程审定额的千分之一点五计取。水电费在审定价款支付前，由成交供应商直接支付至采购人指定账户。</w:t>
      </w:r>
    </w:p>
    <w:p w14:paraId="20665A74">
      <w:pPr>
        <w:pStyle w:val="243"/>
        <w:shd w:val="clear" w:color="auto" w:fill="FFFFFF"/>
        <w:spacing w:before="0" w:beforeAutospacing="0" w:after="0" w:afterAutospacing="0" w:line="360" w:lineRule="auto"/>
        <w:ind w:firstLine="480" w:firstLineChars="200"/>
        <w:jc w:val="both"/>
        <w:rPr>
          <w:color w:val="000000" w:themeColor="text1"/>
          <w14:textFill>
            <w14:solidFill>
              <w14:schemeClr w14:val="tx1"/>
            </w14:solidFill>
          </w14:textFill>
        </w:rPr>
      </w:pPr>
      <w:r>
        <w:rPr>
          <w:rFonts w:hint="eastAsia"/>
          <w:color w:val="000000" w:themeColor="text1"/>
          <w:szCs w:val="24"/>
          <w14:textFill>
            <w14:solidFill>
              <w14:schemeClr w14:val="tx1"/>
            </w14:solidFill>
          </w14:textFill>
        </w:rPr>
        <w:t>8、履约保证金：供应商</w:t>
      </w:r>
      <w:bookmarkStart w:id="49" w:name="bookmark20"/>
      <w:r>
        <w:rPr>
          <w:rFonts w:hint="eastAsia"/>
          <w:color w:val="000000" w:themeColor="text1"/>
          <w14:textFill>
            <w14:solidFill>
              <w14:schemeClr w14:val="tx1"/>
            </w14:solidFill>
          </w14:textFill>
        </w:rPr>
        <w:t>在签订合同前需按合同金额的3%以银行本票、汇票、支票或电子汇款等形式缴纳履约保证金作为履约担保，履约保证金在质保期满后无息退还。</w:t>
      </w:r>
    </w:p>
    <w:bookmarkEnd w:id="49"/>
    <w:p w14:paraId="53E80679">
      <w:pPr>
        <w:widowControl/>
        <w:spacing w:line="360" w:lineRule="auto"/>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四、廉政承诺书</w:t>
      </w:r>
    </w:p>
    <w:p w14:paraId="7390F2D6">
      <w:pPr>
        <w:widowControl/>
        <w:spacing w:line="360" w:lineRule="auto"/>
        <w:ind w:firstLine="480" w:firstLineChars="20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投标单位须按“第六章 附件六 《投标单位廉政承诺书》”（请提供承诺书并加盖公章）。 </w:t>
      </w:r>
    </w:p>
    <w:p w14:paraId="5A1732A6">
      <w:pPr>
        <w:widowControl/>
        <w:spacing w:line="360" w:lineRule="auto"/>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五、投标保证金</w:t>
      </w:r>
    </w:p>
    <w:p w14:paraId="76C0B03F">
      <w:pPr>
        <w:widowControl/>
        <w:spacing w:line="360" w:lineRule="auto"/>
        <w:ind w:firstLine="480" w:firstLineChars="200"/>
        <w:rPr>
          <w:bCs/>
          <w:color w:val="000000" w:themeColor="text1"/>
          <w:sz w:val="24"/>
          <w:szCs w:val="24"/>
          <w:lang w:val="zh-CN"/>
          <w14:textFill>
            <w14:solidFill>
              <w14:schemeClr w14:val="tx1"/>
            </w14:solidFill>
          </w14:textFill>
        </w:rPr>
      </w:pPr>
      <w:r>
        <w:rPr>
          <w:rFonts w:hint="eastAsia"/>
          <w:bCs/>
          <w:color w:val="000000" w:themeColor="text1"/>
          <w:sz w:val="24"/>
          <w:szCs w:val="24"/>
          <w:lang w:val="zh-CN"/>
          <w14:textFill>
            <w14:solidFill>
              <w14:schemeClr w14:val="tx1"/>
            </w14:solidFill>
          </w14:textFill>
        </w:rPr>
        <w:t>投标保证金金额：人民币</w:t>
      </w:r>
      <w:r>
        <w:rPr>
          <w:rFonts w:hint="eastAsia"/>
          <w:bCs/>
          <w:color w:val="000000" w:themeColor="text1"/>
          <w:sz w:val="24"/>
          <w:szCs w:val="24"/>
          <w14:textFill>
            <w14:solidFill>
              <w14:schemeClr w14:val="tx1"/>
            </w14:solidFill>
          </w14:textFill>
        </w:rPr>
        <w:t>30</w:t>
      </w:r>
      <w:r>
        <w:rPr>
          <w:rFonts w:hint="eastAsia"/>
          <w:bCs/>
          <w:color w:val="000000" w:themeColor="text1"/>
          <w:sz w:val="24"/>
          <w:szCs w:val="24"/>
          <w:lang w:val="zh-CN"/>
          <w14:textFill>
            <w14:solidFill>
              <w14:schemeClr w14:val="tx1"/>
            </w14:solidFill>
          </w14:textFill>
        </w:rPr>
        <w:t>000元（大写：</w:t>
      </w:r>
      <w:r>
        <w:rPr>
          <w:rFonts w:hint="eastAsia"/>
          <w:bCs/>
          <w:color w:val="000000" w:themeColor="text1"/>
          <w:sz w:val="24"/>
          <w:szCs w:val="24"/>
          <w14:textFill>
            <w14:solidFill>
              <w14:schemeClr w14:val="tx1"/>
            </w14:solidFill>
          </w14:textFill>
        </w:rPr>
        <w:t>叁万</w:t>
      </w:r>
      <w:r>
        <w:rPr>
          <w:rFonts w:hint="eastAsia"/>
          <w:bCs/>
          <w:color w:val="000000" w:themeColor="text1"/>
          <w:sz w:val="24"/>
          <w:szCs w:val="24"/>
          <w:lang w:val="zh-CN"/>
          <w14:textFill>
            <w14:solidFill>
              <w14:schemeClr w14:val="tx1"/>
            </w14:solidFill>
          </w14:textFill>
        </w:rPr>
        <w:t xml:space="preserve">元整） </w:t>
      </w:r>
    </w:p>
    <w:p w14:paraId="37B0AFDA">
      <w:pPr>
        <w:widowControl/>
        <w:spacing w:line="360" w:lineRule="auto"/>
        <w:ind w:firstLine="480" w:firstLineChars="20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缴纳方式：电汇或网银形式交纳</w:t>
      </w:r>
    </w:p>
    <w:p w14:paraId="43521CDB">
      <w:pPr>
        <w:widowControl/>
        <w:spacing w:line="360" w:lineRule="auto"/>
        <w:ind w:firstLine="480" w:firstLineChars="200"/>
        <w:rPr>
          <w:bCs/>
          <w:color w:val="000000" w:themeColor="text1"/>
          <w:sz w:val="24"/>
          <w:szCs w:val="24"/>
          <w:lang w:val="zh-CN"/>
          <w14:textFill>
            <w14:solidFill>
              <w14:schemeClr w14:val="tx1"/>
            </w14:solidFill>
          </w14:textFill>
        </w:rPr>
      </w:pPr>
      <w:r>
        <w:rPr>
          <w:rFonts w:hint="eastAsia"/>
          <w:bCs/>
          <w:color w:val="000000" w:themeColor="text1"/>
          <w:sz w:val="24"/>
          <w:szCs w:val="24"/>
          <w:lang w:val="zh-CN"/>
          <w14:textFill>
            <w14:solidFill>
              <w14:schemeClr w14:val="tx1"/>
            </w14:solidFill>
          </w14:textFill>
        </w:rPr>
        <w:t xml:space="preserve">投标保证金和服务费银行及账号： </w:t>
      </w:r>
    </w:p>
    <w:p w14:paraId="72D608E4">
      <w:pPr>
        <w:widowControl/>
        <w:spacing w:line="360" w:lineRule="auto"/>
        <w:ind w:firstLine="480" w:firstLineChars="200"/>
        <w:rPr>
          <w:bCs/>
          <w:color w:val="000000" w:themeColor="text1"/>
          <w:sz w:val="24"/>
          <w:szCs w:val="24"/>
          <w:lang w:val="zh-CN"/>
          <w14:textFill>
            <w14:solidFill>
              <w14:schemeClr w14:val="tx1"/>
            </w14:solidFill>
          </w14:textFill>
        </w:rPr>
      </w:pPr>
      <w:r>
        <w:rPr>
          <w:rFonts w:hint="eastAsia"/>
          <w:bCs/>
          <w:color w:val="000000" w:themeColor="text1"/>
          <w:sz w:val="24"/>
          <w:szCs w:val="24"/>
          <w:lang w:val="zh-CN"/>
          <w14:textFill>
            <w14:solidFill>
              <w14:schemeClr w14:val="tx1"/>
            </w14:solidFill>
          </w14:textFill>
        </w:rPr>
        <w:t>开户单位：南京苏宁工程咨询有限公司</w:t>
      </w:r>
    </w:p>
    <w:p w14:paraId="17F4E9E9">
      <w:pPr>
        <w:widowControl/>
        <w:spacing w:line="360" w:lineRule="auto"/>
        <w:ind w:firstLine="480" w:firstLineChars="200"/>
        <w:rPr>
          <w:bCs/>
          <w:color w:val="000000" w:themeColor="text1"/>
          <w:sz w:val="24"/>
          <w:szCs w:val="24"/>
          <w:lang w:val="zh-CN"/>
          <w14:textFill>
            <w14:solidFill>
              <w14:schemeClr w14:val="tx1"/>
            </w14:solidFill>
          </w14:textFill>
        </w:rPr>
      </w:pPr>
      <w:r>
        <w:rPr>
          <w:rFonts w:hint="eastAsia"/>
          <w:bCs/>
          <w:color w:val="000000" w:themeColor="text1"/>
          <w:sz w:val="24"/>
          <w:szCs w:val="24"/>
          <w:lang w:val="zh-CN"/>
          <w14:textFill>
            <w14:solidFill>
              <w14:schemeClr w14:val="tx1"/>
            </w14:solidFill>
          </w14:textFill>
        </w:rPr>
        <w:t xml:space="preserve">开户银行：南京银行中山东路支行 </w:t>
      </w:r>
    </w:p>
    <w:p w14:paraId="0EB73C94">
      <w:pPr>
        <w:widowControl/>
        <w:spacing w:line="360" w:lineRule="auto"/>
        <w:ind w:firstLine="480" w:firstLineChars="200"/>
        <w:rPr>
          <w:bCs/>
          <w:color w:val="000000" w:themeColor="text1"/>
          <w:sz w:val="24"/>
          <w:szCs w:val="24"/>
          <w:lang w:val="zh-CN"/>
          <w14:textFill>
            <w14:solidFill>
              <w14:schemeClr w14:val="tx1"/>
            </w14:solidFill>
          </w14:textFill>
        </w:rPr>
      </w:pPr>
      <w:r>
        <w:rPr>
          <w:rFonts w:hint="eastAsia"/>
          <w:bCs/>
          <w:color w:val="000000" w:themeColor="text1"/>
          <w:sz w:val="24"/>
          <w:szCs w:val="24"/>
          <w:lang w:val="zh-CN"/>
          <w14:textFill>
            <w14:solidFill>
              <w14:schemeClr w14:val="tx1"/>
            </w14:solidFill>
          </w14:textFill>
        </w:rPr>
        <w:t xml:space="preserve">账号：0168200000000605 </w:t>
      </w:r>
    </w:p>
    <w:p w14:paraId="42EF01AD">
      <w:pPr>
        <w:widowControl/>
        <w:spacing w:line="360" w:lineRule="auto"/>
        <w:ind w:firstLine="480" w:firstLineChars="200"/>
        <w:rPr>
          <w:bCs/>
          <w:color w:val="000000" w:themeColor="text1"/>
          <w:sz w:val="24"/>
          <w:szCs w:val="24"/>
          <w:lang w:val="zh-CN"/>
          <w14:textFill>
            <w14:solidFill>
              <w14:schemeClr w14:val="tx1"/>
            </w14:solidFill>
          </w14:textFill>
        </w:rPr>
      </w:pPr>
      <w:r>
        <w:rPr>
          <w:rFonts w:hint="eastAsia"/>
          <w:bCs/>
          <w:color w:val="000000" w:themeColor="text1"/>
          <w:sz w:val="24"/>
          <w:szCs w:val="24"/>
          <w:lang w:val="zh-CN"/>
          <w14:textFill>
            <w14:solidFill>
              <w14:schemeClr w14:val="tx1"/>
            </w14:solidFill>
          </w14:textFill>
        </w:rPr>
        <w:t>汇款时需备注：SNZX-20260103保证金</w:t>
      </w:r>
    </w:p>
    <w:p w14:paraId="57DF97BF">
      <w:pPr>
        <w:widowControl/>
        <w:spacing w:line="360" w:lineRule="auto"/>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lang w:val="zh-CN"/>
          <w14:textFill>
            <w14:solidFill>
              <w14:schemeClr w14:val="tx1"/>
            </w14:solidFill>
          </w14:textFill>
        </w:rPr>
        <w:t>投标保证金应在投标截止时间前递交到南京苏宁工程咨询有限公司，</w:t>
      </w:r>
      <w:r>
        <w:rPr>
          <w:rFonts w:hint="eastAsia"/>
          <w:b/>
          <w:color w:val="000000" w:themeColor="text1"/>
          <w:sz w:val="24"/>
          <w:szCs w:val="24"/>
          <w14:textFill>
            <w14:solidFill>
              <w14:schemeClr w14:val="tx1"/>
            </w14:solidFill>
          </w14:textFill>
        </w:rPr>
        <w:t>并将投标保证金缴纳凭证复印件编入响应文件中。</w:t>
      </w:r>
    </w:p>
    <w:p w14:paraId="728FAA23">
      <w:pPr>
        <w:adjustRightInd w:val="0"/>
        <w:spacing w:line="360" w:lineRule="auto"/>
        <w:rPr>
          <w:rFonts w:ascii="Times New Roman" w:hAnsi="Times New Roman"/>
          <w:b/>
          <w:bCs/>
          <w:color w:val="000000" w:themeColor="text1"/>
          <w:sz w:val="28"/>
          <w:szCs w:val="28"/>
          <w14:textFill>
            <w14:solidFill>
              <w14:schemeClr w14:val="tx1"/>
            </w14:solidFill>
          </w14:textFill>
        </w:rPr>
      </w:pPr>
    </w:p>
    <w:p w14:paraId="202F3564">
      <w:pPr>
        <w:adjustRightInd w:val="0"/>
        <w:spacing w:line="360" w:lineRule="auto"/>
        <w:rPr>
          <w:rFonts w:ascii="Times New Roman" w:hAnsi="Times New Roman"/>
          <w:b/>
          <w:bCs/>
          <w:color w:val="000000" w:themeColor="text1"/>
          <w:sz w:val="28"/>
          <w:szCs w:val="28"/>
          <w14:textFill>
            <w14:solidFill>
              <w14:schemeClr w14:val="tx1"/>
            </w14:solidFill>
          </w14:textFill>
        </w:rPr>
      </w:pPr>
      <w:r>
        <w:rPr>
          <w:rFonts w:hint="eastAsia" w:ascii="Times New Roman" w:hAnsi="Times New Roman"/>
          <w:b/>
          <w:bCs/>
          <w:color w:val="000000" w:themeColor="text1"/>
          <w:sz w:val="28"/>
          <w:szCs w:val="28"/>
          <w14:textFill>
            <w14:solidFill>
              <w14:schemeClr w14:val="tx1"/>
            </w14:solidFill>
          </w14:textFill>
        </w:rPr>
        <w:t>特别说明：</w:t>
      </w:r>
    </w:p>
    <w:p w14:paraId="1778A598">
      <w:pPr>
        <w:spacing w:line="360" w:lineRule="auto"/>
        <w:rPr>
          <w:rFonts w:ascii="Times New Roman" w:hAnsi="Times New Roman"/>
          <w:b/>
          <w:bCs/>
          <w:color w:val="000000" w:themeColor="text1"/>
          <w:sz w:val="28"/>
          <w:szCs w:val="28"/>
          <w:lang w:val="zh-CN"/>
          <w14:textFill>
            <w14:solidFill>
              <w14:schemeClr w14:val="tx1"/>
            </w14:solidFill>
          </w14:textFill>
        </w:rPr>
      </w:pPr>
      <w:r>
        <w:rPr>
          <w:rFonts w:ascii="Times New Roman" w:hAnsi="Times New Roman"/>
          <w:b/>
          <w:bCs/>
          <w:color w:val="000000" w:themeColor="text1"/>
          <w:sz w:val="28"/>
          <w:szCs w:val="28"/>
          <w:lang w:val="zh-CN"/>
          <w14:textFill>
            <w14:solidFill>
              <w14:schemeClr w14:val="tx1"/>
            </w14:solidFill>
          </w14:textFill>
        </w:rPr>
        <w:t>本章所有要求投标人必须在</w:t>
      </w:r>
      <w:r>
        <w:rPr>
          <w:rFonts w:hint="eastAsia" w:ascii="Times New Roman" w:hAnsi="Times New Roman"/>
          <w:b/>
          <w:bCs/>
          <w:color w:val="000000" w:themeColor="text1"/>
          <w:sz w:val="28"/>
          <w:szCs w:val="28"/>
          <w:lang w:val="zh-CN"/>
          <w14:textFill>
            <w14:solidFill>
              <w14:schemeClr w14:val="tx1"/>
            </w14:solidFill>
          </w14:textFill>
        </w:rPr>
        <w:t>《技术条款偏离表》或《商务条款偏离表》</w:t>
      </w:r>
      <w:r>
        <w:rPr>
          <w:rFonts w:ascii="Times New Roman" w:hAnsi="Times New Roman"/>
          <w:b/>
          <w:bCs/>
          <w:color w:val="000000" w:themeColor="text1"/>
          <w:sz w:val="28"/>
          <w:szCs w:val="28"/>
          <w:lang w:val="zh-CN"/>
          <w14:textFill>
            <w14:solidFill>
              <w14:schemeClr w14:val="tx1"/>
            </w14:solidFill>
          </w14:textFill>
        </w:rPr>
        <w:t>中进行逐项应答，其中打★号项为实质性要求，不允许负偏离，否则作为无效文件。投标人所投产品所有功能必须能满足采购要求以及项目整体性能的实现。如有疑问请与采购人联系。</w:t>
      </w:r>
    </w:p>
    <w:p w14:paraId="6EAD9F69">
      <w:pPr>
        <w:pStyle w:val="6"/>
        <w:rPr>
          <w:color w:val="000000" w:themeColor="text1"/>
          <w14:textFill>
            <w14:solidFill>
              <w14:schemeClr w14:val="tx1"/>
            </w14:solidFill>
          </w14:textFill>
        </w:rPr>
        <w:sectPr>
          <w:pgSz w:w="11906" w:h="16838"/>
          <w:pgMar w:top="850" w:right="850" w:bottom="850" w:left="1418" w:header="340" w:footer="624" w:gutter="0"/>
          <w:cols w:space="720" w:num="1"/>
          <w:docGrid w:type="lines" w:linePitch="312" w:charSpace="0"/>
        </w:sectPr>
      </w:pPr>
    </w:p>
    <w:bookmarkEnd w:id="43"/>
    <w:p w14:paraId="5FDAC435">
      <w:pPr>
        <w:numPr>
          <w:ilvl w:val="0"/>
          <w:numId w:val="6"/>
        </w:numPr>
        <w:jc w:val="center"/>
        <w:outlineLvl w:val="0"/>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 xml:space="preserve"> </w:t>
      </w:r>
      <w:bookmarkStart w:id="50" w:name="_Toc27607"/>
      <w:r>
        <w:rPr>
          <w:rFonts w:hint="eastAsia"/>
          <w:color w:val="000000" w:themeColor="text1"/>
          <w:sz w:val="36"/>
          <w:szCs w:val="36"/>
          <w:lang w:val="zh-CN"/>
          <w14:textFill>
            <w14:solidFill>
              <w14:schemeClr w14:val="tx1"/>
            </w14:solidFill>
          </w14:textFill>
        </w:rPr>
        <w:t>合同主要条款及格式</w:t>
      </w:r>
      <w:bookmarkEnd w:id="50"/>
    </w:p>
    <w:p w14:paraId="085E88D6">
      <w:pPr>
        <w:autoSpaceDE/>
        <w:autoSpaceDN/>
        <w:snapToGrid w:val="0"/>
        <w:spacing w:before="120" w:beforeLines="50" w:after="120" w:afterLines="50" w:line="460" w:lineRule="exact"/>
        <w:jc w:val="center"/>
        <w:rPr>
          <w:b/>
          <w:bCs/>
          <w:color w:val="000000" w:themeColor="text1"/>
          <w:sz w:val="30"/>
          <w:szCs w:val="20"/>
          <w14:textFill>
            <w14:solidFill>
              <w14:schemeClr w14:val="tx1"/>
            </w14:solidFill>
          </w14:textFill>
        </w:rPr>
      </w:pPr>
      <w:r>
        <w:rPr>
          <w:rFonts w:hint="eastAsia"/>
          <w:b/>
          <w:color w:val="000000" w:themeColor="text1"/>
          <w:sz w:val="30"/>
          <w14:textFill>
            <w14:solidFill>
              <w14:schemeClr w14:val="tx1"/>
            </w14:solidFill>
          </w14:textFill>
        </w:rPr>
        <w:t>采购合同（货物）</w:t>
      </w:r>
    </w:p>
    <w:p w14:paraId="7B300969">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项目名称：                                       项目编号：</w:t>
      </w:r>
    </w:p>
    <w:p w14:paraId="11ED58C3">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甲方：（买方）_________</w:t>
      </w:r>
    </w:p>
    <w:p w14:paraId="5BE697FD">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乙方：（卖方）_________</w:t>
      </w:r>
    </w:p>
    <w:p w14:paraId="57042C67">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甲、乙双方根据</w:t>
      </w:r>
      <w:r>
        <w:rPr>
          <w:rFonts w:hint="eastAsia" w:hAnsi="宋体"/>
          <w:color w:val="000000" w:themeColor="text1"/>
          <w:sz w:val="24"/>
          <w:szCs w:val="24"/>
          <w:u w:val="single"/>
          <w14:textFill>
            <w14:solidFill>
              <w14:schemeClr w14:val="tx1"/>
            </w14:solidFill>
          </w14:textFill>
        </w:rPr>
        <w:t>中国药科大学江宁校区教学楼空调更换项目</w:t>
      </w:r>
      <w:r>
        <w:rPr>
          <w:rFonts w:hint="eastAsia" w:hAnsi="宋体"/>
          <w:color w:val="000000" w:themeColor="text1"/>
          <w:sz w:val="24"/>
          <w:szCs w:val="24"/>
          <w14:textFill>
            <w14:solidFill>
              <w14:schemeClr w14:val="tx1"/>
            </w14:solidFill>
          </w14:textFill>
        </w:rPr>
        <w:t>采购</w:t>
      </w:r>
      <w:r>
        <w:rPr>
          <w:rFonts w:hAnsi="宋体"/>
          <w:color w:val="000000" w:themeColor="text1"/>
          <w:sz w:val="24"/>
          <w:szCs w:val="24"/>
          <w14:textFill>
            <w14:solidFill>
              <w14:schemeClr w14:val="tx1"/>
            </w14:solidFill>
          </w14:textFill>
        </w:rPr>
        <w:t>的结果，签署本合同。</w:t>
      </w:r>
    </w:p>
    <w:p w14:paraId="6B4231E2">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一、货物内容</w:t>
      </w:r>
    </w:p>
    <w:p w14:paraId="57203380">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1.1 货物名称：</w:t>
      </w:r>
    </w:p>
    <w:p w14:paraId="3F2E31AB">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 </w:t>
      </w:r>
      <w:r>
        <w:rPr>
          <w:rFonts w:hint="eastAsia" w:hAnsi="宋体"/>
          <w:color w:val="000000" w:themeColor="text1"/>
          <w:sz w:val="24"/>
          <w:szCs w:val="24"/>
          <w14:textFill>
            <w14:solidFill>
              <w14:schemeClr w14:val="tx1"/>
            </w14:solidFill>
          </w14:textFill>
        </w:rPr>
        <w:t>品牌、</w:t>
      </w:r>
      <w:r>
        <w:rPr>
          <w:rFonts w:hAnsi="宋体"/>
          <w:color w:val="000000" w:themeColor="text1"/>
          <w:sz w:val="24"/>
          <w:szCs w:val="24"/>
          <w14:textFill>
            <w14:solidFill>
              <w14:schemeClr w14:val="tx1"/>
            </w14:solidFill>
          </w14:textFill>
        </w:rPr>
        <w:t>型号</w:t>
      </w:r>
      <w:r>
        <w:rPr>
          <w:rFonts w:hint="eastAsia" w:hAnsi="宋体"/>
          <w:color w:val="000000" w:themeColor="text1"/>
          <w:sz w:val="24"/>
          <w:szCs w:val="24"/>
          <w14:textFill>
            <w14:solidFill>
              <w14:schemeClr w14:val="tx1"/>
            </w14:solidFill>
          </w14:textFill>
        </w:rPr>
        <w:t>及</w:t>
      </w:r>
      <w:r>
        <w:rPr>
          <w:rFonts w:hAnsi="宋体"/>
          <w:color w:val="000000" w:themeColor="text1"/>
          <w:sz w:val="24"/>
          <w:szCs w:val="24"/>
          <w14:textFill>
            <w14:solidFill>
              <w14:schemeClr w14:val="tx1"/>
            </w14:solidFill>
          </w14:textFill>
        </w:rPr>
        <w:t>规格：</w:t>
      </w:r>
    </w:p>
    <w:p w14:paraId="4AFA7382">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1.3 数量（单位）：</w:t>
      </w:r>
    </w:p>
    <w:p w14:paraId="5E6D4310">
      <w:pPr>
        <w:pStyle w:val="26"/>
        <w:autoSpaceDE/>
        <w:autoSpaceDN/>
        <w:snapToGrid w:val="0"/>
        <w:spacing w:before="120" w:after="120" w:line="460" w:lineRule="exact"/>
        <w:rPr>
          <w:rFonts w:hAnsi="宋体" w:eastAsiaTheme="minorEastAsia"/>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1.4 产地：中国</w:t>
      </w:r>
    </w:p>
    <w:p w14:paraId="67B4C647">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二、合同金额</w:t>
      </w:r>
    </w:p>
    <w:p w14:paraId="6AE21A5A">
      <w:pPr>
        <w:autoSpaceDE/>
        <w:autoSpaceDN/>
        <w:spacing w:line="46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2.1 本合同金额为（大写）：_______________（__________元）人民币或其他币种。</w:t>
      </w:r>
    </w:p>
    <w:p w14:paraId="78006FB6">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2.2本项目按实结算，数量以实际发生为准，单价以投标时所报单价为准。</w:t>
      </w:r>
    </w:p>
    <w:p w14:paraId="3AA48362">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2.3乙方需充分了解现场情况，本次室内机安装费、本体调试费已包含在对应设备综合单价内，不另计取；合同价已包含系统调试费（包括但不限于调试周期不少于72小时，并提供调试报告，含所有内外机的联动运行、参数整定、故障排查；冷媒追加、气密性试验、平台联调等；集中计量控制系统、校内集中控制平台的联调等）；空调设备吊机上楼吊运费（包括但不限于吊机租赁、操作员、指挥工、设备楼层吊运、上楼就位、安全防护、成品保护等）；脚手措施费（包括但不限于本项目所有室内安装区域的脚手架搭拆，覆盖吊顶内安装、高吊顶作业、穿墙孔作业等所有需高空作业的区域等）；零星辅材（包含但不限于穿墙护圈、防火密封泥、中性耐候玻璃胶、生料带、绝缘胶布、螺丝、垫片等所有供应商认为需使用的零星辅材）；风机盘管检查接线；空调内、外机电线、电缆拆除（除拆除后设备、材料需堆放至采购人指定位置，含现场清理、成品保护，不含外运处置费用等）；旧管道拆除费（包含但不限于旧管道拆除费、拆除后设备、材料需堆放至采购人方指定位置，含现场清理、成品保护，不含外运处置费用）；安全文明施工费等，乙方需综合考虑，包含在投标报价中，旧设备、旧管线拆除后由采购人回收处置，乙方仅负责集中堆放至指定位置。</w:t>
      </w:r>
    </w:p>
    <w:p w14:paraId="5E90CFA2">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2.4合同价已包含空调设备、配套材料、安装、调试、拆除、恢复、税金等全部内容。除明确标注“不含”的项目外，所有单项价格均视为包含材料、人工、机械、辅材、管理费、利润及风险，包含但不限于：清单所列内容及为完成本项目而产生的所有有关费用，包含但不限于人员、设备、材料、安装调试、验收、售后服务、伴随配套服务等所有含税费用。同时，还应包含支付给员工的工资和国家强制缴纳的各种社会保障资金，按照验收规范要求应进行检测、检验、工程资料收集、整理等费用。以及乙方认为需要的其他费用等。</w:t>
      </w:r>
    </w:p>
    <w:p w14:paraId="4AAC6679">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2.5乙方已充分考虑吊装难度、楼层高度、吊顶内部空间、脚手架搭设条件、旧设备搬运路径等因素，自行承担未踏勘导致的风险；乙方的任何错漏、优惠、竞争性报价不得作为减轻责任、减少服务、增加收费、降低服务质量的理由。合同价除包含采购文件中列明的项目外还包括保障服务正常运行应当具有的物资和服务，对服务正常运行应当具有的物资和服务理解不一致的以甲方理解为准。</w:t>
      </w:r>
    </w:p>
    <w:p w14:paraId="0C197507">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2.6合同价包括按照验收规范要求应进行检测、检验、工程资料收集、整理等费用；合同价包括完成所有检测检验所需缴纳的费用。</w:t>
      </w:r>
    </w:p>
    <w:p w14:paraId="562AD386">
      <w:pPr>
        <w:spacing w:line="360" w:lineRule="auto"/>
        <w:ind w:firstLine="480" w:firstLineChars="200"/>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2.7乙方应充分考虑各类市场风险和政策性调整确定风险系数计入报价，中标后不作调整。</w:t>
      </w:r>
    </w:p>
    <w:p w14:paraId="0DA7F332">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三、技术资料</w:t>
      </w:r>
    </w:p>
    <w:p w14:paraId="226157CC">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3.1乙方应按</w:t>
      </w:r>
      <w:r>
        <w:rPr>
          <w:rFonts w:hint="eastAsia"/>
          <w:bCs/>
          <w:color w:val="000000" w:themeColor="text1"/>
          <w:sz w:val="24"/>
          <w14:textFill>
            <w14:solidFill>
              <w14:schemeClr w14:val="tx1"/>
            </w14:solidFill>
          </w14:textFill>
        </w:rPr>
        <w:t>约</w:t>
      </w:r>
      <w:r>
        <w:rPr>
          <w:bCs/>
          <w:color w:val="000000" w:themeColor="text1"/>
          <w:sz w:val="24"/>
          <w14:textFill>
            <w14:solidFill>
              <w14:schemeClr w14:val="tx1"/>
            </w14:solidFill>
          </w14:textFill>
        </w:rPr>
        <w:t>定的时间向甲方提供使用货物的有关技术资料</w:t>
      </w:r>
      <w:r>
        <w:rPr>
          <w:rFonts w:hint="eastAsia"/>
          <w:bCs/>
          <w:color w:val="000000" w:themeColor="text1"/>
          <w:sz w:val="24"/>
          <w14:textFill>
            <w14:solidFill>
              <w14:schemeClr w14:val="tx1"/>
            </w14:solidFill>
          </w14:textFill>
        </w:rPr>
        <w:t>，</w:t>
      </w:r>
      <w:r>
        <w:rPr>
          <w:rFonts w:hint="eastAsia"/>
          <w:color w:val="000000" w:themeColor="text1"/>
          <w:sz w:val="24"/>
          <w:szCs w:val="24"/>
          <w14:textFill>
            <w14:solidFill>
              <w14:schemeClr w14:val="tx1"/>
            </w14:solidFill>
          </w14:textFill>
        </w:rPr>
        <w:t>否则乙方按5000元/天向发包人支付违约金，当延误达到九天时，甲方有权要求乙方退场，并赔偿甲方一切损失。</w:t>
      </w:r>
    </w:p>
    <w:p w14:paraId="4961C507">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4590D27">
      <w:pPr>
        <w:autoSpaceDE/>
        <w:autoSpaceDN/>
        <w:spacing w:line="46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3.3设备安装、验收应遵循国家施工与验收标准、规范和行业地方标准要求，不局限于或高于上述标准、规范要求，如有最新按最新要求执行。</w:t>
      </w:r>
    </w:p>
    <w:p w14:paraId="096BFCB3">
      <w:pPr>
        <w:pStyle w:val="26"/>
        <w:autoSpaceDE/>
        <w:autoSpaceDN/>
        <w:snapToGrid w:val="0"/>
        <w:spacing w:before="120" w:after="120" w:line="460" w:lineRule="exact"/>
        <w:ind w:left="412" w:hanging="412" w:hangingChars="171"/>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四、知识产权</w:t>
      </w:r>
    </w:p>
    <w:p w14:paraId="15CE05EB">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4.1乙</w:t>
      </w:r>
      <w:r>
        <w:rPr>
          <w:rFonts w:hint="eastAsia"/>
          <w:bCs/>
          <w:color w:val="000000" w:themeColor="text1"/>
          <w:sz w:val="24"/>
          <w14:textFill>
            <w14:solidFill>
              <w14:schemeClr w14:val="tx1"/>
            </w14:solidFill>
          </w14:textFill>
        </w:rPr>
        <w:t>方应保证甲方在使用、接受本合同货物和服务或其任何一部分时不受第三方提出侵犯其专利权、版权、商标权和工业设计权等知识产权的起诉。一旦出现侵权，由乙方负全部责任。</w:t>
      </w:r>
    </w:p>
    <w:p w14:paraId="442C20D4">
      <w:pPr>
        <w:pStyle w:val="26"/>
        <w:autoSpaceDE/>
        <w:autoSpaceDN/>
        <w:snapToGrid w:val="0"/>
        <w:spacing w:before="120" w:after="120" w:line="460" w:lineRule="exact"/>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五、产权担保</w:t>
      </w:r>
    </w:p>
    <w:p w14:paraId="635B4972">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5.1 乙方保证所交付的货物的所有权完全属于乙方且无任何抵押、查封等产权瑕疵。</w:t>
      </w:r>
    </w:p>
    <w:p w14:paraId="7D2CEC58">
      <w:pPr>
        <w:pStyle w:val="26"/>
        <w:autoSpaceDE/>
        <w:autoSpaceDN/>
        <w:snapToGrid w:val="0"/>
        <w:spacing w:before="120" w:after="120" w:line="460" w:lineRule="exact"/>
        <w:ind w:left="410" w:hanging="410" w:hangingChars="17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六、履约保证金</w:t>
      </w:r>
    </w:p>
    <w:p w14:paraId="4E48DA5C">
      <w:pPr>
        <w:pStyle w:val="243"/>
        <w:shd w:val="clear" w:color="auto" w:fill="FFFFFF"/>
        <w:spacing w:before="0" w:beforeAutospacing="0" w:after="0" w:afterAutospacing="0" w:line="360" w:lineRule="auto"/>
        <w:ind w:firstLine="480" w:firstLineChars="200"/>
        <w:jc w:val="both"/>
        <w:rPr>
          <w:color w:val="000000" w:themeColor="text1"/>
          <w14:textFill>
            <w14:solidFill>
              <w14:schemeClr w14:val="tx1"/>
            </w14:solidFill>
          </w14:textFill>
        </w:rPr>
      </w:pPr>
      <w:r>
        <w:rPr>
          <w:rFonts w:hint="eastAsia"/>
          <w:bCs/>
          <w:color w:val="000000" w:themeColor="text1"/>
          <w14:textFill>
            <w14:solidFill>
              <w14:schemeClr w14:val="tx1"/>
            </w14:solidFill>
          </w14:textFill>
        </w:rPr>
        <w:t>6.1 乙方</w:t>
      </w:r>
      <w:r>
        <w:rPr>
          <w:rFonts w:hint="eastAsia"/>
          <w:color w:val="000000" w:themeColor="text1"/>
          <w14:textFill>
            <w14:solidFill>
              <w14:schemeClr w14:val="tx1"/>
            </w14:solidFill>
          </w14:textFill>
        </w:rPr>
        <w:t>在签订合同前需按合同金额的3%以银行本票、汇票、支票或电子汇款等形式缴纳履约保证金作为履约担保，履约保证金在质保期满后无息退还。</w:t>
      </w:r>
    </w:p>
    <w:p w14:paraId="5CA15611">
      <w:pPr>
        <w:autoSpaceDE/>
        <w:autoSpaceDN/>
        <w:snapToGrid w:val="0"/>
        <w:spacing w:before="120" w:beforeLines="50" w:after="120" w:afterLines="50" w:line="460" w:lineRule="exact"/>
        <w:rPr>
          <w:rFonts w:eastAsia="仿宋_GB2312"/>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七</w:t>
      </w:r>
      <w:r>
        <w:rPr>
          <w:b/>
          <w:color w:val="000000" w:themeColor="text1"/>
          <w:sz w:val="24"/>
          <w:szCs w:val="24"/>
          <w14:textFill>
            <w14:solidFill>
              <w14:schemeClr w14:val="tx1"/>
            </w14:solidFill>
          </w14:textFill>
        </w:rPr>
        <w:t>.</w:t>
      </w:r>
      <w:r>
        <w:rPr>
          <w:rFonts w:hint="eastAsia"/>
          <w:b/>
          <w:color w:val="000000" w:themeColor="text1"/>
          <w:sz w:val="24"/>
          <w:szCs w:val="24"/>
          <w14:textFill>
            <w14:solidFill>
              <w14:schemeClr w14:val="tx1"/>
            </w14:solidFill>
          </w14:textFill>
        </w:rPr>
        <w:t>转包或分包</w:t>
      </w:r>
    </w:p>
    <w:p w14:paraId="50F24962">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7.1</w:t>
      </w:r>
      <w:r>
        <w:rPr>
          <w:rFonts w:hint="eastAsia"/>
          <w:bCs/>
          <w:color w:val="000000" w:themeColor="text1"/>
          <w:sz w:val="24"/>
          <w14:textFill>
            <w14:solidFill>
              <w14:schemeClr w14:val="tx1"/>
            </w14:solidFill>
          </w14:textFill>
        </w:rPr>
        <w:t>本合同范围的货物，应由乙方直接供应，不得转让他人供应；</w:t>
      </w:r>
    </w:p>
    <w:p w14:paraId="6687C952">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7.2 </w:t>
      </w:r>
      <w:r>
        <w:rPr>
          <w:rFonts w:hint="eastAsia"/>
          <w:bCs/>
          <w:color w:val="000000" w:themeColor="text1"/>
          <w:sz w:val="24"/>
          <w14:textFill>
            <w14:solidFill>
              <w14:schemeClr w14:val="tx1"/>
            </w14:solidFill>
          </w14:textFill>
        </w:rPr>
        <w:t>除非得到甲方的书面同意，乙方不得部分分包给他人供应。</w:t>
      </w:r>
    </w:p>
    <w:p w14:paraId="579AE8D2">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7.3</w:t>
      </w:r>
      <w:r>
        <w:rPr>
          <w:rFonts w:hint="eastAsia"/>
          <w:bCs/>
          <w:color w:val="000000" w:themeColor="text1"/>
          <w:sz w:val="24"/>
          <w14:textFill>
            <w14:solidFill>
              <w14:schemeClr w14:val="tx1"/>
            </w14:solidFill>
          </w14:textFill>
        </w:rPr>
        <w:t>如有转让和未经甲方同意的分包行为，甲方有权给予终止合同。</w:t>
      </w:r>
    </w:p>
    <w:p w14:paraId="15E80428">
      <w:pPr>
        <w:pStyle w:val="26"/>
        <w:autoSpaceDE/>
        <w:autoSpaceDN/>
        <w:snapToGrid w:val="0"/>
        <w:spacing w:before="120" w:after="120" w:line="460" w:lineRule="exact"/>
        <w:rPr>
          <w:rFonts w:hAnsi="宋体"/>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八、质保期</w:t>
      </w:r>
    </w:p>
    <w:p w14:paraId="01465ED0">
      <w:pPr>
        <w:spacing w:line="360" w:lineRule="auto"/>
        <w:ind w:firstLine="480" w:firstLineChars="200"/>
        <w:rPr>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 xml:space="preserve">8.1 </w:t>
      </w:r>
      <w:r>
        <w:rPr>
          <w:rFonts w:hint="eastAsia"/>
          <w:color w:val="000000" w:themeColor="text1"/>
          <w:sz w:val="24"/>
          <w:szCs w:val="24"/>
          <w14:textFill>
            <w14:solidFill>
              <w14:schemeClr w14:val="tx1"/>
            </w14:solidFill>
          </w14:textFill>
        </w:rPr>
        <w:t>乙方应确保本次采购所有项目的安全稳定的运行，并提供整机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年的免费原厂质保服务（自验收合格之日起开始进入免费质保期）</w:t>
      </w:r>
    </w:p>
    <w:p w14:paraId="03E267C3">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九、交货期、交货方式及交货地点</w:t>
      </w:r>
    </w:p>
    <w:p w14:paraId="6FB8126C">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9.1 交货期：_________</w:t>
      </w:r>
    </w:p>
    <w:p w14:paraId="31EB477F">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9.2 交货方式：_________</w:t>
      </w:r>
    </w:p>
    <w:p w14:paraId="49C2ECCC">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9.3 交货地点：_________</w:t>
      </w:r>
    </w:p>
    <w:p w14:paraId="4F45EC8F">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9.4 按乙方的标准包装，但应考虑防漏、防潮、防震、防盗和可能会发生的野蛮装卸等内陆运输及多次装卸之需要。</w:t>
      </w:r>
    </w:p>
    <w:p w14:paraId="36BBD19B">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十、货款支付</w:t>
      </w:r>
    </w:p>
    <w:p w14:paraId="67804CCE">
      <w:pPr>
        <w:spacing w:line="36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10.1 付款方式</w:t>
      </w:r>
      <w:r>
        <w:rPr>
          <w:rFonts w:hint="eastAsia"/>
          <w:bCs/>
          <w:color w:val="000000" w:themeColor="text1"/>
          <w:sz w:val="24"/>
          <w14:textFill>
            <w14:solidFill>
              <w14:schemeClr w14:val="tx1"/>
            </w14:solidFill>
          </w14:textFill>
        </w:rPr>
        <w:t>：</w:t>
      </w:r>
    </w:p>
    <w:p w14:paraId="663A21F6">
      <w:pPr>
        <w:pStyle w:val="243"/>
        <w:shd w:val="clear" w:color="auto" w:fill="FFFFFF"/>
        <w:spacing w:before="0" w:beforeAutospacing="0" w:after="0" w:afterAutospacing="0" w:line="360" w:lineRule="auto"/>
        <w:ind w:firstLine="480" w:firstLineChars="200"/>
        <w:jc w:val="both"/>
        <w:rPr>
          <w:color w:val="000000" w:themeColor="text1"/>
          <w:lang w:val="zh-TW" w:eastAsia="zh-TW"/>
          <w14:textFill>
            <w14:solidFill>
              <w14:schemeClr w14:val="tx1"/>
            </w14:solidFill>
          </w14:textFill>
        </w:rPr>
      </w:pPr>
      <w:r>
        <w:rPr>
          <w:rFonts w:hint="eastAsia"/>
          <w:color w:val="000000" w:themeColor="text1"/>
          <w:lang w:val="zh-TW"/>
          <w14:textFill>
            <w14:solidFill>
              <w14:schemeClr w14:val="tx1"/>
            </w14:solidFill>
          </w14:textFill>
        </w:rPr>
        <w:t>（</w:t>
      </w:r>
      <w:r>
        <w:rPr>
          <w:rFonts w:hint="eastAsia"/>
          <w:color w:val="000000" w:themeColor="text1"/>
          <w14:textFill>
            <w14:solidFill>
              <w14:schemeClr w14:val="tx1"/>
            </w14:solidFill>
          </w14:textFill>
        </w:rPr>
        <w:t>1</w:t>
      </w:r>
      <w:r>
        <w:rPr>
          <w:rFonts w:hint="eastAsia"/>
          <w:color w:val="000000" w:themeColor="text1"/>
          <w:lang w:val="zh-TW"/>
          <w14:textFill>
            <w14:solidFill>
              <w14:schemeClr w14:val="tx1"/>
            </w14:solidFill>
          </w14:textFill>
        </w:rPr>
        <w:t>）</w:t>
      </w:r>
      <w:r>
        <w:rPr>
          <w:rFonts w:hint="eastAsia"/>
          <w:color w:val="000000" w:themeColor="text1"/>
          <w:lang w:val="zh-TW" w:eastAsia="zh-TW"/>
          <w14:textFill>
            <w14:solidFill>
              <w14:schemeClr w14:val="tx1"/>
            </w14:solidFill>
          </w14:textFill>
        </w:rPr>
        <w:t>合同签订货到后，全部安装完成，经竣工验收合格且收到付款申请后，付至合同价款的70%；</w:t>
      </w:r>
    </w:p>
    <w:p w14:paraId="49C8DAA0">
      <w:pPr>
        <w:pStyle w:val="243"/>
        <w:shd w:val="clear" w:color="auto" w:fill="FFFFFF"/>
        <w:spacing w:before="0" w:beforeAutospacing="0" w:after="0" w:afterAutospacing="0" w:line="360" w:lineRule="auto"/>
        <w:ind w:firstLine="480" w:firstLineChars="200"/>
        <w:jc w:val="both"/>
        <w:rPr>
          <w:color w:val="000000" w:themeColor="text1"/>
          <w:lang w:val="zh-TW" w:eastAsia="zh-TW"/>
          <w14:textFill>
            <w14:solidFill>
              <w14:schemeClr w14:val="tx1"/>
            </w14:solidFill>
          </w14:textFill>
        </w:rPr>
      </w:pPr>
      <w:r>
        <w:rPr>
          <w:rFonts w:hint="eastAsia"/>
          <w:color w:val="000000" w:themeColor="text1"/>
          <w:lang w:val="zh-TW" w:eastAsia="zh-TW"/>
          <w14:textFill>
            <w14:solidFill>
              <w14:schemeClr w14:val="tx1"/>
            </w14:solidFill>
          </w14:textFill>
        </w:rPr>
        <w:t>（</w:t>
      </w:r>
      <w:r>
        <w:rPr>
          <w:rFonts w:hint="eastAsia"/>
          <w:color w:val="000000" w:themeColor="text1"/>
          <w14:textFill>
            <w14:solidFill>
              <w14:schemeClr w14:val="tx1"/>
            </w14:solidFill>
          </w14:textFill>
        </w:rPr>
        <w:t>2</w:t>
      </w:r>
      <w:r>
        <w:rPr>
          <w:rFonts w:hint="eastAsia"/>
          <w:color w:val="000000" w:themeColor="text1"/>
          <w:lang w:val="zh-TW" w:eastAsia="zh-TW"/>
          <w14:textFill>
            <w14:solidFill>
              <w14:schemeClr w14:val="tx1"/>
            </w14:solidFill>
          </w14:textFill>
        </w:rPr>
        <w:t>）竣工结算经审计部门审计结束，</w:t>
      </w:r>
      <w:r>
        <w:rPr>
          <w:rFonts w:hint="eastAsia"/>
          <w:color w:val="000000" w:themeColor="text1"/>
          <w:lang w:val="zh-CN"/>
          <w14:textFill>
            <w14:solidFill>
              <w14:schemeClr w14:val="tx1"/>
            </w14:solidFill>
          </w14:textFill>
        </w:rPr>
        <w:t>卖方提交水电费、</w:t>
      </w:r>
      <w:r>
        <w:rPr>
          <w:rFonts w:hint="eastAsia"/>
          <w:color w:val="000000" w:themeColor="text1"/>
          <w14:textFill>
            <w14:solidFill>
              <w14:schemeClr w14:val="tx1"/>
            </w14:solidFill>
          </w14:textFill>
        </w:rPr>
        <w:t>违约金</w:t>
      </w:r>
      <w:r>
        <w:rPr>
          <w:rFonts w:hint="eastAsia"/>
          <w:color w:val="000000" w:themeColor="text1"/>
          <w:lang w:val="zh-CN"/>
          <w14:textFill>
            <w14:solidFill>
              <w14:schemeClr w14:val="tx1"/>
            </w14:solidFill>
          </w14:textFill>
        </w:rPr>
        <w:t>至买方账户，并按照要求提交所有竣工资料后，付至项目结算审定价款的</w:t>
      </w:r>
      <w:r>
        <w:rPr>
          <w:rFonts w:hint="eastAsia"/>
          <w:color w:val="000000" w:themeColor="text1"/>
          <w14:textFill>
            <w14:solidFill>
              <w14:schemeClr w14:val="tx1"/>
            </w14:solidFill>
          </w14:textFill>
        </w:rPr>
        <w:t>100</w:t>
      </w:r>
      <w:r>
        <w:rPr>
          <w:rFonts w:hint="eastAsia"/>
          <w:color w:val="000000" w:themeColor="text1"/>
          <w:lang w:val="zh-CN"/>
          <w14:textFill>
            <w14:solidFill>
              <w14:schemeClr w14:val="tx1"/>
            </w14:solidFill>
          </w14:textFill>
        </w:rPr>
        <w:t>%（卖方需开具审定价的全额发票）；</w:t>
      </w:r>
    </w:p>
    <w:p w14:paraId="25511941">
      <w:pPr>
        <w:pStyle w:val="243"/>
        <w:shd w:val="clear" w:color="auto" w:fill="FFFFFF"/>
        <w:spacing w:before="0" w:beforeAutospacing="0" w:after="0" w:afterAutospacing="0" w:line="360" w:lineRule="auto"/>
        <w:ind w:firstLine="480" w:firstLineChars="200"/>
        <w:jc w:val="both"/>
        <w:rPr>
          <w:color w:val="000000" w:themeColor="text1"/>
          <w:lang w:val="zh-TW" w:eastAsia="zh-TW"/>
          <w14:textFill>
            <w14:solidFill>
              <w14:schemeClr w14:val="tx1"/>
            </w14:solidFill>
          </w14:textFill>
        </w:rPr>
      </w:pPr>
      <w:r>
        <w:rPr>
          <w:rFonts w:hint="eastAsia"/>
          <w:color w:val="000000" w:themeColor="text1"/>
          <w:lang w:val="zh-TW" w:eastAsia="zh-TW"/>
          <w14:textFill>
            <w14:solidFill>
              <w14:schemeClr w14:val="tx1"/>
            </w14:solidFill>
          </w14:textFill>
        </w:rPr>
        <w:t>（</w:t>
      </w:r>
      <w:r>
        <w:rPr>
          <w:rFonts w:hint="eastAsia"/>
          <w:color w:val="000000" w:themeColor="text1"/>
          <w14:textFill>
            <w14:solidFill>
              <w14:schemeClr w14:val="tx1"/>
            </w14:solidFill>
          </w14:textFill>
        </w:rPr>
        <w:t>3</w:t>
      </w:r>
      <w:r>
        <w:rPr>
          <w:rFonts w:hint="eastAsia"/>
          <w:color w:val="000000" w:themeColor="text1"/>
          <w:lang w:val="zh-TW" w:eastAsia="zh-TW"/>
          <w14:textFill>
            <w14:solidFill>
              <w14:schemeClr w14:val="tx1"/>
            </w14:solidFill>
          </w14:textFill>
        </w:rPr>
        <w:t>）所有合同外增加的工作内容施工项目，一律不得作为进度款支付的计算基数，待竣工结算审计后方可进行价款结算。</w:t>
      </w:r>
    </w:p>
    <w:p w14:paraId="62B91AA6">
      <w:pPr>
        <w:pStyle w:val="243"/>
        <w:shd w:val="clear" w:color="auto" w:fill="FFFFFF"/>
        <w:spacing w:before="0" w:beforeAutospacing="0" w:after="0" w:afterAutospacing="0" w:line="360" w:lineRule="auto"/>
        <w:jc w:val="both"/>
        <w:rPr>
          <w:color w:val="000000" w:themeColor="text1"/>
          <w:lang w:val="zh-TW" w:eastAsia="zh-TW"/>
          <w14:textFill>
            <w14:solidFill>
              <w14:schemeClr w14:val="tx1"/>
            </w14:solidFill>
          </w14:textFill>
        </w:rPr>
      </w:pPr>
      <w:r>
        <w:rPr>
          <w:rFonts w:hint="eastAsia"/>
          <w:color w:val="000000" w:themeColor="text1"/>
          <w:lang w:val="zh-TW"/>
          <w14:textFill>
            <w14:solidFill>
              <w14:schemeClr w14:val="tx1"/>
            </w14:solidFill>
          </w14:textFill>
        </w:rPr>
        <w:t>（</w:t>
      </w:r>
      <w:r>
        <w:rPr>
          <w:rFonts w:hint="eastAsia"/>
          <w:color w:val="000000" w:themeColor="text1"/>
          <w14:textFill>
            <w14:solidFill>
              <w14:schemeClr w14:val="tx1"/>
            </w14:solidFill>
          </w14:textFill>
        </w:rPr>
        <w:t>4</w:t>
      </w:r>
      <w:r>
        <w:rPr>
          <w:rFonts w:hint="eastAsia"/>
          <w:color w:val="000000" w:themeColor="text1"/>
          <w:lang w:val="zh-TW"/>
          <w14:textFill>
            <w14:solidFill>
              <w14:schemeClr w14:val="tx1"/>
            </w14:solidFill>
          </w14:textFill>
        </w:rPr>
        <w:t>）</w:t>
      </w:r>
      <w:r>
        <w:rPr>
          <w:rFonts w:hint="eastAsia"/>
          <w:color w:val="000000" w:themeColor="text1"/>
          <w:lang w:val="zh-TW" w:eastAsia="zh-TW"/>
          <w14:textFill>
            <w14:solidFill>
              <w14:schemeClr w14:val="tx1"/>
            </w14:solidFill>
          </w14:textFill>
        </w:rPr>
        <w:t>每次付款均需提供有效增值税发票。</w:t>
      </w:r>
    </w:p>
    <w:p w14:paraId="0D8BB6FF">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注：水电费按工程审定额的千分之一点五计取。水电费在审定价款支付前，由成交供应商直接支付至采购人指定账户。</w:t>
      </w:r>
    </w:p>
    <w:p w14:paraId="17A2EC47">
      <w:pPr>
        <w:autoSpaceDE/>
        <w:autoSpaceDN/>
        <w:spacing w:line="360" w:lineRule="auto"/>
        <w:ind w:firstLine="480" w:firstLineChars="200"/>
        <w:rPr>
          <w:rFonts w:eastAsiaTheme="minor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10.2 </w:t>
      </w:r>
      <w:r>
        <w:rPr>
          <w:rFonts w:hint="eastAsia"/>
          <w:bCs/>
          <w:color w:val="000000" w:themeColor="text1"/>
          <w:sz w:val="24"/>
          <w:szCs w:val="24"/>
          <w14:textFill>
            <w14:solidFill>
              <w14:schemeClr w14:val="tx1"/>
            </w14:solidFill>
          </w14:textFill>
        </w:rPr>
        <w:t>乙方须开具增值税专用发票给予甲方。</w:t>
      </w:r>
    </w:p>
    <w:p w14:paraId="4A7B2545">
      <w:pPr>
        <w:autoSpaceDE/>
        <w:autoSpaceDN/>
        <w:spacing w:line="36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10.</w:t>
      </w:r>
      <w:r>
        <w:rPr>
          <w:rFonts w:hint="eastAsia"/>
          <w:bCs/>
          <w:color w:val="000000" w:themeColor="text1"/>
          <w:sz w:val="24"/>
          <w14:textFill>
            <w14:solidFill>
              <w14:schemeClr w14:val="tx1"/>
            </w14:solidFill>
          </w14:textFill>
        </w:rPr>
        <w:t>3</w:t>
      </w:r>
      <w:r>
        <w:rPr>
          <w:bCs/>
          <w:color w:val="000000" w:themeColor="text1"/>
          <w:sz w:val="24"/>
          <w14:textFill>
            <w14:solidFill>
              <w14:schemeClr w14:val="tx1"/>
            </w14:solidFill>
          </w14:textFill>
        </w:rPr>
        <w:t>当采购数量与实际使用数量不一致时，</w:t>
      </w:r>
      <w:r>
        <w:rPr>
          <w:rFonts w:hint="eastAsia"/>
          <w:bCs/>
          <w:color w:val="000000" w:themeColor="text1"/>
          <w:sz w:val="24"/>
          <w14:textFill>
            <w14:solidFill>
              <w14:schemeClr w14:val="tx1"/>
            </w14:solidFill>
          </w14:textFill>
        </w:rPr>
        <w:t>乙方</w:t>
      </w:r>
      <w:r>
        <w:rPr>
          <w:bCs/>
          <w:color w:val="000000" w:themeColor="text1"/>
          <w:sz w:val="24"/>
          <w14:textFill>
            <w14:solidFill>
              <w14:schemeClr w14:val="tx1"/>
            </w14:solidFill>
          </w14:textFill>
        </w:rPr>
        <w:t>应根据实际使用量供货，合同的最终结算金额按实际使用量乘以成交单价进行计算。</w:t>
      </w:r>
    </w:p>
    <w:p w14:paraId="71E71879">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10.4如乙方所报结算经审计后，若审减额(送审额与审定额之差)超过5% (含5%)时(包含图纸变更、材料核价、签证变更核价、合同外增加项目核价等一切中途变更审计内容)的审计费用全部由乙方支付，审计费的计取标准按照苏价服2014 (383)号文件中工程结算审核的计费标准计取（含基本收费和效益收费）并由乙方直接支付给结算审计咨询单位。结算过程中，审计部门通知乙方核对工程结算，承包人应主动积极配合结算审计工作，如发生不予配合的情况处以5000元/次违约金，</w:t>
      </w:r>
      <w:r>
        <w:rPr>
          <w:rFonts w:hint="eastAsia"/>
          <w:color w:val="000000" w:themeColor="text1"/>
          <w:sz w:val="24"/>
          <w14:textFill>
            <w14:solidFill>
              <w14:schemeClr w14:val="tx1"/>
            </w14:solidFill>
          </w14:textFill>
        </w:rPr>
        <w:t>延误报送结算资料</w:t>
      </w:r>
      <w:r>
        <w:rPr>
          <w:rFonts w:hint="eastAsia"/>
          <w:color w:val="000000" w:themeColor="text1"/>
          <w:sz w:val="24"/>
          <w:szCs w:val="24"/>
          <w14:textFill>
            <w14:solidFill>
              <w14:schemeClr w14:val="tx1"/>
            </w14:solidFill>
          </w14:textFill>
        </w:rPr>
        <w:t>处以3000元/次违约金。</w:t>
      </w:r>
    </w:p>
    <w:p w14:paraId="55E802FB">
      <w:pPr>
        <w:autoSpaceDE/>
        <w:autoSpaceDN/>
        <w:snapToGrid w:val="0"/>
        <w:spacing w:before="120" w:beforeLines="50" w:after="120" w:afterLines="50" w:line="46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十一、税费</w:t>
      </w:r>
    </w:p>
    <w:p w14:paraId="3B0944D9">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11.1</w:t>
      </w:r>
      <w:r>
        <w:rPr>
          <w:rFonts w:hint="eastAsia"/>
          <w:bCs/>
          <w:color w:val="000000" w:themeColor="text1"/>
          <w:sz w:val="24"/>
          <w14:textFill>
            <w14:solidFill>
              <w14:schemeClr w14:val="tx1"/>
            </w14:solidFill>
          </w14:textFill>
        </w:rPr>
        <w:t>本合同执行中相关的一切税费均由乙方负担。</w:t>
      </w:r>
    </w:p>
    <w:p w14:paraId="54EEF486">
      <w:pPr>
        <w:pStyle w:val="26"/>
        <w:autoSpaceDE/>
        <w:autoSpaceDN/>
        <w:snapToGrid w:val="0"/>
        <w:spacing w:before="120" w:after="120" w:line="460" w:lineRule="exact"/>
        <w:ind w:left="412" w:hanging="412" w:hangingChars="171"/>
        <w:rPr>
          <w:rFonts w:hAnsi="宋体"/>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十二、质量保证及售后服务</w:t>
      </w:r>
    </w:p>
    <w:p w14:paraId="4E9DBB91">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12.1 乙方应按</w:t>
      </w:r>
      <w:r>
        <w:rPr>
          <w:rFonts w:hint="eastAsia"/>
          <w:bCs/>
          <w:color w:val="000000" w:themeColor="text1"/>
          <w:sz w:val="24"/>
          <w14:textFill>
            <w14:solidFill>
              <w14:schemeClr w14:val="tx1"/>
            </w14:solidFill>
          </w14:textFill>
        </w:rPr>
        <w:t>约</w:t>
      </w:r>
      <w:r>
        <w:rPr>
          <w:bCs/>
          <w:color w:val="000000" w:themeColor="text1"/>
          <w:sz w:val="24"/>
          <w14:textFill>
            <w14:solidFill>
              <w14:schemeClr w14:val="tx1"/>
            </w14:solidFill>
          </w14:textFill>
        </w:rPr>
        <w:t>定的货物性能、技术要求、质量标准向甲方提供未经使用的全新产品。</w:t>
      </w:r>
    </w:p>
    <w:p w14:paraId="2D0E72C2">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12.2 乙方提供的货物在质量期内因货物本身的质量问题发生故障，乙方应负责免费更换。对达不到技术要求者，根据实际情况，经双方协商，可按以下办法处理：</w:t>
      </w:r>
    </w:p>
    <w:p w14:paraId="019028E7">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⑴更换：由乙方承担所发生的全部费用。</w:t>
      </w:r>
    </w:p>
    <w:p w14:paraId="757C9FB9">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⑵贬值处理：由甲乙双方合议定价。</w:t>
      </w:r>
    </w:p>
    <w:p w14:paraId="4571D9D3">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⑶退货处理：乙方应退还甲方支付的合同款，同时应承担该货物的直接费用（运输、保险、检验、货款利息及银行手续费等）。</w:t>
      </w:r>
    </w:p>
    <w:p w14:paraId="35A65DAE">
      <w:pPr>
        <w:spacing w:line="360" w:lineRule="auto"/>
        <w:ind w:firstLine="480" w:firstLineChars="200"/>
        <w:rPr>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 xml:space="preserve">12.3 </w:t>
      </w:r>
      <w:r>
        <w:rPr>
          <w:rFonts w:hint="eastAsia"/>
          <w:color w:val="000000" w:themeColor="text1"/>
          <w:sz w:val="24"/>
          <w:szCs w:val="24"/>
          <w14:textFill>
            <w14:solidFill>
              <w14:schemeClr w14:val="tx1"/>
            </w14:solidFill>
          </w14:textFill>
        </w:rPr>
        <w:t>质保期内，本合同项目所有技术和服务发生任何故障，由乙方负责维修处理。故障报修的响应时间为即时，小型故障恢复时间为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个小时内，严重故障恢复时间为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小时内，并及时有效地提供解决方案。</w:t>
      </w:r>
    </w:p>
    <w:p w14:paraId="7BE6FC3E">
      <w:pPr>
        <w:snapToGrid w:val="0"/>
        <w:spacing w:line="36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12.4 在质保期内，乙方应对货物出现的质量及安全问题负责处理解决并承担一切费用</w:t>
      </w:r>
      <w:r>
        <w:rPr>
          <w:rFonts w:hint="eastAsia"/>
          <w:bCs/>
          <w:color w:val="000000" w:themeColor="text1"/>
          <w:sz w:val="24"/>
          <w14:textFill>
            <w14:solidFill>
              <w14:schemeClr w14:val="tx1"/>
            </w14:solidFill>
          </w14:textFill>
        </w:rPr>
        <w:t>，</w:t>
      </w:r>
      <w:r>
        <w:rPr>
          <w:rFonts w:hint="eastAsia"/>
          <w:color w:val="000000" w:themeColor="text1"/>
          <w:sz w:val="24"/>
          <w:szCs w:val="24"/>
          <w14:textFill>
            <w14:solidFill>
              <w14:schemeClr w14:val="tx1"/>
            </w14:solidFill>
          </w14:textFill>
        </w:rPr>
        <w:t>所有的服务方式均为上门保修，即由乙方派员到使用现场进行故障恢复，由此产生的一切费用均由乙方承担</w:t>
      </w:r>
      <w:r>
        <w:rPr>
          <w:bCs/>
          <w:color w:val="000000" w:themeColor="text1"/>
          <w:sz w:val="24"/>
          <w14:textFill>
            <w14:solidFill>
              <w14:schemeClr w14:val="tx1"/>
            </w14:solidFill>
          </w14:textFill>
        </w:rPr>
        <w:t>。</w:t>
      </w:r>
    </w:p>
    <w:p w14:paraId="6EC1A0CF">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12.5乙方在</w:t>
      </w:r>
      <w:r>
        <w:rPr>
          <w:bCs/>
          <w:color w:val="000000" w:themeColor="text1"/>
          <w:sz w:val="24"/>
          <w14:textFill>
            <w14:solidFill>
              <w14:schemeClr w14:val="tx1"/>
            </w14:solidFill>
          </w14:textFill>
        </w:rPr>
        <w:t>质保期内</w:t>
      </w:r>
      <w:r>
        <w:rPr>
          <w:rFonts w:hint="eastAsia"/>
          <w:bCs/>
          <w:color w:val="000000" w:themeColor="text1"/>
          <w:sz w:val="24"/>
          <w14:textFill>
            <w14:solidFill>
              <w14:schemeClr w14:val="tx1"/>
            </w14:solidFill>
          </w14:textFill>
        </w:rPr>
        <w:t>未按合同约定进行质保期服务的，甲方有权要求乙方每次支付3万元违约金，并承担由此造成的一切损失。</w:t>
      </w:r>
    </w:p>
    <w:p w14:paraId="537DFCC0">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12.</w:t>
      </w:r>
      <w:r>
        <w:rPr>
          <w:rFonts w:hint="eastAsia"/>
          <w:bCs/>
          <w:color w:val="000000" w:themeColor="text1"/>
          <w:sz w:val="24"/>
          <w14:textFill>
            <w14:solidFill>
              <w14:schemeClr w14:val="tx1"/>
            </w14:solidFill>
          </w14:textFill>
        </w:rPr>
        <w:t>6</w:t>
      </w:r>
      <w:r>
        <w:rPr>
          <w:rFonts w:hint="eastAsia"/>
          <w:color w:val="000000" w:themeColor="text1"/>
          <w:sz w:val="24"/>
          <w:szCs w:val="24"/>
          <w14:textFill>
            <w14:solidFill>
              <w14:schemeClr w14:val="tx1"/>
            </w14:solidFill>
          </w14:textFill>
        </w:rPr>
        <w:t>质保期内，对甲方提出的合理服务要求，乙方必须即时进行电话支持，并在</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小时内到场服务。如不到场，甲方有权自行处理，相关费用由乙方负责。</w:t>
      </w:r>
      <w:r>
        <w:rPr>
          <w:bCs/>
          <w:color w:val="000000" w:themeColor="text1"/>
          <w:sz w:val="24"/>
          <w14:textFill>
            <w14:solidFill>
              <w14:schemeClr w14:val="tx1"/>
            </w14:solidFill>
          </w14:textFill>
        </w:rPr>
        <w:t>超过</w:t>
      </w:r>
      <w:r>
        <w:rPr>
          <w:rFonts w:hint="eastAsia"/>
          <w:bCs/>
          <w:color w:val="000000" w:themeColor="text1"/>
          <w:sz w:val="24"/>
          <w14:textFill>
            <w14:solidFill>
              <w14:schemeClr w14:val="tx1"/>
            </w14:solidFill>
          </w14:textFill>
        </w:rPr>
        <w:t>维保</w:t>
      </w:r>
      <w:r>
        <w:rPr>
          <w:bCs/>
          <w:color w:val="000000" w:themeColor="text1"/>
          <w:sz w:val="24"/>
          <w14:textFill>
            <w14:solidFill>
              <w14:schemeClr w14:val="tx1"/>
            </w14:solidFill>
          </w14:textFill>
        </w:rPr>
        <w:t>期的机器设备，终生维修，维修时只收部件成本费。</w:t>
      </w:r>
    </w:p>
    <w:p w14:paraId="2A7119CC">
      <w:pPr>
        <w:autoSpaceDE/>
        <w:autoSpaceDN/>
        <w:spacing w:line="460" w:lineRule="exact"/>
        <w:ind w:firstLine="480" w:firstLineChars="200"/>
        <w:rPr>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12.7</w:t>
      </w:r>
      <w:r>
        <w:rPr>
          <w:rFonts w:hint="eastAsia"/>
          <w:color w:val="000000" w:themeColor="text1"/>
          <w:sz w:val="24"/>
          <w:szCs w:val="24"/>
          <w14:textFill>
            <w14:solidFill>
              <w14:schemeClr w14:val="tx1"/>
            </w14:solidFill>
          </w14:textFill>
        </w:rPr>
        <w:t>乙方需提供定期回访服务。</w:t>
      </w:r>
    </w:p>
    <w:p w14:paraId="10DAA530">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十三、调试和验收</w:t>
      </w:r>
    </w:p>
    <w:p w14:paraId="0075D0E4">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13.1 甲方对乙方提交的货物依据</w:t>
      </w:r>
      <w:r>
        <w:rPr>
          <w:rFonts w:hint="eastAsia"/>
          <w:bCs/>
          <w:color w:val="000000" w:themeColor="text1"/>
          <w:sz w:val="24"/>
          <w14:textFill>
            <w14:solidFill>
              <w14:schemeClr w14:val="tx1"/>
            </w14:solidFill>
          </w14:textFill>
        </w:rPr>
        <w:t>约定</w:t>
      </w:r>
      <w:r>
        <w:rPr>
          <w:bCs/>
          <w:color w:val="000000" w:themeColor="text1"/>
          <w:sz w:val="24"/>
          <w14:textFill>
            <w14:solidFill>
              <w14:schemeClr w14:val="tx1"/>
            </w14:solidFill>
          </w14:textFill>
        </w:rPr>
        <w:t>的技术规格要求和国家有关质量标准进行现场初步验收，外观、说明书符合技术要求的，给予签收，初步验收不合格的不予签收。货到后，甲方需在五个工作日内验收。</w:t>
      </w:r>
    </w:p>
    <w:p w14:paraId="18AC5335">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13.2 乙方交货前应对产品作出全面检查和对验收文件进行整理，并列出清单，作为甲方收货验收和使用的技术条件依据，检验的结果应随货物交甲方。</w:t>
      </w:r>
    </w:p>
    <w:p w14:paraId="27AFA05D">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13.3 甲方对乙方提供的货物在使用前进行调试时，乙方需负责安装并培训甲方的使用操作人员，并协助甲方一起调试，直到符合技术要求，甲方才做最终验收。</w:t>
      </w:r>
    </w:p>
    <w:p w14:paraId="23BE8E2A">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13.4 对技术复杂的货物，甲方</w:t>
      </w:r>
      <w:r>
        <w:rPr>
          <w:rFonts w:hint="eastAsia"/>
          <w:bCs/>
          <w:color w:val="000000" w:themeColor="text1"/>
          <w:sz w:val="24"/>
          <w14:textFill>
            <w14:solidFill>
              <w14:schemeClr w14:val="tx1"/>
            </w14:solidFill>
          </w14:textFill>
        </w:rPr>
        <w:t>可</w:t>
      </w:r>
      <w:r>
        <w:rPr>
          <w:bCs/>
          <w:color w:val="000000" w:themeColor="text1"/>
          <w:sz w:val="24"/>
          <w14:textFill>
            <w14:solidFill>
              <w14:schemeClr w14:val="tx1"/>
            </w14:solidFill>
          </w14:textFill>
        </w:rPr>
        <w:t>请国家认可的专业检测机构参与初步验收及最终验收，并由其出具质量检测报告。</w:t>
      </w:r>
    </w:p>
    <w:p w14:paraId="4D9E16C6">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13.5 验收时乙方必须在现场，验收完毕后作出验收结果报告；验收费用由</w:t>
      </w:r>
      <w:r>
        <w:rPr>
          <w:rFonts w:hint="eastAsia"/>
          <w:bCs/>
          <w:color w:val="000000" w:themeColor="text1"/>
          <w:sz w:val="24"/>
          <w14:textFill>
            <w14:solidFill>
              <w14:schemeClr w14:val="tx1"/>
            </w14:solidFill>
          </w14:textFill>
        </w:rPr>
        <w:t>甲</w:t>
      </w:r>
      <w:r>
        <w:rPr>
          <w:bCs/>
          <w:color w:val="000000" w:themeColor="text1"/>
          <w:sz w:val="24"/>
          <w14:textFill>
            <w14:solidFill>
              <w14:schemeClr w14:val="tx1"/>
            </w14:solidFill>
          </w14:textFill>
        </w:rPr>
        <w:t>乙</w:t>
      </w:r>
      <w:r>
        <w:rPr>
          <w:rFonts w:hint="eastAsia"/>
          <w:bCs/>
          <w:color w:val="000000" w:themeColor="text1"/>
          <w:sz w:val="24"/>
          <w14:textFill>
            <w14:solidFill>
              <w14:schemeClr w14:val="tx1"/>
            </w14:solidFill>
          </w14:textFill>
        </w:rPr>
        <w:t>双</w:t>
      </w:r>
      <w:r>
        <w:rPr>
          <w:bCs/>
          <w:color w:val="000000" w:themeColor="text1"/>
          <w:sz w:val="24"/>
          <w14:textFill>
            <w14:solidFill>
              <w14:schemeClr w14:val="tx1"/>
            </w14:solidFill>
          </w14:textFill>
        </w:rPr>
        <w:t>方</w:t>
      </w:r>
      <w:r>
        <w:rPr>
          <w:rFonts w:hint="eastAsia"/>
          <w:bCs/>
          <w:color w:val="000000" w:themeColor="text1"/>
          <w:sz w:val="24"/>
          <w14:textFill>
            <w14:solidFill>
              <w14:schemeClr w14:val="tx1"/>
            </w14:solidFill>
          </w14:textFill>
        </w:rPr>
        <w:t>协商解决</w:t>
      </w:r>
      <w:r>
        <w:rPr>
          <w:bCs/>
          <w:color w:val="000000" w:themeColor="text1"/>
          <w:sz w:val="24"/>
          <w14:textFill>
            <w14:solidFill>
              <w14:schemeClr w14:val="tx1"/>
            </w14:solidFill>
          </w14:textFill>
        </w:rPr>
        <w:t>。</w:t>
      </w:r>
    </w:p>
    <w:p w14:paraId="0A49A8A8">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13.6乙方须具备满足本项目空调配套安装的专业能力及相关资质（若需）</w:t>
      </w:r>
    </w:p>
    <w:p w14:paraId="27C5F454">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13.7本项目需满足的其他要求：</w:t>
      </w:r>
    </w:p>
    <w:p w14:paraId="666ACC6E">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（1）原厂原包装未经使用的全新产品；</w:t>
      </w:r>
    </w:p>
    <w:p w14:paraId="0CAB4224">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（2）包装完好；</w:t>
      </w:r>
    </w:p>
    <w:p w14:paraId="07A249C9">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（3）设备外观无损；</w:t>
      </w:r>
    </w:p>
    <w:p w14:paraId="052D3EB8">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（4）调试后正常运行；</w:t>
      </w:r>
    </w:p>
    <w:p w14:paraId="01DCD307">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（5）电气线路应安装平整、牢固、横平竖直，过墙应有套管、导线连接必须牢固。</w:t>
      </w:r>
    </w:p>
    <w:p w14:paraId="73F0B523">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（6）各系统接线箱完整、盘内外清洁、箱盖，开关灵活、线路无绞接现象，各回路线编号齐全、完整、清晰、正确，接线整齐。</w:t>
      </w:r>
    </w:p>
    <w:p w14:paraId="60977F64">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（7）各设备接口接触良好，位置准确，外观完好，功能完好，控制准确迅速。</w:t>
      </w:r>
    </w:p>
    <w:p w14:paraId="06C3EF69">
      <w:pPr>
        <w:autoSpaceDE/>
        <w:autoSpaceDN/>
        <w:spacing w:line="460" w:lineRule="exact"/>
        <w:ind w:firstLine="480" w:firstLineChars="200"/>
        <w:rPr>
          <w:bCs/>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（8）各种设备功能完好，材料及配件进入施工现场应有清单、质量合格证明文件、国家法定质检机构的检验报告等文件；</w:t>
      </w:r>
      <w:r>
        <w:rPr>
          <w:bCs/>
          <w:color w:val="000000" w:themeColor="text1"/>
          <w:sz w:val="24"/>
          <w14:textFill>
            <w14:solidFill>
              <w14:schemeClr w14:val="tx1"/>
            </w14:solidFill>
          </w14:textFill>
        </w:rPr>
        <w:t>使用说明书、质量检验证明书、随配附件和工具以及清单</w:t>
      </w:r>
      <w:r>
        <w:rPr>
          <w:rFonts w:hint="eastAsia"/>
          <w:bCs/>
          <w:color w:val="000000" w:themeColor="text1"/>
          <w:sz w:val="24"/>
          <w14:textFill>
            <w14:solidFill>
              <w14:schemeClr w14:val="tx1"/>
            </w14:solidFill>
          </w14:textFill>
        </w:rPr>
        <w:t>（</w:t>
      </w:r>
      <w:r>
        <w:rPr>
          <w:rFonts w:hint="eastAsia"/>
          <w:color w:val="000000" w:themeColor="text1"/>
          <w:sz w:val="24"/>
          <w:szCs w:val="24"/>
          <w14:textFill>
            <w14:solidFill>
              <w14:schemeClr w14:val="tx1"/>
            </w14:solidFill>
          </w14:textFill>
        </w:rPr>
        <w:t>设备清单与采购文件一致</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一并附于货物内。</w:t>
      </w:r>
      <w:r>
        <w:rPr>
          <w:rFonts w:hint="eastAsia"/>
          <w:color w:val="000000" w:themeColor="text1"/>
          <w:sz w:val="24"/>
          <w:szCs w:val="24"/>
          <w14:textFill>
            <w14:solidFill>
              <w14:schemeClr w14:val="tx1"/>
            </w14:solidFill>
          </w14:textFill>
        </w:rPr>
        <w:t>管材的材质、规格、型号应符合招标文件的规定。</w:t>
      </w:r>
    </w:p>
    <w:p w14:paraId="019455CA">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（9）各系统硬件设备与软件匹配良好、运行正常。</w:t>
      </w:r>
    </w:p>
    <w:p w14:paraId="79CD67A2">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（10）各系统连接硬件符合招标要求，标记和号码清晰，性能标志设置正确。 </w:t>
      </w:r>
    </w:p>
    <w:p w14:paraId="02DF648E">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（11）交货前应对产品作出全面检查和对验收文件进行整理，并列出清单，作为甲方收货验收和使用的技术条件依据，检验的结果应随货物交甲方。</w:t>
      </w:r>
    </w:p>
    <w:p w14:paraId="21CFD64D">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（12）甲方对供应商提供的货物在使用前进行调试时，供应商需负责安装并培训甲方的使用操作人员，并协助甲方一起调试，直到符合技术要求，甲方才做最终验收。</w:t>
      </w:r>
    </w:p>
    <w:p w14:paraId="42F8D512">
      <w:pPr>
        <w:autoSpaceDE/>
        <w:autoSpaceDN/>
        <w:spacing w:line="460" w:lineRule="exact"/>
        <w:ind w:firstLine="480" w:firstLineChars="200"/>
        <w:rPr>
          <w:bCs/>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(13)供应商</w:t>
      </w:r>
      <w:r>
        <w:rPr>
          <w:bCs/>
          <w:color w:val="000000" w:themeColor="text1"/>
          <w:sz w:val="24"/>
          <w14:textFill>
            <w14:solidFill>
              <w14:schemeClr w14:val="tx1"/>
            </w14:solidFill>
          </w14:textFill>
        </w:rPr>
        <w:t>在货物发运手续办理完毕后24小时内或货到</w:t>
      </w:r>
      <w:r>
        <w:rPr>
          <w:rFonts w:hint="eastAsia"/>
          <w:bCs/>
          <w:color w:val="000000" w:themeColor="text1"/>
          <w:sz w:val="24"/>
          <w14:textFill>
            <w14:solidFill>
              <w14:schemeClr w14:val="tx1"/>
            </w14:solidFill>
          </w14:textFill>
        </w:rPr>
        <w:t>甲方</w:t>
      </w:r>
      <w:r>
        <w:rPr>
          <w:bCs/>
          <w:color w:val="000000" w:themeColor="text1"/>
          <w:sz w:val="24"/>
          <w14:textFill>
            <w14:solidFill>
              <w14:schemeClr w14:val="tx1"/>
            </w14:solidFill>
          </w14:textFill>
        </w:rPr>
        <w:t>48小时前通知</w:t>
      </w:r>
      <w:r>
        <w:rPr>
          <w:rFonts w:hint="eastAsia"/>
          <w:bCs/>
          <w:color w:val="000000" w:themeColor="text1"/>
          <w:sz w:val="24"/>
          <w14:textFill>
            <w14:solidFill>
              <w14:schemeClr w14:val="tx1"/>
            </w14:solidFill>
          </w14:textFill>
        </w:rPr>
        <w:t>甲方</w:t>
      </w:r>
      <w:r>
        <w:rPr>
          <w:bCs/>
          <w:color w:val="000000" w:themeColor="text1"/>
          <w:sz w:val="24"/>
          <w14:textFill>
            <w14:solidFill>
              <w14:schemeClr w14:val="tx1"/>
            </w14:solidFill>
          </w14:textFill>
        </w:rPr>
        <w:t>，以准备接货。</w:t>
      </w:r>
    </w:p>
    <w:p w14:paraId="7871D43A">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十四、货物包装、发运及运输</w:t>
      </w:r>
    </w:p>
    <w:p w14:paraId="2F2E4A3C">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14.1 乙方应在货物发运前对其进行满足运输距离、防潮、防震、防锈和防破损装卸等要求包装，以保证货物安全运达甲方指定地点。</w:t>
      </w:r>
    </w:p>
    <w:p w14:paraId="3EB91BFB">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14.2 使用说明书、质量检验证明书、随配附件和工具以及清单一并附于货物内。</w:t>
      </w:r>
    </w:p>
    <w:p w14:paraId="21B718DF">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14.3 乙方在货物发运手续办理完毕后24小时内或货到甲方48小时前通知甲方，以准备接货。</w:t>
      </w:r>
    </w:p>
    <w:p w14:paraId="726104F1">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14.4 货物在交付甲方前发生的风险均由乙方负责。</w:t>
      </w:r>
    </w:p>
    <w:p w14:paraId="73F1EB3C">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14.5 货物在规定的交付期限内由乙方送达甲方指定的地点视为交付，乙方同时需通知甲方货物已送达。</w:t>
      </w:r>
    </w:p>
    <w:p w14:paraId="765E6B5B">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十五、违约责任</w:t>
      </w:r>
    </w:p>
    <w:p w14:paraId="6104A98C">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15.1 甲方无正当理由拒收货物的，甲方向乙方偿付拒收货款总值的百分之五违约金。</w:t>
      </w:r>
    </w:p>
    <w:p w14:paraId="338D1C57">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15.</w:t>
      </w:r>
      <w:r>
        <w:rPr>
          <w:rFonts w:hint="eastAsia"/>
          <w:bCs/>
          <w:color w:val="000000" w:themeColor="text1"/>
          <w:sz w:val="24"/>
          <w14:textFill>
            <w14:solidFill>
              <w14:schemeClr w14:val="tx1"/>
            </w14:solidFill>
          </w14:textFill>
        </w:rPr>
        <w:t>2</w:t>
      </w:r>
      <w:r>
        <w:rPr>
          <w:bCs/>
          <w:color w:val="000000" w:themeColor="text1"/>
          <w:sz w:val="24"/>
          <w14:textFill>
            <w14:solidFill>
              <w14:schemeClr w14:val="tx1"/>
            </w14:solidFill>
          </w14:textFill>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1ECC6270">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15.</w:t>
      </w:r>
      <w:r>
        <w:rPr>
          <w:rFonts w:hint="eastAsia"/>
          <w:bCs/>
          <w:color w:val="000000" w:themeColor="text1"/>
          <w:sz w:val="24"/>
          <w14:textFill>
            <w14:solidFill>
              <w14:schemeClr w14:val="tx1"/>
            </w14:solidFill>
          </w14:textFill>
        </w:rPr>
        <w:t>3</w:t>
      </w:r>
      <w:r>
        <w:rPr>
          <w:bCs/>
          <w:color w:val="000000" w:themeColor="text1"/>
          <w:sz w:val="24"/>
          <w14:textFill>
            <w14:solidFill>
              <w14:schemeClr w14:val="tx1"/>
            </w14:solidFill>
          </w14:textFill>
        </w:rPr>
        <w:t xml:space="preserve"> 乙方所交的货物品种、型号、规格、技术参数、质量不符合合同规定标准的，甲方有权拒收该货物，乙方愿意更换货物但逾期交货的，按乙方逾期交货处理。乙方拒绝更换货物的，甲方可单方面解除合同。</w:t>
      </w:r>
    </w:p>
    <w:p w14:paraId="78B1EE69">
      <w:pPr>
        <w:autoSpaceDE/>
        <w:autoSpaceDN/>
        <w:spacing w:line="46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15.4如果发生因乙方安全措施不力造成的事故责任、或者其他工作失误，由此所产生的一切责任由乙方承担。</w:t>
      </w:r>
    </w:p>
    <w:p w14:paraId="1A9B9F7C">
      <w:pPr>
        <w:autoSpaceDE/>
        <w:autoSpaceDN/>
        <w:spacing w:line="46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15.5如因乙方投入人员过少原因，造成无法在承诺工期内完成服务，由此产生的一切责任由乙方承担，同时乙方需向甲方缴纳100%的履约保证金作为违约金。</w:t>
      </w:r>
    </w:p>
    <w:p w14:paraId="7EABA130">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15.6因产品质量问题发生争议的，应当邀请双方认可的第三方质量检测机构对产品质量进行鉴定。产品质量符合标准的，鉴定费由甲方承担；产品质量不符合标准的，鉴定费由乙方承担。并由过错方承担由此造成的一切损失。</w:t>
      </w:r>
    </w:p>
    <w:p w14:paraId="362F898C">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十六、不可抗力事件处理</w:t>
      </w:r>
    </w:p>
    <w:p w14:paraId="52AF2567">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16.1 在合同有效期内，任何一方因不可抗力事件导致不能履行合同，则合同履行期可延长，其延长期与不可抗力影响期相同。</w:t>
      </w:r>
    </w:p>
    <w:p w14:paraId="24411470">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16.2 不可抗力事件发生后，应立即通知对方，并寄送有关权威机构出具的证明。</w:t>
      </w:r>
    </w:p>
    <w:p w14:paraId="773EC1F3">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16.3 不可抗力事件延续120天以上，双方应通过友好协商，确定是否继续履行合同。</w:t>
      </w:r>
    </w:p>
    <w:p w14:paraId="2FA6A923">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十七、诉讼</w:t>
      </w:r>
    </w:p>
    <w:p w14:paraId="1498B68B">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17.1 双方在执行合同中所发生的一切争议，应通过协商解决。如协商不成，可向合同签订地法院起诉，合同签订地在此约定为南京市</w:t>
      </w:r>
      <w:r>
        <w:rPr>
          <w:rFonts w:hint="eastAsia"/>
          <w:bCs/>
          <w:color w:val="000000" w:themeColor="text1"/>
          <w:sz w:val="24"/>
          <w14:textFill>
            <w14:solidFill>
              <w14:schemeClr w14:val="tx1"/>
            </w14:solidFill>
          </w14:textFill>
        </w:rPr>
        <w:t>江宁区</w:t>
      </w:r>
      <w:r>
        <w:rPr>
          <w:bCs/>
          <w:color w:val="000000" w:themeColor="text1"/>
          <w:sz w:val="24"/>
          <w14:textFill>
            <w14:solidFill>
              <w14:schemeClr w14:val="tx1"/>
            </w14:solidFill>
          </w14:textFill>
        </w:rPr>
        <w:t>。</w:t>
      </w:r>
    </w:p>
    <w:p w14:paraId="37F0013F">
      <w:pPr>
        <w:pStyle w:val="26"/>
        <w:autoSpaceDE/>
        <w:autoSpaceDN/>
        <w:snapToGrid w:val="0"/>
        <w:spacing w:before="120" w:after="120" w:line="46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十八、合同生效及其它</w:t>
      </w:r>
    </w:p>
    <w:p w14:paraId="1980DC4A">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18.1 合同经双方法定代表人或授权委托代</w:t>
      </w:r>
      <w:r>
        <w:rPr>
          <w:rFonts w:hint="eastAsia"/>
          <w:bCs/>
          <w:color w:val="000000" w:themeColor="text1"/>
          <w:sz w:val="24"/>
          <w14:textFill>
            <w14:solidFill>
              <w14:schemeClr w14:val="tx1"/>
            </w14:solidFill>
          </w14:textFill>
        </w:rPr>
        <w:t>表</w:t>
      </w:r>
      <w:r>
        <w:rPr>
          <w:bCs/>
          <w:color w:val="000000" w:themeColor="text1"/>
          <w:sz w:val="24"/>
          <w14:textFill>
            <w14:solidFill>
              <w14:schemeClr w14:val="tx1"/>
            </w14:solidFill>
          </w14:textFill>
        </w:rPr>
        <w:t>人签字并</w:t>
      </w:r>
      <w:r>
        <w:rPr>
          <w:rFonts w:hint="eastAsia"/>
          <w:bCs/>
          <w:color w:val="000000" w:themeColor="text1"/>
          <w:sz w:val="24"/>
          <w14:textFill>
            <w14:solidFill>
              <w14:schemeClr w14:val="tx1"/>
            </w14:solidFill>
          </w14:textFill>
        </w:rPr>
        <w:t>盖章</w:t>
      </w:r>
      <w:r>
        <w:rPr>
          <w:bCs/>
          <w:color w:val="000000" w:themeColor="text1"/>
          <w:sz w:val="24"/>
          <w14:textFill>
            <w14:solidFill>
              <w14:schemeClr w14:val="tx1"/>
            </w14:solidFill>
          </w14:textFill>
        </w:rPr>
        <w:t>后生效。</w:t>
      </w:r>
    </w:p>
    <w:p w14:paraId="17C69C3F">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18.2本合同未尽事宜，遵照《</w:t>
      </w:r>
      <w:r>
        <w:rPr>
          <w:rFonts w:hint="eastAsia"/>
          <w:bCs/>
          <w:color w:val="000000" w:themeColor="text1"/>
          <w:sz w:val="24"/>
          <w14:textFill>
            <w14:solidFill>
              <w14:schemeClr w14:val="tx1"/>
            </w14:solidFill>
          </w14:textFill>
        </w:rPr>
        <w:t>中华人民共和国民法典</w:t>
      </w:r>
      <w:r>
        <w:rPr>
          <w:bCs/>
          <w:color w:val="000000" w:themeColor="text1"/>
          <w:sz w:val="24"/>
          <w14:textFill>
            <w14:solidFill>
              <w14:schemeClr w14:val="tx1"/>
            </w14:solidFill>
          </w14:textFill>
        </w:rPr>
        <w:t>》有关条文执行。</w:t>
      </w:r>
    </w:p>
    <w:p w14:paraId="725AF72E">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18.</w:t>
      </w:r>
      <w:r>
        <w:rPr>
          <w:rFonts w:hint="eastAsia"/>
          <w:bCs/>
          <w:color w:val="000000" w:themeColor="text1"/>
          <w:sz w:val="24"/>
          <w14:textFill>
            <w14:solidFill>
              <w14:schemeClr w14:val="tx1"/>
            </w14:solidFill>
          </w14:textFill>
        </w:rPr>
        <w:t>3</w:t>
      </w:r>
      <w:r>
        <w:rPr>
          <w:bCs/>
          <w:color w:val="000000" w:themeColor="text1"/>
          <w:sz w:val="24"/>
          <w14:textFill>
            <w14:solidFill>
              <w14:schemeClr w14:val="tx1"/>
            </w14:solidFill>
          </w14:textFill>
        </w:rPr>
        <w:t xml:space="preserve"> 本合同正本一式</w:t>
      </w:r>
      <w:r>
        <w:rPr>
          <w:rFonts w:hint="eastAsia"/>
          <w:bCs/>
          <w:color w:val="000000" w:themeColor="text1"/>
          <w:sz w:val="24"/>
          <w14:textFill>
            <w14:solidFill>
              <w14:schemeClr w14:val="tx1"/>
            </w14:solidFill>
          </w14:textFill>
        </w:rPr>
        <w:t>四</w:t>
      </w:r>
      <w:r>
        <w:rPr>
          <w:bCs/>
          <w:color w:val="000000" w:themeColor="text1"/>
          <w:sz w:val="24"/>
          <w14:textFill>
            <w14:solidFill>
              <w14:schemeClr w14:val="tx1"/>
            </w14:solidFill>
          </w14:textFill>
        </w:rPr>
        <w:t>份，具有同等法律效力，甲</w:t>
      </w:r>
      <w:r>
        <w:rPr>
          <w:rFonts w:hint="eastAsia"/>
          <w:bCs/>
          <w:color w:val="000000" w:themeColor="text1"/>
          <w:sz w:val="24"/>
          <w14:textFill>
            <w14:solidFill>
              <w14:schemeClr w14:val="tx1"/>
            </w14:solidFill>
          </w14:textFill>
        </w:rPr>
        <w:t>方、</w:t>
      </w:r>
      <w:r>
        <w:rPr>
          <w:bCs/>
          <w:color w:val="000000" w:themeColor="text1"/>
          <w:sz w:val="24"/>
          <w14:textFill>
            <w14:solidFill>
              <w14:schemeClr w14:val="tx1"/>
            </w14:solidFill>
          </w14:textFill>
        </w:rPr>
        <w:t>乙方各执</w:t>
      </w:r>
      <w:r>
        <w:rPr>
          <w:rFonts w:hint="eastAsia"/>
          <w:bCs/>
          <w:color w:val="000000" w:themeColor="text1"/>
          <w:sz w:val="24"/>
          <w14:textFill>
            <w14:solidFill>
              <w14:schemeClr w14:val="tx1"/>
            </w14:solidFill>
          </w14:textFill>
        </w:rPr>
        <w:t>两</w:t>
      </w:r>
      <w:r>
        <w:rPr>
          <w:bCs/>
          <w:color w:val="000000" w:themeColor="text1"/>
          <w:sz w:val="24"/>
          <w14:textFill>
            <w14:solidFill>
              <w14:schemeClr w14:val="tx1"/>
            </w14:solidFill>
          </w14:textFill>
        </w:rPr>
        <w:t>份。</w:t>
      </w:r>
    </w:p>
    <w:p w14:paraId="1F391BCE">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甲方：                          乙方： </w:t>
      </w:r>
    </w:p>
    <w:p w14:paraId="2F31B68B">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地址：                          地址： </w:t>
      </w:r>
    </w:p>
    <w:p w14:paraId="550E65DA">
      <w:pPr>
        <w:autoSpaceDE/>
        <w:autoSpaceDN/>
        <w:spacing w:line="46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法定代表人</w:t>
      </w:r>
      <w:r>
        <w:rPr>
          <w:rFonts w:hint="eastAsia"/>
          <w:bCs/>
          <w:color w:val="000000" w:themeColor="text1"/>
          <w:sz w:val="24"/>
          <w14:textFill>
            <w14:solidFill>
              <w14:schemeClr w14:val="tx1"/>
            </w14:solidFill>
          </w14:textFill>
        </w:rPr>
        <w:t>或授权代表</w:t>
      </w:r>
      <w:r>
        <w:rPr>
          <w:bCs/>
          <w:color w:val="000000" w:themeColor="text1"/>
          <w:sz w:val="24"/>
          <w14:textFill>
            <w14:solidFill>
              <w14:schemeClr w14:val="tx1"/>
            </w14:solidFill>
          </w14:textFill>
        </w:rPr>
        <w:t>：          法定代表人</w:t>
      </w:r>
      <w:r>
        <w:rPr>
          <w:rFonts w:hint="eastAsia"/>
          <w:bCs/>
          <w:color w:val="000000" w:themeColor="text1"/>
          <w:sz w:val="24"/>
          <w14:textFill>
            <w14:solidFill>
              <w14:schemeClr w14:val="tx1"/>
            </w14:solidFill>
          </w14:textFill>
        </w:rPr>
        <w:t>或授权代表</w:t>
      </w:r>
      <w:r>
        <w:rPr>
          <w:bCs/>
          <w:color w:val="000000" w:themeColor="text1"/>
          <w:sz w:val="24"/>
          <w14:textFill>
            <w14:solidFill>
              <w14:schemeClr w14:val="tx1"/>
            </w14:solidFill>
          </w14:textFill>
        </w:rPr>
        <w:t>：</w:t>
      </w:r>
    </w:p>
    <w:p w14:paraId="1F836784">
      <w:pPr>
        <w:autoSpaceDE/>
        <w:autoSpaceDN/>
        <w:spacing w:line="46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联系电话：                      联系电话：</w:t>
      </w:r>
    </w:p>
    <w:p w14:paraId="7A97B190">
      <w:pPr>
        <w:autoSpaceDE/>
        <w:autoSpaceDN/>
        <w:spacing w:line="460" w:lineRule="exact"/>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签订日期：      年  月  日</w:t>
      </w:r>
    </w:p>
    <w:p w14:paraId="2F5DD731">
      <w:pPr>
        <w:widowControl/>
        <w:rPr>
          <w:color w:val="000000" w:themeColor="text1"/>
          <w:sz w:val="24"/>
          <w:szCs w:val="24"/>
          <w14:textFill>
            <w14:solidFill>
              <w14:schemeClr w14:val="tx1"/>
            </w14:solidFill>
          </w14:textFill>
        </w:rPr>
      </w:pPr>
    </w:p>
    <w:p w14:paraId="543190BD">
      <w:pPr>
        <w:widowControl/>
        <w:rPr>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附件 1： 配置清单</w:t>
      </w:r>
    </w:p>
    <w:tbl>
      <w:tblPr>
        <w:tblStyle w:val="66"/>
        <w:tblW w:w="9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1348"/>
        <w:gridCol w:w="1348"/>
        <w:gridCol w:w="1494"/>
        <w:gridCol w:w="1203"/>
        <w:gridCol w:w="1348"/>
        <w:gridCol w:w="1348"/>
      </w:tblGrid>
      <w:tr w14:paraId="11DF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348" w:type="dxa"/>
            <w:vAlign w:val="center"/>
          </w:tcPr>
          <w:p w14:paraId="70E3097C">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序号</w:t>
            </w:r>
          </w:p>
        </w:tc>
        <w:tc>
          <w:tcPr>
            <w:tcW w:w="1348" w:type="dxa"/>
            <w:vAlign w:val="center"/>
          </w:tcPr>
          <w:p w14:paraId="762A0E1D">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货号</w:t>
            </w:r>
          </w:p>
        </w:tc>
        <w:tc>
          <w:tcPr>
            <w:tcW w:w="1348" w:type="dxa"/>
            <w:vAlign w:val="center"/>
          </w:tcPr>
          <w:p w14:paraId="6CCAE13D">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名称</w:t>
            </w:r>
          </w:p>
        </w:tc>
        <w:tc>
          <w:tcPr>
            <w:tcW w:w="1494" w:type="dxa"/>
            <w:vAlign w:val="center"/>
          </w:tcPr>
          <w:p w14:paraId="6F379800">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型号规格</w:t>
            </w:r>
          </w:p>
        </w:tc>
        <w:tc>
          <w:tcPr>
            <w:tcW w:w="1203" w:type="dxa"/>
            <w:vAlign w:val="center"/>
          </w:tcPr>
          <w:p w14:paraId="339ECEB5">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数量</w:t>
            </w:r>
          </w:p>
        </w:tc>
        <w:tc>
          <w:tcPr>
            <w:tcW w:w="1348" w:type="dxa"/>
            <w:vAlign w:val="center"/>
          </w:tcPr>
          <w:p w14:paraId="5E8A6E7B">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单位</w:t>
            </w:r>
          </w:p>
        </w:tc>
        <w:tc>
          <w:tcPr>
            <w:tcW w:w="1348" w:type="dxa"/>
            <w:vAlign w:val="center"/>
          </w:tcPr>
          <w:p w14:paraId="453AA08C">
            <w:pPr>
              <w:widowControl/>
              <w:jc w:val="center"/>
              <w:rPr>
                <w:b/>
                <w:color w:val="000000" w:themeColor="text1"/>
                <w:sz w:val="24"/>
                <w14:textFill>
                  <w14:solidFill>
                    <w14:schemeClr w14:val="tx1"/>
                  </w14:solidFill>
                </w14:textFill>
              </w:rPr>
            </w:pPr>
            <w:r>
              <w:rPr>
                <w:rFonts w:hint="eastAsia"/>
                <w:b/>
                <w:color w:val="000000" w:themeColor="text1"/>
                <w:sz w:val="24"/>
                <w:szCs w:val="24"/>
                <w14:textFill>
                  <w14:solidFill>
                    <w14:schemeClr w14:val="tx1"/>
                  </w14:solidFill>
                </w14:textFill>
              </w:rPr>
              <w:t>备注</w:t>
            </w:r>
          </w:p>
        </w:tc>
      </w:tr>
      <w:tr w14:paraId="22205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348" w:type="dxa"/>
          </w:tcPr>
          <w:p w14:paraId="360E3BBE">
            <w:pPr>
              <w:adjustRightInd w:val="0"/>
              <w:jc w:val="center"/>
              <w:rPr>
                <w:color w:val="000000" w:themeColor="text1"/>
                <w14:textFill>
                  <w14:solidFill>
                    <w14:schemeClr w14:val="tx1"/>
                  </w14:solidFill>
                </w14:textFill>
              </w:rPr>
            </w:pPr>
          </w:p>
        </w:tc>
        <w:tc>
          <w:tcPr>
            <w:tcW w:w="1348" w:type="dxa"/>
          </w:tcPr>
          <w:p w14:paraId="69CC9CF4">
            <w:pPr>
              <w:adjustRightInd w:val="0"/>
              <w:jc w:val="center"/>
              <w:rPr>
                <w:color w:val="000000" w:themeColor="text1"/>
                <w14:textFill>
                  <w14:solidFill>
                    <w14:schemeClr w14:val="tx1"/>
                  </w14:solidFill>
                </w14:textFill>
              </w:rPr>
            </w:pPr>
          </w:p>
        </w:tc>
        <w:tc>
          <w:tcPr>
            <w:tcW w:w="1348" w:type="dxa"/>
          </w:tcPr>
          <w:p w14:paraId="0A4DEFB1">
            <w:pPr>
              <w:adjustRightInd w:val="0"/>
              <w:jc w:val="center"/>
              <w:rPr>
                <w:color w:val="000000" w:themeColor="text1"/>
                <w14:textFill>
                  <w14:solidFill>
                    <w14:schemeClr w14:val="tx1"/>
                  </w14:solidFill>
                </w14:textFill>
              </w:rPr>
            </w:pPr>
          </w:p>
        </w:tc>
        <w:tc>
          <w:tcPr>
            <w:tcW w:w="1494" w:type="dxa"/>
          </w:tcPr>
          <w:p w14:paraId="7E6799EB">
            <w:pPr>
              <w:adjustRightInd w:val="0"/>
              <w:jc w:val="center"/>
              <w:rPr>
                <w:color w:val="000000" w:themeColor="text1"/>
                <w14:textFill>
                  <w14:solidFill>
                    <w14:schemeClr w14:val="tx1"/>
                  </w14:solidFill>
                </w14:textFill>
              </w:rPr>
            </w:pPr>
          </w:p>
        </w:tc>
        <w:tc>
          <w:tcPr>
            <w:tcW w:w="1203" w:type="dxa"/>
          </w:tcPr>
          <w:p w14:paraId="56314B87">
            <w:pPr>
              <w:adjustRightInd w:val="0"/>
              <w:jc w:val="center"/>
              <w:rPr>
                <w:color w:val="000000" w:themeColor="text1"/>
                <w14:textFill>
                  <w14:solidFill>
                    <w14:schemeClr w14:val="tx1"/>
                  </w14:solidFill>
                </w14:textFill>
              </w:rPr>
            </w:pPr>
          </w:p>
        </w:tc>
        <w:tc>
          <w:tcPr>
            <w:tcW w:w="1348" w:type="dxa"/>
          </w:tcPr>
          <w:p w14:paraId="390D0850">
            <w:pPr>
              <w:adjustRightInd w:val="0"/>
              <w:jc w:val="center"/>
              <w:rPr>
                <w:color w:val="000000" w:themeColor="text1"/>
                <w14:textFill>
                  <w14:solidFill>
                    <w14:schemeClr w14:val="tx1"/>
                  </w14:solidFill>
                </w14:textFill>
              </w:rPr>
            </w:pPr>
          </w:p>
        </w:tc>
        <w:tc>
          <w:tcPr>
            <w:tcW w:w="1348" w:type="dxa"/>
          </w:tcPr>
          <w:p w14:paraId="72CADC61">
            <w:pPr>
              <w:adjustRightInd w:val="0"/>
              <w:jc w:val="center"/>
              <w:rPr>
                <w:color w:val="000000" w:themeColor="text1"/>
                <w14:textFill>
                  <w14:solidFill>
                    <w14:schemeClr w14:val="tx1"/>
                  </w14:solidFill>
                </w14:textFill>
              </w:rPr>
            </w:pPr>
          </w:p>
        </w:tc>
      </w:tr>
      <w:tr w14:paraId="368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348" w:type="dxa"/>
          </w:tcPr>
          <w:p w14:paraId="75875D44">
            <w:pPr>
              <w:adjustRightInd w:val="0"/>
              <w:jc w:val="center"/>
              <w:rPr>
                <w:color w:val="000000" w:themeColor="text1"/>
                <w14:textFill>
                  <w14:solidFill>
                    <w14:schemeClr w14:val="tx1"/>
                  </w14:solidFill>
                </w14:textFill>
              </w:rPr>
            </w:pPr>
          </w:p>
        </w:tc>
        <w:tc>
          <w:tcPr>
            <w:tcW w:w="1348" w:type="dxa"/>
          </w:tcPr>
          <w:p w14:paraId="676616F1">
            <w:pPr>
              <w:adjustRightInd w:val="0"/>
              <w:jc w:val="center"/>
              <w:rPr>
                <w:color w:val="000000" w:themeColor="text1"/>
                <w14:textFill>
                  <w14:solidFill>
                    <w14:schemeClr w14:val="tx1"/>
                  </w14:solidFill>
                </w14:textFill>
              </w:rPr>
            </w:pPr>
          </w:p>
        </w:tc>
        <w:tc>
          <w:tcPr>
            <w:tcW w:w="1348" w:type="dxa"/>
          </w:tcPr>
          <w:p w14:paraId="3B5766AD">
            <w:pPr>
              <w:adjustRightInd w:val="0"/>
              <w:jc w:val="center"/>
              <w:rPr>
                <w:color w:val="000000" w:themeColor="text1"/>
                <w14:textFill>
                  <w14:solidFill>
                    <w14:schemeClr w14:val="tx1"/>
                  </w14:solidFill>
                </w14:textFill>
              </w:rPr>
            </w:pPr>
          </w:p>
        </w:tc>
        <w:tc>
          <w:tcPr>
            <w:tcW w:w="1494" w:type="dxa"/>
          </w:tcPr>
          <w:p w14:paraId="79F0DB4F">
            <w:pPr>
              <w:adjustRightInd w:val="0"/>
              <w:jc w:val="center"/>
              <w:rPr>
                <w:color w:val="000000" w:themeColor="text1"/>
                <w14:textFill>
                  <w14:solidFill>
                    <w14:schemeClr w14:val="tx1"/>
                  </w14:solidFill>
                </w14:textFill>
              </w:rPr>
            </w:pPr>
          </w:p>
        </w:tc>
        <w:tc>
          <w:tcPr>
            <w:tcW w:w="1203" w:type="dxa"/>
          </w:tcPr>
          <w:p w14:paraId="3F0D90C3">
            <w:pPr>
              <w:adjustRightInd w:val="0"/>
              <w:jc w:val="center"/>
              <w:rPr>
                <w:color w:val="000000" w:themeColor="text1"/>
                <w14:textFill>
                  <w14:solidFill>
                    <w14:schemeClr w14:val="tx1"/>
                  </w14:solidFill>
                </w14:textFill>
              </w:rPr>
            </w:pPr>
          </w:p>
        </w:tc>
        <w:tc>
          <w:tcPr>
            <w:tcW w:w="1348" w:type="dxa"/>
          </w:tcPr>
          <w:p w14:paraId="3B0562AD">
            <w:pPr>
              <w:adjustRightInd w:val="0"/>
              <w:jc w:val="center"/>
              <w:rPr>
                <w:color w:val="000000" w:themeColor="text1"/>
                <w14:textFill>
                  <w14:solidFill>
                    <w14:schemeClr w14:val="tx1"/>
                  </w14:solidFill>
                </w14:textFill>
              </w:rPr>
            </w:pPr>
          </w:p>
        </w:tc>
        <w:tc>
          <w:tcPr>
            <w:tcW w:w="1348" w:type="dxa"/>
          </w:tcPr>
          <w:p w14:paraId="4084EDC1">
            <w:pPr>
              <w:adjustRightInd w:val="0"/>
              <w:jc w:val="center"/>
              <w:rPr>
                <w:color w:val="000000" w:themeColor="text1"/>
                <w14:textFill>
                  <w14:solidFill>
                    <w14:schemeClr w14:val="tx1"/>
                  </w14:solidFill>
                </w14:textFill>
              </w:rPr>
            </w:pPr>
          </w:p>
        </w:tc>
      </w:tr>
    </w:tbl>
    <w:p w14:paraId="2F2BA633">
      <w:pP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说明：</w:t>
      </w:r>
      <w:r>
        <w:rPr>
          <w:rFonts w:hint="eastAsia" w:asciiTheme="minorEastAsia" w:hAnsiTheme="minorEastAsia" w:eastAsiaTheme="minorEastAsia"/>
          <w:color w:val="000000" w:themeColor="text1"/>
          <w:lang w:val="zh-CN"/>
          <w14:textFill>
            <w14:solidFill>
              <w14:schemeClr w14:val="tx1"/>
            </w14:solidFill>
          </w14:textFill>
        </w:rPr>
        <w:t>如果行数不够，请自行增加。</w:t>
      </w:r>
    </w:p>
    <w:p w14:paraId="19794EFE">
      <w:pPr>
        <w:widowControl/>
        <w:rPr>
          <w:color w:val="000000" w:themeColor="text1"/>
          <w14:textFill>
            <w14:solidFill>
              <w14:schemeClr w14:val="tx1"/>
            </w14:solidFill>
          </w14:textFill>
        </w:rPr>
      </w:pPr>
    </w:p>
    <w:p w14:paraId="1E4B6F7D">
      <w:pPr>
        <w:widowControl/>
        <w:rPr>
          <w:color w:val="000000" w:themeColor="text1"/>
          <w14:textFill>
            <w14:solidFill>
              <w14:schemeClr w14:val="tx1"/>
            </w14:solidFill>
          </w14:textFill>
        </w:rPr>
      </w:pPr>
    </w:p>
    <w:p w14:paraId="6CC79B8D">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r>
    </w:p>
    <w:p w14:paraId="43336A61">
      <w:pPr>
        <w:widowControl/>
        <w:rPr>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附件2:廉政协议书</w:t>
      </w:r>
    </w:p>
    <w:p w14:paraId="74755A6B">
      <w:pPr>
        <w:rPr>
          <w:color w:val="000000" w:themeColor="text1"/>
          <w14:textFill>
            <w14:solidFill>
              <w14:schemeClr w14:val="tx1"/>
            </w14:solidFill>
          </w14:textFill>
        </w:rPr>
      </w:pPr>
    </w:p>
    <w:p w14:paraId="5F5F6A02">
      <w:pPr>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廉</w:t>
      </w:r>
      <w:r>
        <w:rPr>
          <w:color w:val="000000" w:themeColor="text1"/>
          <w14:textFill>
            <w14:solidFill>
              <w14:schemeClr w14:val="tx1"/>
            </w14:solidFill>
          </w14:textFill>
        </w:rPr>
        <w:t xml:space="preserve"> 政 协 议 书</w:t>
      </w:r>
    </w:p>
    <w:p w14:paraId="35E3DFD3">
      <w:pPr>
        <w:widowControl/>
        <w:shd w:val="clear" w:color="auto" w:fill="FFFFFF"/>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color w:val="000000" w:themeColor="text1"/>
          <w:u w:val="single"/>
          <w14:textFill>
            <w14:solidFill>
              <w14:schemeClr w14:val="tx1"/>
            </w14:solidFill>
          </w14:textFill>
        </w:rPr>
        <w:t>中国药科大学江宁校区教学楼空调更换项目</w:t>
      </w:r>
      <w:r>
        <w:rPr>
          <w:rFonts w:hint="eastAsia"/>
          <w:color w:val="000000" w:themeColor="text1"/>
          <w14:textFill>
            <w14:solidFill>
              <w14:schemeClr w14:val="tx1"/>
            </w14:solidFill>
          </w14:textFill>
        </w:rPr>
        <w:t>的实施单位</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（以下称乙方）特订立如下廉政协议书。</w:t>
      </w:r>
    </w:p>
    <w:p w14:paraId="298F74A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第一条、甲乙双方约定</w:t>
      </w:r>
    </w:p>
    <w:p w14:paraId="5A2125C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l、甲乙双方应共同遵守国家和省、市以及行业主管部门关于加强工程建设管理及党风廉政建设的各项规定。</w:t>
      </w:r>
    </w:p>
    <w:p w14:paraId="793D8B3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2、甲乙双方应认真执行建设工程的合同文件,自觉按合同办事。</w:t>
      </w:r>
    </w:p>
    <w:p w14:paraId="6489C64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0C00313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4、甲乙双方应加强对本工程建设参加人员的廉政监督,建立和健全廉政制度,认真查处本方人员的违法违纪行为。</w:t>
      </w:r>
    </w:p>
    <w:p w14:paraId="20422F4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5、甲乙双方有对本方人员开展廉政告知、廉政教育和职业道德教育的义务。</w:t>
      </w:r>
    </w:p>
    <w:p w14:paraId="0138BAD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6、甲乙双方如发现对方在业务活动中有不廉洁行为,有及时提醒对方并督促其纠正的权利和义务。</w:t>
      </w:r>
    </w:p>
    <w:p w14:paraId="0E02D5E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第二条、甲方在廉政建设方面的责任</w:t>
      </w:r>
    </w:p>
    <w:p w14:paraId="61D2D0B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1、甲方及其工作人员不得以任何形式向乙方索要和收受回扣。</w:t>
      </w:r>
    </w:p>
    <w:p w14:paraId="0EA9764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2、甲方及其工作人员不得接受乙方的礼金、有价证券和贵重物品,不得在乙方报销任何应由个人支付的费用。</w:t>
      </w:r>
    </w:p>
    <w:p w14:paraId="45943D7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3、甲方工作人员不得参加可能对公正执行公务有影响的宴请、娱乐、休闲、旅游等活动。</w:t>
      </w:r>
    </w:p>
    <w:p w14:paraId="6ACB0E9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4、甲方及其工作人员不得要求或者接受乙方为其住房装修、婚丧嫁娶、家属子女的工作安排以及出国、出境等提供方便。</w:t>
      </w:r>
    </w:p>
    <w:p w14:paraId="5028BBB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5、甲方及其工作人员不得向乙方介绍家属、亲友从事与甲方工程有关的材料设备供应、工程分包等经济活动。</w:t>
      </w:r>
    </w:p>
    <w:p w14:paraId="13744FC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6、甲方工作人员不得在家里接待乙方有关工程事项的询访。</w:t>
      </w:r>
    </w:p>
    <w:p w14:paraId="72ED135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第三条、乙方在廉政建设方面的责任</w:t>
      </w:r>
    </w:p>
    <w:p w14:paraId="43BFFE1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1、乙方不得以任何理由向甲方及其工作人员赠送礼金、有价证券和贵重物品等。</w:t>
      </w:r>
    </w:p>
    <w:p w14:paraId="20A824D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2、乙方不得以任何名义为甲方及其工作人员报支应由个人支付的任何费用。</w:t>
      </w:r>
    </w:p>
    <w:p w14:paraId="42EA362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3、乙方不得以任何理由邀请甲方工作人员参加宴请、娱乐、休闲、旅游等活动。</w:t>
      </w:r>
    </w:p>
    <w:p w14:paraId="03A72AA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4、乙方不得为甲方单位和个人购置或提供通讯工具、交通工具、家电和高档办公用品或者为通讯工具充值。</w:t>
      </w:r>
    </w:p>
    <w:p w14:paraId="128680A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5、乙方人员不得到甲方人员家里询访有关工程建设事项。</w:t>
      </w:r>
    </w:p>
    <w:p w14:paraId="66E33A4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第四条、违约责任</w:t>
      </w:r>
    </w:p>
    <w:p w14:paraId="4C03B9B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1、甲方及其工作人员有违反本廉政协议书第一条和第二条的,按甲方单位的廉政建设规定处罚，同时汇报检察机关。</w:t>
      </w:r>
    </w:p>
    <w:p w14:paraId="6BA4653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1FB8981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第五条、中国药科大学廉政监督部门为中国药科大学纪检监察室，如出现廉政问题，由监督部门按相关法律法规进行处理。</w:t>
      </w:r>
    </w:p>
    <w:p w14:paraId="59291F7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第六条、本廉政协议书有效期为从甲乙双方签署之日起,到该工程项目竣工验收后止。</w:t>
      </w:r>
    </w:p>
    <w:p w14:paraId="2E288CF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第七条、本廉政协议书作为工程合同的附件,与工程承包合同具有同等的法律效力,经协议双方签署后立即生效。</w:t>
      </w:r>
    </w:p>
    <w:p w14:paraId="7A8B801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本协议书未尽事宜，参照国家相关法律规定及《中国药科大学基本建设和专项维修项目廉政建设管理细则》等。</w:t>
      </w:r>
    </w:p>
    <w:p w14:paraId="3C298BEB">
      <w:pPr>
        <w:tabs>
          <w:tab w:val="left" w:pos="4515"/>
        </w:tabs>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甲方单位：（盖章）            乙方单位：（盖章）</w:t>
      </w:r>
    </w:p>
    <w:p w14:paraId="25ACB59E">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                  法定代表人：</w:t>
      </w:r>
    </w:p>
    <w:p w14:paraId="11FAB6FF">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地址：                        地址：</w:t>
      </w:r>
    </w:p>
    <w:p w14:paraId="27198D21">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电话：                        电话：</w:t>
      </w:r>
    </w:p>
    <w:p w14:paraId="33FDA998">
      <w:pPr>
        <w:spacing w:line="360" w:lineRule="auto"/>
        <w:rPr>
          <w:rFonts w:cs="方正仿宋_GBK"/>
          <w:color w:val="000000" w:themeColor="text1"/>
          <w14:textFill>
            <w14:solidFill>
              <w14:schemeClr w14:val="tx1"/>
            </w14:solidFill>
          </w14:textFill>
        </w:rPr>
      </w:pPr>
      <w:r>
        <w:rPr>
          <w:rFonts w:hint="eastAsia"/>
          <w:color w:val="000000" w:themeColor="text1"/>
          <w14:textFill>
            <w14:solidFill>
              <w14:schemeClr w14:val="tx1"/>
            </w14:solidFill>
          </w14:textFill>
        </w:rPr>
        <w:t>签约日期：   年  月  日       签约日期：  年  月   日</w:t>
      </w:r>
      <w:r>
        <w:rPr>
          <w:rFonts w:hint="eastAsia" w:cs="方正仿宋_GBK"/>
          <w:color w:val="000000" w:themeColor="text1"/>
          <w14:textFill>
            <w14:solidFill>
              <w14:schemeClr w14:val="tx1"/>
            </w14:solidFill>
          </w14:textFill>
        </w:rPr>
        <w:t xml:space="preserve"> </w:t>
      </w:r>
    </w:p>
    <w:p w14:paraId="30F8120E">
      <w:pPr>
        <w:widowControl/>
        <w:rPr>
          <w:color w:val="000000" w:themeColor="text1"/>
          <w:sz w:val="24"/>
          <w:szCs w:val="24"/>
          <w14:textFill>
            <w14:solidFill>
              <w14:schemeClr w14:val="tx1"/>
            </w14:solidFill>
          </w14:textFill>
        </w:rPr>
        <w:sectPr>
          <w:headerReference r:id="rId7" w:type="default"/>
          <w:footerReference r:id="rId8" w:type="default"/>
          <w:endnotePr>
            <w:numFmt w:val="decimal"/>
          </w:endnotePr>
          <w:pgSz w:w="11906" w:h="16838"/>
          <w:pgMar w:top="850" w:right="850" w:bottom="850" w:left="1418" w:header="170" w:footer="720" w:gutter="0"/>
          <w:cols w:space="720" w:num="1"/>
        </w:sectPr>
      </w:pPr>
    </w:p>
    <w:p w14:paraId="72E4EC98">
      <w:pPr>
        <w:widowControl/>
        <w:rPr>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附件3： 中国药科大学校内施工安全生产责任承诺书</w:t>
      </w:r>
    </w:p>
    <w:p w14:paraId="100B6E0C">
      <w:pPr>
        <w:spacing w:line="360" w:lineRule="auto"/>
        <w:jc w:val="center"/>
        <w:rPr>
          <w:color w:val="000000" w:themeColor="text1"/>
          <w14:textFill>
            <w14:solidFill>
              <w14:schemeClr w14:val="tx1"/>
            </w14:solidFill>
          </w14:textFill>
        </w:rPr>
      </w:pPr>
      <w:bookmarkStart w:id="51" w:name="_Toc28510"/>
    </w:p>
    <w:p w14:paraId="0FE15C76">
      <w:pPr>
        <w:spacing w:line="360" w:lineRule="auto"/>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中国药科大学校内工程施工安全生产责任承诺书</w:t>
      </w:r>
    </w:p>
    <w:p w14:paraId="367DE0E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为认真贯彻</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安全第一、预防为主</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6BBC35A3">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、严格安全管理，认真组织落实施工方案中的施工安全技术措施，现场有安全标志、色标、警示牌，做到文明施工。</w:t>
      </w:r>
    </w:p>
    <w:p w14:paraId="0C92A51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5B6578F6">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5847EAA6">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、督促指导班组严格按工艺规程和安全操作，制止违章指挥和冒险作业的行为。</w:t>
      </w:r>
    </w:p>
    <w:p w14:paraId="05FA4005">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、对现场搭设的</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二架一网</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及安装的大型机械、电器设备（配合机管员）等安全防护装置，必须有技术交底的验收手续，方能使用。</w:t>
      </w:r>
    </w:p>
    <w:p w14:paraId="3FDD5391">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、对工地安全隐患，由中国药科大学保卫处所发出隐患通知书必须签字，并按通知限期整改。</w:t>
      </w:r>
    </w:p>
    <w:p w14:paraId="75F09709">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7</w:t>
      </w:r>
      <w:r>
        <w:rPr>
          <w:rFonts w:hint="eastAsia"/>
          <w:color w:val="000000" w:themeColor="text1"/>
          <w14:textFill>
            <w14:solidFill>
              <w14:schemeClr w14:val="tx1"/>
            </w14:solidFill>
          </w14:textFill>
        </w:rPr>
        <w:t>、施工中发生工伤事故，尤其重大伤亡事故、重大未遂事故，后果由乙方负责。</w:t>
      </w:r>
    </w:p>
    <w:p w14:paraId="477CC864">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8</w:t>
      </w:r>
      <w:r>
        <w:rPr>
          <w:rFonts w:hint="eastAsia"/>
          <w:color w:val="000000" w:themeColor="text1"/>
          <w14:textFill>
            <w14:solidFill>
              <w14:schemeClr w14:val="tx1"/>
            </w14:solidFill>
          </w14:textFill>
        </w:rPr>
        <w:t>、工地建立岗位责任制和防火措施，督促有关人员做好施工安全各项技术资料保存。</w:t>
      </w:r>
    </w:p>
    <w:p w14:paraId="20773348">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9</w:t>
      </w:r>
      <w:r>
        <w:rPr>
          <w:rFonts w:hint="eastAsia"/>
          <w:color w:val="000000" w:themeColor="text1"/>
          <w14:textFill>
            <w14:solidFill>
              <w14:schemeClr w14:val="tx1"/>
            </w14:solidFill>
          </w14:textFill>
        </w:rPr>
        <w:t>、按中国药科大学要求做好全体人员登记，并把人员登记册送交保卫处。</w:t>
      </w:r>
    </w:p>
    <w:p w14:paraId="64D3ED83">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10</w:t>
      </w:r>
      <w:r>
        <w:rPr>
          <w:rFonts w:hint="eastAsia"/>
          <w:color w:val="000000" w:themeColor="text1"/>
          <w14:textFill>
            <w14:solidFill>
              <w14:schemeClr w14:val="tx1"/>
            </w14:solidFill>
          </w14:textFill>
        </w:rPr>
        <w:t>、所有施工单位及人员必须遵守中国药科大学各项管理规定。</w:t>
      </w:r>
    </w:p>
    <w:p w14:paraId="046E5156">
      <w:pPr>
        <w:spacing w:line="360" w:lineRule="auto"/>
        <w:rPr>
          <w:color w:val="000000" w:themeColor="text1"/>
          <w14:textFill>
            <w14:solidFill>
              <w14:schemeClr w14:val="tx1"/>
            </w14:solidFill>
          </w14:textFill>
        </w:rPr>
      </w:pPr>
    </w:p>
    <w:p w14:paraId="22DDDA1A">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承诺单位：（公章）</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p>
    <w:p w14:paraId="0AA8724F">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承诺单位负责人：</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p>
    <w:p w14:paraId="1123BEC1">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年</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月    日</w:t>
      </w:r>
    </w:p>
    <w:p w14:paraId="75C7B756">
      <w:pPr>
        <w:widowControl/>
        <w:outlineLvl w:val="0"/>
        <w:rPr>
          <w:color w:val="000000" w:themeColor="text1"/>
          <w:sz w:val="24"/>
          <w:szCs w:val="24"/>
          <w14:textFill>
            <w14:solidFill>
              <w14:schemeClr w14:val="tx1"/>
            </w14:solidFill>
          </w14:textFill>
        </w:rPr>
        <w:sectPr>
          <w:endnotePr>
            <w:numFmt w:val="decimal"/>
          </w:endnotePr>
          <w:pgSz w:w="11906" w:h="16838"/>
          <w:pgMar w:top="850" w:right="850" w:bottom="850" w:left="1418" w:header="340" w:footer="720" w:gutter="0"/>
          <w:cols w:space="720" w:num="1"/>
        </w:sectPr>
      </w:pPr>
    </w:p>
    <w:p w14:paraId="24B57918">
      <w:pPr>
        <w:widowControl/>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附件 4： 中国药科大学校内文明施工承诺书</w:t>
      </w:r>
      <w:bookmarkEnd w:id="51"/>
    </w:p>
    <w:p w14:paraId="198E6DC6">
      <w:pPr>
        <w:spacing w:line="360" w:lineRule="auto"/>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中国药科大学校内工程文明施工承诺书</w:t>
      </w:r>
    </w:p>
    <w:p w14:paraId="645ED1D0">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0A01C9BE">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50065E42">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5F584E7A">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29199E84">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2E319CE0">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2AA8C420">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269A9E9F">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承诺单位： （公章） </w:t>
      </w:r>
    </w:p>
    <w:p w14:paraId="53EC52DE">
      <w:pPr>
        <w:pStyle w:val="487"/>
        <w:spacing w:after="120"/>
        <w:ind w:firstLine="600"/>
        <w:jc w:val="left"/>
        <w:rPr>
          <w:rFonts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承诺单位法定代表人（签字）：                 </w:t>
      </w:r>
    </w:p>
    <w:p w14:paraId="4CED1816">
      <w:pPr>
        <w:spacing w:line="360" w:lineRule="auto"/>
        <w:ind w:firstLine="420" w:firstLineChars="200"/>
        <w:rPr>
          <w:rFonts w:cs="仿宋_GB2312"/>
          <w:color w:val="000000" w:themeColor="text1"/>
          <w14:textFill>
            <w14:solidFill>
              <w14:schemeClr w14:val="tx1"/>
            </w14:solidFill>
          </w14:textFill>
        </w:rPr>
        <w:sectPr>
          <w:footerReference r:id="rId9" w:type="default"/>
          <w:pgSz w:w="11906" w:h="16838"/>
          <w:pgMar w:top="850" w:right="850" w:bottom="850" w:left="1417" w:header="340" w:footer="992" w:gutter="0"/>
          <w:cols w:space="720" w:num="1"/>
          <w:docGrid w:type="lines" w:linePitch="312" w:charSpace="0"/>
        </w:sectPr>
      </w:pPr>
      <w:r>
        <w:rPr>
          <w:rFonts w:hint="eastAsia" w:cs="仿宋_GB2312"/>
          <w:color w:val="000000" w:themeColor="text1"/>
          <w14:textFill>
            <w14:solidFill>
              <w14:schemeClr w14:val="tx1"/>
            </w14:solidFill>
          </w14:textFill>
        </w:rPr>
        <w:t>年   月    日</w:t>
      </w:r>
    </w:p>
    <w:p w14:paraId="6BD8D367">
      <w:pPr>
        <w:pStyle w:val="16"/>
        <w:rPr>
          <w:color w:val="000000" w:themeColor="text1"/>
          <w:sz w:val="36"/>
          <w:szCs w:val="36"/>
          <w:lang w:val="zh-CN"/>
          <w14:textFill>
            <w14:solidFill>
              <w14:schemeClr w14:val="tx1"/>
            </w14:solidFill>
          </w14:textFill>
        </w:rPr>
      </w:pPr>
    </w:p>
    <w:p w14:paraId="167EEE4D">
      <w:pPr>
        <w:jc w:val="center"/>
        <w:outlineLvl w:val="0"/>
        <w:rPr>
          <w:color w:val="000000" w:themeColor="text1"/>
          <w:sz w:val="36"/>
          <w:szCs w:val="36"/>
          <w:lang w:val="zh-CN"/>
          <w14:textFill>
            <w14:solidFill>
              <w14:schemeClr w14:val="tx1"/>
            </w14:solidFill>
          </w14:textFill>
        </w:rPr>
      </w:pPr>
      <w:bookmarkStart w:id="52" w:name="_Toc21979"/>
      <w:r>
        <w:rPr>
          <w:rFonts w:hint="eastAsia"/>
          <w:color w:val="000000" w:themeColor="text1"/>
          <w:sz w:val="36"/>
          <w:szCs w:val="36"/>
          <w:lang w:val="zh-CN"/>
          <w14:textFill>
            <w14:solidFill>
              <w14:schemeClr w14:val="tx1"/>
            </w14:solidFill>
          </w14:textFill>
        </w:rPr>
        <w:t>第六章 投标文件格式及附件</w:t>
      </w:r>
      <w:bookmarkEnd w:id="52"/>
    </w:p>
    <w:p w14:paraId="237D5B9C">
      <w:pPr>
        <w:adjustRightInd w:val="0"/>
        <w:spacing w:line="240" w:lineRule="atLeast"/>
        <w:ind w:left="560"/>
        <w:jc w:val="center"/>
        <w:rPr>
          <w:b/>
          <w:bCs/>
          <w:color w:val="000000" w:themeColor="text1"/>
          <w:sz w:val="36"/>
          <w:szCs w:val="36"/>
          <w:lang w:val="zh-CN"/>
          <w14:textFill>
            <w14:solidFill>
              <w14:schemeClr w14:val="tx1"/>
            </w14:solidFill>
          </w14:textFill>
        </w:rPr>
      </w:pPr>
    </w:p>
    <w:p w14:paraId="2FFEC08F">
      <w:pPr>
        <w:jc w:val="center"/>
        <w:rPr>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t>投  标  文  件</w:t>
      </w:r>
    </w:p>
    <w:p w14:paraId="18DE4C5C">
      <w:pPr>
        <w:ind w:firstLine="3708" w:firstLineChars="1026"/>
        <w:rPr>
          <w:b/>
          <w:color w:val="000000" w:themeColor="text1"/>
          <w:sz w:val="36"/>
          <w14:textFill>
            <w14:solidFill>
              <w14:schemeClr w14:val="tx1"/>
            </w14:solidFill>
          </w14:textFill>
        </w:rPr>
      </w:pPr>
    </w:p>
    <w:p w14:paraId="77E9AA97">
      <w:pPr>
        <w:jc w:val="center"/>
        <w:rPr>
          <w:b/>
          <w:color w:val="000000" w:themeColor="text1"/>
          <w:sz w:val="72"/>
          <w14:textFill>
            <w14:solidFill>
              <w14:schemeClr w14:val="tx1"/>
            </w14:solidFill>
          </w14:textFill>
        </w:rPr>
      </w:pPr>
    </w:p>
    <w:p w14:paraId="38C29079">
      <w:pPr>
        <w:jc w:val="center"/>
        <w:rPr>
          <w:b/>
          <w:color w:val="000000" w:themeColor="text1"/>
          <w:sz w:val="36"/>
          <w14:textFill>
            <w14:solidFill>
              <w14:schemeClr w14:val="tx1"/>
            </w14:solidFill>
          </w14:textFill>
        </w:rPr>
      </w:pPr>
    </w:p>
    <w:p w14:paraId="2EB30358">
      <w:pPr>
        <w:jc w:val="center"/>
        <w:rPr>
          <w:b/>
          <w:color w:val="000000" w:themeColor="text1"/>
          <w:sz w:val="36"/>
          <w14:textFill>
            <w14:solidFill>
              <w14:schemeClr w14:val="tx1"/>
            </w14:solidFill>
          </w14:textFill>
        </w:rPr>
      </w:pPr>
    </w:p>
    <w:p w14:paraId="3B136F35">
      <w:pPr>
        <w:jc w:val="center"/>
        <w:rPr>
          <w:b/>
          <w:color w:val="000000" w:themeColor="text1"/>
          <w:sz w:val="36"/>
          <w14:textFill>
            <w14:solidFill>
              <w14:schemeClr w14:val="tx1"/>
            </w14:solidFill>
          </w14:textFill>
        </w:rPr>
      </w:pPr>
    </w:p>
    <w:p w14:paraId="5B9ED96D">
      <w:pPr>
        <w:ind w:firstLine="1084" w:firstLineChars="300"/>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项 目 编号： </w:t>
      </w:r>
    </w:p>
    <w:p w14:paraId="6781D84B">
      <w:pPr>
        <w:ind w:firstLine="1084" w:firstLineChars="300"/>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项 目 名称： </w:t>
      </w:r>
    </w:p>
    <w:p w14:paraId="584CF6DF">
      <w:pPr>
        <w:ind w:firstLine="630" w:firstLineChars="300"/>
        <w:rPr>
          <w:b/>
          <w:color w:val="000000" w:themeColor="text1"/>
          <w:sz w:val="36"/>
          <w14:textFill>
            <w14:solidFill>
              <w14:schemeClr w14:val="tx1"/>
            </w14:solidFill>
          </w14:textFill>
        </w:rPr>
      </w:pPr>
      <w:r>
        <w:rPr>
          <w:rFonts w:hint="eastAsia"/>
          <w:color w:val="000000" w:themeColor="text1"/>
          <w14:textFill>
            <w14:solidFill>
              <w14:schemeClr w14:val="tx1"/>
            </w14:solidFill>
          </w14:textFill>
        </w:rPr>
        <w:t xml:space="preserve">   </w:t>
      </w:r>
    </w:p>
    <w:p w14:paraId="59CDE280">
      <w:pPr>
        <w:rPr>
          <w:b/>
          <w:color w:val="000000" w:themeColor="text1"/>
          <w:sz w:val="36"/>
          <w14:textFill>
            <w14:solidFill>
              <w14:schemeClr w14:val="tx1"/>
            </w14:solidFill>
          </w14:textFill>
        </w:rPr>
      </w:pPr>
    </w:p>
    <w:p w14:paraId="554D891C">
      <w:pPr>
        <w:rPr>
          <w:b/>
          <w:color w:val="000000" w:themeColor="text1"/>
          <w:sz w:val="36"/>
          <w14:textFill>
            <w14:solidFill>
              <w14:schemeClr w14:val="tx1"/>
            </w14:solidFill>
          </w14:textFill>
        </w:rPr>
      </w:pPr>
    </w:p>
    <w:p w14:paraId="7776A6F2">
      <w:pPr>
        <w:rPr>
          <w:b/>
          <w:color w:val="000000" w:themeColor="text1"/>
          <w:sz w:val="36"/>
          <w14:textFill>
            <w14:solidFill>
              <w14:schemeClr w14:val="tx1"/>
            </w14:solidFill>
          </w14:textFill>
        </w:rPr>
      </w:pPr>
    </w:p>
    <w:p w14:paraId="48A818E5">
      <w:pPr>
        <w:rPr>
          <w:b/>
          <w:color w:val="000000" w:themeColor="text1"/>
          <w:sz w:val="36"/>
          <w14:textFill>
            <w14:solidFill>
              <w14:schemeClr w14:val="tx1"/>
            </w14:solidFill>
          </w14:textFill>
        </w:rPr>
      </w:pPr>
    </w:p>
    <w:p w14:paraId="729FAA25">
      <w:pPr>
        <w:rPr>
          <w:b/>
          <w:color w:val="000000" w:themeColor="text1"/>
          <w:sz w:val="36"/>
          <w14:textFill>
            <w14:solidFill>
              <w14:schemeClr w14:val="tx1"/>
            </w14:solidFill>
          </w14:textFill>
        </w:rPr>
      </w:pPr>
    </w:p>
    <w:p w14:paraId="04566D7E">
      <w:pPr>
        <w:rPr>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投标人名称 ：</w:t>
      </w:r>
    </w:p>
    <w:p w14:paraId="7DFDE8BE">
      <w:pPr>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       日      期 ：</w:t>
      </w:r>
    </w:p>
    <w:p w14:paraId="0D778958">
      <w:pPr>
        <w:jc w:val="center"/>
        <w:rPr>
          <w:b/>
          <w:bCs/>
          <w:color w:val="000000" w:themeColor="text1"/>
          <w:sz w:val="44"/>
          <w14:textFill>
            <w14:solidFill>
              <w14:schemeClr w14:val="tx1"/>
            </w14:solidFill>
          </w14:textFill>
        </w:rPr>
      </w:pPr>
    </w:p>
    <w:p w14:paraId="411FBEF5">
      <w:pPr>
        <w:jc w:val="center"/>
        <w:rPr>
          <w:b/>
          <w:color w:val="000000" w:themeColor="text1"/>
          <w:sz w:val="30"/>
          <w:szCs w:val="30"/>
          <w14:textFill>
            <w14:solidFill>
              <w14:schemeClr w14:val="tx1"/>
            </w14:solidFill>
          </w14:textFill>
        </w:rPr>
      </w:pPr>
      <w:r>
        <w:rPr>
          <w:rFonts w:hint="eastAsia"/>
          <w:b/>
          <w:bCs/>
          <w:color w:val="000000" w:themeColor="text1"/>
          <w:sz w:val="36"/>
          <w14:textFill>
            <w14:solidFill>
              <w14:schemeClr w14:val="tx1"/>
            </w14:solidFill>
          </w14:textFill>
        </w:rPr>
        <w:br w:type="page"/>
      </w:r>
      <w:bookmarkStart w:id="53" w:name="_Toc405408732"/>
      <w:r>
        <w:rPr>
          <w:rFonts w:hint="eastAsia"/>
          <w:b/>
          <w:color w:val="000000" w:themeColor="text1"/>
          <w:sz w:val="30"/>
          <w:szCs w:val="30"/>
          <w14:textFill>
            <w14:solidFill>
              <w14:schemeClr w14:val="tx1"/>
            </w14:solidFill>
          </w14:textFill>
        </w:rPr>
        <w:t>评分索引表</w:t>
      </w:r>
    </w:p>
    <w:tbl>
      <w:tblPr>
        <w:tblStyle w:val="65"/>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38C5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670" w:type="dxa"/>
          </w:tcPr>
          <w:p w14:paraId="4F07C7C6">
            <w:pPr>
              <w:jc w:val="center"/>
              <w:rPr>
                <w:b/>
                <w:color w:val="000000" w:themeColor="text1"/>
                <w:lang w:bidi="en-US"/>
                <w14:textFill>
                  <w14:solidFill>
                    <w14:schemeClr w14:val="tx1"/>
                  </w14:solidFill>
                </w14:textFill>
              </w:rPr>
            </w:pPr>
            <w:r>
              <w:rPr>
                <w:rFonts w:hint="eastAsia"/>
                <w:b/>
                <w:color w:val="000000" w:themeColor="text1"/>
                <w:lang w:bidi="en-US"/>
                <w14:textFill>
                  <w14:solidFill>
                    <w14:schemeClr w14:val="tx1"/>
                  </w14:solidFill>
                </w14:textFill>
              </w:rPr>
              <w:t>评分项目</w:t>
            </w:r>
          </w:p>
        </w:tc>
        <w:tc>
          <w:tcPr>
            <w:tcW w:w="3570" w:type="dxa"/>
          </w:tcPr>
          <w:p w14:paraId="54855C86">
            <w:pPr>
              <w:jc w:val="center"/>
              <w:rPr>
                <w:b/>
                <w:color w:val="000000" w:themeColor="text1"/>
                <w:lang w:bidi="en-US"/>
                <w14:textFill>
                  <w14:solidFill>
                    <w14:schemeClr w14:val="tx1"/>
                  </w14:solidFill>
                </w14:textFill>
              </w:rPr>
            </w:pPr>
            <w:r>
              <w:rPr>
                <w:rFonts w:hint="eastAsia"/>
                <w:b/>
                <w:color w:val="000000" w:themeColor="text1"/>
                <w:lang w:bidi="en-US"/>
                <w14:textFill>
                  <w14:solidFill>
                    <w14:schemeClr w14:val="tx1"/>
                  </w14:solidFill>
                </w14:textFill>
              </w:rPr>
              <w:t>在投标文件中的页码位置</w:t>
            </w:r>
          </w:p>
        </w:tc>
      </w:tr>
      <w:tr w14:paraId="19E93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tcPr>
          <w:p w14:paraId="65314883">
            <w:pPr>
              <w:rPr>
                <w:b/>
                <w:color w:val="000000" w:themeColor="text1"/>
                <w:lang w:bidi="en-US"/>
                <w14:textFill>
                  <w14:solidFill>
                    <w14:schemeClr w14:val="tx1"/>
                  </w14:solidFill>
                </w14:textFill>
              </w:rPr>
            </w:pPr>
          </w:p>
        </w:tc>
        <w:tc>
          <w:tcPr>
            <w:tcW w:w="3570" w:type="dxa"/>
          </w:tcPr>
          <w:p w14:paraId="1AB147F7">
            <w:pPr>
              <w:rPr>
                <w:b/>
                <w:color w:val="000000" w:themeColor="text1"/>
                <w:lang w:bidi="en-US"/>
                <w14:textFill>
                  <w14:solidFill>
                    <w14:schemeClr w14:val="tx1"/>
                  </w14:solidFill>
                </w14:textFill>
              </w:rPr>
            </w:pPr>
          </w:p>
        </w:tc>
      </w:tr>
      <w:tr w14:paraId="2498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240" w:type="dxa"/>
            <w:gridSpan w:val="2"/>
          </w:tcPr>
          <w:p w14:paraId="1EFB2278">
            <w:pPr>
              <w:rPr>
                <w:b/>
                <w:color w:val="000000" w:themeColor="text1"/>
                <w:lang w:bidi="en-US"/>
                <w14:textFill>
                  <w14:solidFill>
                    <w14:schemeClr w14:val="tx1"/>
                  </w14:solidFill>
                </w14:textFill>
              </w:rPr>
            </w:pPr>
          </w:p>
        </w:tc>
      </w:tr>
      <w:tr w14:paraId="0349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670" w:type="dxa"/>
          </w:tcPr>
          <w:p w14:paraId="069BA9E8">
            <w:pPr>
              <w:rPr>
                <w:b/>
                <w:color w:val="000000" w:themeColor="text1"/>
                <w:lang w:bidi="en-US"/>
                <w14:textFill>
                  <w14:solidFill>
                    <w14:schemeClr w14:val="tx1"/>
                  </w14:solidFill>
                </w14:textFill>
              </w:rPr>
            </w:pPr>
          </w:p>
        </w:tc>
        <w:tc>
          <w:tcPr>
            <w:tcW w:w="3570" w:type="dxa"/>
          </w:tcPr>
          <w:p w14:paraId="442B2F14">
            <w:pPr>
              <w:rPr>
                <w:b/>
                <w:color w:val="000000" w:themeColor="text1"/>
                <w:lang w:bidi="en-US"/>
                <w14:textFill>
                  <w14:solidFill>
                    <w14:schemeClr w14:val="tx1"/>
                  </w14:solidFill>
                </w14:textFill>
              </w:rPr>
            </w:pPr>
          </w:p>
        </w:tc>
      </w:tr>
      <w:tr w14:paraId="4866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670" w:type="dxa"/>
          </w:tcPr>
          <w:p w14:paraId="04C14A4F">
            <w:pPr>
              <w:rPr>
                <w:b/>
                <w:color w:val="000000" w:themeColor="text1"/>
                <w:lang w:bidi="en-US"/>
                <w14:textFill>
                  <w14:solidFill>
                    <w14:schemeClr w14:val="tx1"/>
                  </w14:solidFill>
                </w14:textFill>
              </w:rPr>
            </w:pPr>
          </w:p>
        </w:tc>
        <w:tc>
          <w:tcPr>
            <w:tcW w:w="3570" w:type="dxa"/>
          </w:tcPr>
          <w:p w14:paraId="44E14F9D">
            <w:pPr>
              <w:rPr>
                <w:b/>
                <w:color w:val="000000" w:themeColor="text1"/>
                <w:lang w:bidi="en-US"/>
                <w14:textFill>
                  <w14:solidFill>
                    <w14:schemeClr w14:val="tx1"/>
                  </w14:solidFill>
                </w14:textFill>
              </w:rPr>
            </w:pPr>
          </w:p>
        </w:tc>
      </w:tr>
      <w:tr w14:paraId="4BC9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Pr>
          <w:p w14:paraId="1428D95D">
            <w:pPr>
              <w:rPr>
                <w:b/>
                <w:color w:val="000000" w:themeColor="text1"/>
                <w:lang w:bidi="en-US"/>
                <w14:textFill>
                  <w14:solidFill>
                    <w14:schemeClr w14:val="tx1"/>
                  </w14:solidFill>
                </w14:textFill>
              </w:rPr>
            </w:pPr>
          </w:p>
        </w:tc>
        <w:tc>
          <w:tcPr>
            <w:tcW w:w="3570" w:type="dxa"/>
          </w:tcPr>
          <w:p w14:paraId="730DC2C0">
            <w:pPr>
              <w:rPr>
                <w:b/>
                <w:color w:val="000000" w:themeColor="text1"/>
                <w:lang w:bidi="en-US"/>
                <w14:textFill>
                  <w14:solidFill>
                    <w14:schemeClr w14:val="tx1"/>
                  </w14:solidFill>
                </w14:textFill>
              </w:rPr>
            </w:pPr>
          </w:p>
        </w:tc>
      </w:tr>
      <w:tr w14:paraId="69C55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Pr>
          <w:p w14:paraId="6787BE71">
            <w:pPr>
              <w:rPr>
                <w:b/>
                <w:color w:val="000000" w:themeColor="text1"/>
                <w:lang w:bidi="en-US"/>
                <w14:textFill>
                  <w14:solidFill>
                    <w14:schemeClr w14:val="tx1"/>
                  </w14:solidFill>
                </w14:textFill>
              </w:rPr>
            </w:pPr>
          </w:p>
        </w:tc>
        <w:tc>
          <w:tcPr>
            <w:tcW w:w="3570" w:type="dxa"/>
          </w:tcPr>
          <w:p w14:paraId="56B115F7">
            <w:pPr>
              <w:rPr>
                <w:b/>
                <w:color w:val="000000" w:themeColor="text1"/>
                <w:lang w:bidi="en-US"/>
                <w14:textFill>
                  <w14:solidFill>
                    <w14:schemeClr w14:val="tx1"/>
                  </w14:solidFill>
                </w14:textFill>
              </w:rPr>
            </w:pPr>
          </w:p>
        </w:tc>
      </w:tr>
      <w:tr w14:paraId="3342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5670" w:type="dxa"/>
          </w:tcPr>
          <w:p w14:paraId="50055213">
            <w:pPr>
              <w:rPr>
                <w:b/>
                <w:color w:val="000000" w:themeColor="text1"/>
                <w:lang w:bidi="en-US"/>
                <w14:textFill>
                  <w14:solidFill>
                    <w14:schemeClr w14:val="tx1"/>
                  </w14:solidFill>
                </w14:textFill>
              </w:rPr>
            </w:pPr>
          </w:p>
        </w:tc>
        <w:tc>
          <w:tcPr>
            <w:tcW w:w="3570" w:type="dxa"/>
          </w:tcPr>
          <w:p w14:paraId="75F6FFAB">
            <w:pPr>
              <w:rPr>
                <w:b/>
                <w:color w:val="000000" w:themeColor="text1"/>
                <w:lang w:bidi="en-US"/>
                <w14:textFill>
                  <w14:solidFill>
                    <w14:schemeClr w14:val="tx1"/>
                  </w14:solidFill>
                </w14:textFill>
              </w:rPr>
            </w:pPr>
          </w:p>
        </w:tc>
      </w:tr>
      <w:tr w14:paraId="036D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240" w:type="dxa"/>
            <w:gridSpan w:val="2"/>
          </w:tcPr>
          <w:p w14:paraId="2E4579AC">
            <w:pPr>
              <w:rPr>
                <w:b/>
                <w:color w:val="000000" w:themeColor="text1"/>
                <w:lang w:bidi="en-US"/>
                <w14:textFill>
                  <w14:solidFill>
                    <w14:schemeClr w14:val="tx1"/>
                  </w14:solidFill>
                </w14:textFill>
              </w:rPr>
            </w:pPr>
          </w:p>
        </w:tc>
      </w:tr>
      <w:tr w14:paraId="284E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5670" w:type="dxa"/>
          </w:tcPr>
          <w:p w14:paraId="6B0ECDC5">
            <w:pPr>
              <w:rPr>
                <w:b/>
                <w:color w:val="000000" w:themeColor="text1"/>
                <w:lang w:bidi="en-US"/>
                <w14:textFill>
                  <w14:solidFill>
                    <w14:schemeClr w14:val="tx1"/>
                  </w14:solidFill>
                </w14:textFill>
              </w:rPr>
            </w:pPr>
          </w:p>
        </w:tc>
        <w:tc>
          <w:tcPr>
            <w:tcW w:w="3570" w:type="dxa"/>
          </w:tcPr>
          <w:p w14:paraId="3B691B1A">
            <w:pPr>
              <w:rPr>
                <w:b/>
                <w:color w:val="000000" w:themeColor="text1"/>
                <w:lang w:bidi="en-US"/>
                <w14:textFill>
                  <w14:solidFill>
                    <w14:schemeClr w14:val="tx1"/>
                  </w14:solidFill>
                </w14:textFill>
              </w:rPr>
            </w:pPr>
          </w:p>
        </w:tc>
      </w:tr>
      <w:tr w14:paraId="7F50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670" w:type="dxa"/>
          </w:tcPr>
          <w:p w14:paraId="1E20BA0C">
            <w:pPr>
              <w:rPr>
                <w:b/>
                <w:color w:val="000000" w:themeColor="text1"/>
                <w:lang w:bidi="en-US"/>
                <w14:textFill>
                  <w14:solidFill>
                    <w14:schemeClr w14:val="tx1"/>
                  </w14:solidFill>
                </w14:textFill>
              </w:rPr>
            </w:pPr>
          </w:p>
        </w:tc>
        <w:tc>
          <w:tcPr>
            <w:tcW w:w="3570" w:type="dxa"/>
          </w:tcPr>
          <w:p w14:paraId="1E2E5973">
            <w:pPr>
              <w:rPr>
                <w:b/>
                <w:color w:val="000000" w:themeColor="text1"/>
                <w:lang w:bidi="en-US"/>
                <w14:textFill>
                  <w14:solidFill>
                    <w14:schemeClr w14:val="tx1"/>
                  </w14:solidFill>
                </w14:textFill>
              </w:rPr>
            </w:pPr>
          </w:p>
        </w:tc>
      </w:tr>
      <w:tr w14:paraId="6EA95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70" w:type="dxa"/>
          </w:tcPr>
          <w:p w14:paraId="7C6AF944">
            <w:pPr>
              <w:rPr>
                <w:b/>
                <w:color w:val="000000" w:themeColor="text1"/>
                <w:lang w:bidi="en-US"/>
                <w14:textFill>
                  <w14:solidFill>
                    <w14:schemeClr w14:val="tx1"/>
                  </w14:solidFill>
                </w14:textFill>
              </w:rPr>
            </w:pPr>
          </w:p>
        </w:tc>
        <w:tc>
          <w:tcPr>
            <w:tcW w:w="3570" w:type="dxa"/>
          </w:tcPr>
          <w:p w14:paraId="4F674944">
            <w:pPr>
              <w:rPr>
                <w:b/>
                <w:color w:val="000000" w:themeColor="text1"/>
                <w:lang w:bidi="en-US"/>
                <w14:textFill>
                  <w14:solidFill>
                    <w14:schemeClr w14:val="tx1"/>
                  </w14:solidFill>
                </w14:textFill>
              </w:rPr>
            </w:pPr>
          </w:p>
        </w:tc>
      </w:tr>
      <w:tr w14:paraId="2CE1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670" w:type="dxa"/>
          </w:tcPr>
          <w:p w14:paraId="59A85890">
            <w:pPr>
              <w:rPr>
                <w:b/>
                <w:color w:val="000000" w:themeColor="text1"/>
                <w:lang w:bidi="en-US"/>
                <w14:textFill>
                  <w14:solidFill>
                    <w14:schemeClr w14:val="tx1"/>
                  </w14:solidFill>
                </w14:textFill>
              </w:rPr>
            </w:pPr>
          </w:p>
        </w:tc>
        <w:tc>
          <w:tcPr>
            <w:tcW w:w="3570" w:type="dxa"/>
          </w:tcPr>
          <w:p w14:paraId="01969E64">
            <w:pPr>
              <w:rPr>
                <w:b/>
                <w:color w:val="000000" w:themeColor="text1"/>
                <w:lang w:bidi="en-US"/>
                <w14:textFill>
                  <w14:solidFill>
                    <w14:schemeClr w14:val="tx1"/>
                  </w14:solidFill>
                </w14:textFill>
              </w:rPr>
            </w:pPr>
          </w:p>
        </w:tc>
      </w:tr>
      <w:tr w14:paraId="3B58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670" w:type="dxa"/>
          </w:tcPr>
          <w:p w14:paraId="24EE78C8">
            <w:pPr>
              <w:rPr>
                <w:b/>
                <w:color w:val="000000" w:themeColor="text1"/>
                <w:lang w:bidi="en-US"/>
                <w14:textFill>
                  <w14:solidFill>
                    <w14:schemeClr w14:val="tx1"/>
                  </w14:solidFill>
                </w14:textFill>
              </w:rPr>
            </w:pPr>
          </w:p>
        </w:tc>
        <w:tc>
          <w:tcPr>
            <w:tcW w:w="3570" w:type="dxa"/>
          </w:tcPr>
          <w:p w14:paraId="43DAF4DB">
            <w:pPr>
              <w:rPr>
                <w:b/>
                <w:color w:val="000000" w:themeColor="text1"/>
                <w:lang w:bidi="en-US"/>
                <w14:textFill>
                  <w14:solidFill>
                    <w14:schemeClr w14:val="tx1"/>
                  </w14:solidFill>
                </w14:textFill>
              </w:rPr>
            </w:pPr>
          </w:p>
        </w:tc>
      </w:tr>
      <w:tr w14:paraId="4D39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240" w:type="dxa"/>
            <w:gridSpan w:val="2"/>
          </w:tcPr>
          <w:p w14:paraId="5C4D6C4D">
            <w:pPr>
              <w:rPr>
                <w:b/>
                <w:color w:val="000000" w:themeColor="text1"/>
                <w:lang w:bidi="en-US"/>
                <w14:textFill>
                  <w14:solidFill>
                    <w14:schemeClr w14:val="tx1"/>
                  </w14:solidFill>
                </w14:textFill>
              </w:rPr>
            </w:pPr>
          </w:p>
        </w:tc>
      </w:tr>
      <w:tr w14:paraId="5BC1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670" w:type="dxa"/>
          </w:tcPr>
          <w:p w14:paraId="55DF9DD2">
            <w:pPr>
              <w:rPr>
                <w:b/>
                <w:color w:val="000000" w:themeColor="text1"/>
                <w:lang w:bidi="en-US"/>
                <w14:textFill>
                  <w14:solidFill>
                    <w14:schemeClr w14:val="tx1"/>
                  </w14:solidFill>
                </w14:textFill>
              </w:rPr>
            </w:pPr>
          </w:p>
        </w:tc>
        <w:tc>
          <w:tcPr>
            <w:tcW w:w="3570" w:type="dxa"/>
          </w:tcPr>
          <w:p w14:paraId="06CC2C9A">
            <w:pPr>
              <w:rPr>
                <w:b/>
                <w:color w:val="000000" w:themeColor="text1"/>
                <w:lang w:bidi="en-US"/>
                <w14:textFill>
                  <w14:solidFill>
                    <w14:schemeClr w14:val="tx1"/>
                  </w14:solidFill>
                </w14:textFill>
              </w:rPr>
            </w:pPr>
          </w:p>
        </w:tc>
      </w:tr>
      <w:tr w14:paraId="652E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5670" w:type="dxa"/>
          </w:tcPr>
          <w:p w14:paraId="3E6241DB">
            <w:pPr>
              <w:rPr>
                <w:b/>
                <w:color w:val="000000" w:themeColor="text1"/>
                <w:lang w:bidi="en-US"/>
                <w14:textFill>
                  <w14:solidFill>
                    <w14:schemeClr w14:val="tx1"/>
                  </w14:solidFill>
                </w14:textFill>
              </w:rPr>
            </w:pPr>
          </w:p>
        </w:tc>
        <w:tc>
          <w:tcPr>
            <w:tcW w:w="3570" w:type="dxa"/>
          </w:tcPr>
          <w:p w14:paraId="45CFB5DE">
            <w:pPr>
              <w:rPr>
                <w:b/>
                <w:color w:val="000000" w:themeColor="text1"/>
                <w:lang w:bidi="en-US"/>
                <w14:textFill>
                  <w14:solidFill>
                    <w14:schemeClr w14:val="tx1"/>
                  </w14:solidFill>
                </w14:textFill>
              </w:rPr>
            </w:pPr>
          </w:p>
        </w:tc>
      </w:tr>
      <w:tr w14:paraId="4F6C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70" w:type="dxa"/>
          </w:tcPr>
          <w:p w14:paraId="59E8385E">
            <w:pPr>
              <w:rPr>
                <w:b/>
                <w:color w:val="000000" w:themeColor="text1"/>
                <w:lang w:bidi="en-US"/>
                <w14:textFill>
                  <w14:solidFill>
                    <w14:schemeClr w14:val="tx1"/>
                  </w14:solidFill>
                </w14:textFill>
              </w:rPr>
            </w:pPr>
          </w:p>
        </w:tc>
        <w:tc>
          <w:tcPr>
            <w:tcW w:w="3570" w:type="dxa"/>
          </w:tcPr>
          <w:p w14:paraId="2CF24F29">
            <w:pPr>
              <w:rPr>
                <w:b/>
                <w:color w:val="000000" w:themeColor="text1"/>
                <w:lang w:bidi="en-US"/>
                <w14:textFill>
                  <w14:solidFill>
                    <w14:schemeClr w14:val="tx1"/>
                  </w14:solidFill>
                </w14:textFill>
              </w:rPr>
            </w:pPr>
          </w:p>
        </w:tc>
      </w:tr>
      <w:tr w14:paraId="74128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240" w:type="dxa"/>
            <w:gridSpan w:val="2"/>
          </w:tcPr>
          <w:p w14:paraId="61C2B9B8">
            <w:pPr>
              <w:rPr>
                <w:b/>
                <w:color w:val="000000" w:themeColor="text1"/>
                <w:lang w:bidi="en-US"/>
                <w14:textFill>
                  <w14:solidFill>
                    <w14:schemeClr w14:val="tx1"/>
                  </w14:solidFill>
                </w14:textFill>
              </w:rPr>
            </w:pPr>
          </w:p>
        </w:tc>
      </w:tr>
      <w:tr w14:paraId="2107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70" w:type="dxa"/>
          </w:tcPr>
          <w:p w14:paraId="3BD99408">
            <w:pPr>
              <w:rPr>
                <w:b/>
                <w:color w:val="000000" w:themeColor="text1"/>
                <w:lang w:bidi="en-US"/>
                <w14:textFill>
                  <w14:solidFill>
                    <w14:schemeClr w14:val="tx1"/>
                  </w14:solidFill>
                </w14:textFill>
              </w:rPr>
            </w:pPr>
          </w:p>
        </w:tc>
        <w:tc>
          <w:tcPr>
            <w:tcW w:w="3570" w:type="dxa"/>
          </w:tcPr>
          <w:p w14:paraId="10EB9DD8">
            <w:pPr>
              <w:rPr>
                <w:b/>
                <w:color w:val="000000" w:themeColor="text1"/>
                <w:lang w:bidi="en-US"/>
                <w14:textFill>
                  <w14:solidFill>
                    <w14:schemeClr w14:val="tx1"/>
                  </w14:solidFill>
                </w14:textFill>
              </w:rPr>
            </w:pPr>
          </w:p>
        </w:tc>
      </w:tr>
      <w:tr w14:paraId="30DD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670" w:type="dxa"/>
            <w:tcBorders>
              <w:bottom w:val="single" w:color="auto" w:sz="4" w:space="0"/>
            </w:tcBorders>
          </w:tcPr>
          <w:p w14:paraId="35386E34">
            <w:pPr>
              <w:rPr>
                <w:b/>
                <w:color w:val="000000" w:themeColor="text1"/>
                <w:lang w:bidi="en-US"/>
                <w14:textFill>
                  <w14:solidFill>
                    <w14:schemeClr w14:val="tx1"/>
                  </w14:solidFill>
                </w14:textFill>
              </w:rPr>
            </w:pPr>
          </w:p>
        </w:tc>
        <w:tc>
          <w:tcPr>
            <w:tcW w:w="3570" w:type="dxa"/>
            <w:tcBorders>
              <w:bottom w:val="single" w:color="auto" w:sz="4" w:space="0"/>
            </w:tcBorders>
          </w:tcPr>
          <w:p w14:paraId="3AEE22D3">
            <w:pPr>
              <w:rPr>
                <w:b/>
                <w:color w:val="000000" w:themeColor="text1"/>
                <w:lang w:bidi="en-US"/>
                <w14:textFill>
                  <w14:solidFill>
                    <w14:schemeClr w14:val="tx1"/>
                  </w14:solidFill>
                </w14:textFill>
              </w:rPr>
            </w:pPr>
          </w:p>
        </w:tc>
      </w:tr>
    </w:tbl>
    <w:p w14:paraId="3BFE2807">
      <w:pPr>
        <w:rPr>
          <w:color w:val="000000" w:themeColor="text1"/>
          <w14:textFill>
            <w14:solidFill>
              <w14:schemeClr w14:val="tx1"/>
            </w14:solidFill>
          </w14:textFill>
        </w:rPr>
      </w:pPr>
    </w:p>
    <w:p w14:paraId="1A79817E">
      <w:pPr>
        <w:spacing w:line="440" w:lineRule="exact"/>
        <w:ind w:firstLine="420" w:firstLineChars="200"/>
        <w:rPr>
          <w:color w:val="000000" w:themeColor="text1"/>
          <w14:textFill>
            <w14:solidFill>
              <w14:schemeClr w14:val="tx1"/>
            </w14:solidFill>
          </w14:textFill>
        </w:rPr>
      </w:pPr>
    </w:p>
    <w:p w14:paraId="689327F6">
      <w:pPr>
        <w:spacing w:line="440" w:lineRule="exact"/>
        <w:ind w:firstLine="420" w:firstLineChars="200"/>
        <w:rPr>
          <w:color w:val="000000" w:themeColor="text1"/>
          <w14:textFill>
            <w14:solidFill>
              <w14:schemeClr w14:val="tx1"/>
            </w14:solidFill>
          </w14:textFill>
        </w:rPr>
      </w:pPr>
    </w:p>
    <w:p w14:paraId="6A2B42FA">
      <w:pPr>
        <w:jc w:val="center"/>
        <w:rPr>
          <w:b/>
          <w:bCs/>
          <w:color w:val="000000" w:themeColor="text1"/>
          <w:sz w:val="32"/>
          <w:szCs w:val="32"/>
          <w14:textFill>
            <w14:solidFill>
              <w14:schemeClr w14:val="tx1"/>
            </w14:solidFill>
          </w14:textFill>
        </w:rPr>
      </w:pPr>
      <w:r>
        <w:rPr>
          <w:rFonts w:hint="eastAsia"/>
          <w:b/>
          <w:bCs/>
          <w:color w:val="000000" w:themeColor="text1"/>
          <w:sz w:val="36"/>
          <w14:textFill>
            <w14:solidFill>
              <w14:schemeClr w14:val="tx1"/>
            </w14:solidFill>
          </w14:textFill>
        </w:rPr>
        <w:br w:type="page"/>
      </w:r>
      <w:bookmarkStart w:id="54" w:name="_Toc489655320"/>
      <w:bookmarkStart w:id="55" w:name="_Toc23343"/>
      <w:r>
        <w:rPr>
          <w:rFonts w:hint="eastAsia"/>
          <w:b/>
          <w:bCs/>
          <w:color w:val="000000" w:themeColor="text1"/>
          <w:sz w:val="32"/>
          <w:szCs w:val="32"/>
          <w14:textFill>
            <w14:solidFill>
              <w14:schemeClr w14:val="tx1"/>
            </w14:solidFill>
          </w14:textFill>
        </w:rPr>
        <w:t>投标文件主要目录</w:t>
      </w:r>
      <w:bookmarkEnd w:id="53"/>
      <w:bookmarkEnd w:id="54"/>
      <w:r>
        <w:rPr>
          <w:rFonts w:hint="eastAsia"/>
          <w:b/>
          <w:bCs/>
          <w:color w:val="000000" w:themeColor="text1"/>
          <w:sz w:val="32"/>
          <w:szCs w:val="32"/>
          <w14:textFill>
            <w14:solidFill>
              <w14:schemeClr w14:val="tx1"/>
            </w14:solidFill>
          </w14:textFill>
        </w:rPr>
        <w:t>及相关证明材料格式、附件</w:t>
      </w:r>
      <w:bookmarkEnd w:id="55"/>
    </w:p>
    <w:p w14:paraId="1EAA79C0">
      <w:pPr>
        <w:rPr>
          <w:color w:val="000000" w:themeColor="text1"/>
          <w:sz w:val="28"/>
          <w:szCs w:val="28"/>
          <w14:textFill>
            <w14:solidFill>
              <w14:schemeClr w14:val="tx1"/>
            </w14:solidFill>
          </w14:textFill>
        </w:rPr>
      </w:pPr>
    </w:p>
    <w:p w14:paraId="29B0D3DD">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投标申请及声明</w:t>
      </w:r>
    </w:p>
    <w:p w14:paraId="051A1AEE">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法定代表人授权书</w:t>
      </w:r>
    </w:p>
    <w:p w14:paraId="29D8DDC5">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开标一览表</w:t>
      </w:r>
    </w:p>
    <w:p w14:paraId="32DF0312">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资格证明文件</w:t>
      </w:r>
    </w:p>
    <w:p w14:paraId="2972527F">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分项报价表</w:t>
      </w:r>
    </w:p>
    <w:p w14:paraId="7D4403F8">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技术条款偏离表</w:t>
      </w:r>
    </w:p>
    <w:p w14:paraId="01056B20">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商务条款偏离表</w:t>
      </w:r>
    </w:p>
    <w:p w14:paraId="25936B1D">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lang w:val="zh-CN"/>
          <w14:textFill>
            <w14:solidFill>
              <w14:schemeClr w14:val="tx1"/>
            </w14:solidFill>
          </w14:textFill>
        </w:rPr>
        <w:t>技术说明或服务方案</w:t>
      </w:r>
      <w:r>
        <w:rPr>
          <w:rFonts w:hint="eastAsia"/>
          <w:color w:val="000000" w:themeColor="text1"/>
          <w:sz w:val="28"/>
          <w:szCs w:val="28"/>
          <w14:textFill>
            <w14:solidFill>
              <w14:schemeClr w14:val="tx1"/>
            </w14:solidFill>
          </w14:textFill>
        </w:rPr>
        <w:t>（若有）</w:t>
      </w:r>
    </w:p>
    <w:p w14:paraId="4B4B4DAD">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服务与承诺</w:t>
      </w:r>
    </w:p>
    <w:p w14:paraId="30CE78AC">
      <w:pPr>
        <w:numPr>
          <w:ilvl w:val="0"/>
          <w:numId w:val="7"/>
        </w:numPr>
        <w:spacing w:line="360" w:lineRule="auto"/>
        <w:rPr>
          <w:color w:val="000000" w:themeColor="text1"/>
          <w14:textFill>
            <w14:solidFill>
              <w14:schemeClr w14:val="tx1"/>
            </w14:solidFill>
          </w14:textFill>
        </w:rPr>
      </w:pPr>
      <w:r>
        <w:rPr>
          <w:rFonts w:hint="eastAsia"/>
          <w:color w:val="000000" w:themeColor="text1"/>
          <w:sz w:val="28"/>
          <w:szCs w:val="28"/>
          <w14:textFill>
            <w14:solidFill>
              <w14:schemeClr w14:val="tx1"/>
            </w14:solidFill>
          </w14:textFill>
        </w:rPr>
        <w:t>投标人类似业绩情况表</w:t>
      </w:r>
    </w:p>
    <w:p w14:paraId="6157C1E2">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投标需要的其他证明文件及材料（若有)</w:t>
      </w:r>
    </w:p>
    <w:p w14:paraId="342C093E">
      <w:pPr>
        <w:numPr>
          <w:ilvl w:val="0"/>
          <w:numId w:val="7"/>
        </w:num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资格性审查响应对照表</w:t>
      </w:r>
    </w:p>
    <w:p w14:paraId="4A454771">
      <w:pPr>
        <w:spacing w:line="360" w:lineRule="auto"/>
        <w:rPr>
          <w:color w:val="000000" w:themeColor="text1"/>
          <w:sz w:val="28"/>
          <w:szCs w:val="28"/>
          <w14:textFill>
            <w14:solidFill>
              <w14:schemeClr w14:val="tx1"/>
            </w14:solidFill>
          </w14:textFill>
        </w:rPr>
      </w:pPr>
    </w:p>
    <w:p w14:paraId="29954F91">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附件一、中小企业声明函格式</w:t>
      </w:r>
    </w:p>
    <w:p w14:paraId="43E7C15E">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附件二、关于符合本国产品标准的声明函</w:t>
      </w:r>
    </w:p>
    <w:p w14:paraId="3EC1544C">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附件三、无重大违法记录声明格式</w:t>
      </w:r>
    </w:p>
    <w:p w14:paraId="076FC278">
      <w:pPr>
        <w:spacing w:line="360" w:lineRule="auto"/>
        <w:ind w:firstLine="1680" w:firstLineChars="6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附件四、具备履行合同所必需的设备和专业技术能力的声明格式及证明材料</w:t>
      </w:r>
    </w:p>
    <w:p w14:paraId="6F26E1B8">
      <w:pPr>
        <w:pStyle w:val="21"/>
        <w:ind w:firstLine="1680" w:firstLineChars="6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附件五、残疾人福利性单位声明函格式</w:t>
      </w:r>
    </w:p>
    <w:p w14:paraId="1B3E1FD0">
      <w:pPr>
        <w:pStyle w:val="21"/>
        <w:ind w:firstLine="1680" w:firstLineChars="6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附件六、属于监狱企业的证明文件</w:t>
      </w:r>
    </w:p>
    <w:p w14:paraId="053045BF">
      <w:pPr>
        <w:pStyle w:val="21"/>
        <w:ind w:firstLine="1680" w:firstLineChars="6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附件七、投标单位廉政承诺书</w:t>
      </w:r>
    </w:p>
    <w:p w14:paraId="0D316E83">
      <w:pPr>
        <w:pStyle w:val="21"/>
        <w:ind w:firstLine="1680" w:firstLineChars="6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附件八、承诺书</w:t>
      </w:r>
    </w:p>
    <w:p w14:paraId="2BA62CAC">
      <w:pPr>
        <w:rPr>
          <w:color w:val="000000" w:themeColor="text1"/>
          <w14:textFill>
            <w14:solidFill>
              <w14:schemeClr w14:val="tx1"/>
            </w14:solidFill>
          </w14:textFill>
        </w:rPr>
      </w:pPr>
    </w:p>
    <w:p w14:paraId="4EF78C3A">
      <w:pPr>
        <w:rPr>
          <w:color w:val="000000" w:themeColor="text1"/>
          <w14:textFill>
            <w14:solidFill>
              <w14:schemeClr w14:val="tx1"/>
            </w14:solidFill>
          </w14:textFill>
        </w:rPr>
      </w:pPr>
    </w:p>
    <w:p w14:paraId="2C91F7F7">
      <w:pPr>
        <w:adjustRightInd w:val="0"/>
        <w:spacing w:line="360" w:lineRule="auto"/>
        <w:rPr>
          <w:b/>
          <w:color w:val="000000" w:themeColor="text1"/>
          <w:lang w:val="zh-CN"/>
          <w14:textFill>
            <w14:solidFill>
              <w14:schemeClr w14:val="tx1"/>
            </w14:solidFill>
          </w14:textFill>
        </w:rPr>
      </w:pPr>
    </w:p>
    <w:p w14:paraId="09D316B2">
      <w:pPr>
        <w:pStyle w:val="6"/>
        <w:rPr>
          <w:color w:val="000000" w:themeColor="text1"/>
          <w:lang w:val="zh-CN"/>
          <w14:textFill>
            <w14:solidFill>
              <w14:schemeClr w14:val="tx1"/>
            </w14:solidFill>
          </w14:textFill>
        </w:rPr>
        <w:sectPr>
          <w:endnotePr>
            <w:numFmt w:val="decimal"/>
          </w:endnotePr>
          <w:pgSz w:w="11906" w:h="16838"/>
          <w:pgMar w:top="850" w:right="850" w:bottom="850" w:left="1418" w:header="170" w:footer="720" w:gutter="0"/>
          <w:cols w:space="720" w:num="1"/>
        </w:sectPr>
      </w:pPr>
    </w:p>
    <w:p w14:paraId="2BB70435">
      <w:pPr>
        <w:adjustRightInd w:val="0"/>
        <w:spacing w:line="360" w:lineRule="auto"/>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目录一、投标申请及声明格式</w:t>
      </w:r>
    </w:p>
    <w:p w14:paraId="5F2F5A83">
      <w:pPr>
        <w:adjustRightInd w:val="0"/>
        <w:spacing w:line="360" w:lineRule="auto"/>
        <w:jc w:val="center"/>
        <w:rPr>
          <w:color w:val="000000" w:themeColor="text1"/>
          <w:sz w:val="36"/>
          <w:szCs w:val="36"/>
          <w:lang w:val="zh-CN"/>
          <w14:textFill>
            <w14:solidFill>
              <w14:schemeClr w14:val="tx1"/>
            </w14:solidFill>
          </w14:textFill>
        </w:rPr>
      </w:pPr>
      <w:bookmarkStart w:id="56" w:name="_Toc22583"/>
      <w:r>
        <w:rPr>
          <w:rFonts w:hint="eastAsia"/>
          <w:color w:val="000000" w:themeColor="text1"/>
          <w:sz w:val="36"/>
          <w:szCs w:val="36"/>
          <w:lang w:val="zh-CN"/>
          <w14:textFill>
            <w14:solidFill>
              <w14:schemeClr w14:val="tx1"/>
            </w14:solidFill>
          </w14:textFill>
        </w:rPr>
        <w:t>投标申请及声明</w:t>
      </w:r>
      <w:bookmarkEnd w:id="56"/>
    </w:p>
    <w:p w14:paraId="319E1A47">
      <w:pPr>
        <w:adjustRightInd w:val="0"/>
        <w:spacing w:line="360" w:lineRule="auto"/>
        <w:rPr>
          <w:color w:val="000000" w:themeColor="text1"/>
          <w:lang w:val="zh-CN"/>
          <w14:textFill>
            <w14:solidFill>
              <w14:schemeClr w14:val="tx1"/>
            </w14:solidFill>
          </w14:textFill>
        </w:rPr>
      </w:pPr>
      <w:bookmarkStart w:id="57" w:name="_Toc21475"/>
      <w:r>
        <w:rPr>
          <w:rFonts w:hint="eastAsia"/>
          <w:color w:val="000000" w:themeColor="text1"/>
          <w:lang w:val="zh-CN"/>
          <w14:textFill>
            <w14:solidFill>
              <w14:schemeClr w14:val="tx1"/>
            </w14:solidFill>
          </w14:textFill>
        </w:rPr>
        <w:t>致：中国药科大学</w:t>
      </w:r>
      <w:bookmarkEnd w:id="57"/>
    </w:p>
    <w:p w14:paraId="67303DCC">
      <w:pPr>
        <w:adjustRightInd w:val="0"/>
        <w:spacing w:line="360" w:lineRule="auto"/>
        <w:ind w:firstLine="420" w:firstLineChars="200"/>
        <w:rPr>
          <w:color w:val="000000" w:themeColor="text1"/>
          <w:lang w:val="zh-CN"/>
          <w14:textFill>
            <w14:solidFill>
              <w14:schemeClr w14:val="tx1"/>
            </w14:solidFill>
          </w14:textFill>
        </w:rPr>
      </w:pPr>
      <w:bookmarkStart w:id="58" w:name="_Toc18309"/>
      <w:r>
        <w:rPr>
          <w:rFonts w:hint="eastAsia"/>
          <w:color w:val="000000" w:themeColor="text1"/>
          <w:lang w:val="zh-CN"/>
          <w14:textFill>
            <w14:solidFill>
              <w14:schemeClr w14:val="tx1"/>
            </w14:solidFill>
          </w14:textFill>
        </w:rPr>
        <w:t>根据贵方（项目名称）</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lang w:val="zh-CN"/>
          <w14:textFill>
            <w14:solidFill>
              <w14:schemeClr w14:val="tx1"/>
            </w14:solidFill>
          </w14:textFill>
        </w:rPr>
        <w:t>（项目编号）</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lang w:val="zh-CN"/>
          <w14:textFill>
            <w14:solidFill>
              <w14:schemeClr w14:val="tx1"/>
            </w14:solidFill>
          </w14:textFill>
        </w:rPr>
        <w:t>投标邀请，正式授权下述签字人(姓名和职务)代表投标人（投标人名称），提交投标文件。</w:t>
      </w:r>
      <w:bookmarkEnd w:id="58"/>
    </w:p>
    <w:p w14:paraId="4DE567D8">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据此函，签字人兹宣布声明和承诺如下：</w:t>
      </w:r>
    </w:p>
    <w:p w14:paraId="0B3B6B95">
      <w:pPr>
        <w:adjustRightInd w:val="0"/>
        <w:spacing w:line="360" w:lineRule="auto"/>
        <w:ind w:firstLine="42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1、</w:t>
      </w:r>
      <w:r>
        <w:rPr>
          <w:rFonts w:hint="eastAsia"/>
          <w:b/>
          <w:color w:val="000000" w:themeColor="text1"/>
          <w:lang w:val="zh-CN"/>
          <w14:textFill>
            <w14:solidFill>
              <w14:schemeClr w14:val="tx1"/>
            </w14:solidFill>
          </w14:textFill>
        </w:rPr>
        <w:t>我们的资格条件完全符合政府采购法和本次招标要求</w:t>
      </w:r>
      <w:r>
        <w:rPr>
          <w:rFonts w:hint="eastAsia"/>
          <w:color w:val="000000" w:themeColor="text1"/>
          <w:lang w:val="zh-CN"/>
          <w14:textFill>
            <w14:solidFill>
              <w14:schemeClr w14:val="tx1"/>
            </w14:solidFill>
          </w14:textFill>
        </w:rPr>
        <w:t>，</w:t>
      </w:r>
      <w:r>
        <w:rPr>
          <w:rFonts w:hint="eastAsia"/>
          <w:color w:val="000000" w:themeColor="text1"/>
          <w14:textFill>
            <w14:solidFill>
              <w14:schemeClr w14:val="tx1"/>
            </w14:solidFill>
          </w14:textFill>
        </w:rPr>
        <w:t>我们</w:t>
      </w:r>
      <w:r>
        <w:rPr>
          <w:rFonts w:hint="eastAsia"/>
          <w:color w:val="000000" w:themeColor="text1"/>
          <w:lang w:val="zh-CN"/>
          <w14:textFill>
            <w14:solidFill>
              <w14:schemeClr w14:val="tx1"/>
            </w14:solidFill>
          </w14:textFill>
        </w:rPr>
        <w:t>同意并向贵方提供了与投标有关的所有证据和资料。</w:t>
      </w:r>
    </w:p>
    <w:p w14:paraId="69075770">
      <w:pPr>
        <w:adjustRightInd w:val="0"/>
        <w:spacing w:line="360" w:lineRule="auto"/>
        <w:ind w:firstLine="420"/>
        <w:rPr>
          <w:color w:val="000000" w:themeColor="text1"/>
          <w:u w:val="single"/>
          <w:lang w:val="zh-CN"/>
          <w14:textFill>
            <w14:solidFill>
              <w14:schemeClr w14:val="tx1"/>
            </w14:solidFill>
          </w14:textFill>
        </w:rPr>
      </w:pPr>
      <w:r>
        <w:rPr>
          <w:rFonts w:hint="eastAsia"/>
          <w:color w:val="000000" w:themeColor="text1"/>
          <w:lang w:val="zh-CN"/>
          <w14:textFill>
            <w14:solidFill>
              <w14:schemeClr w14:val="tx1"/>
            </w14:solidFill>
          </w14:textFill>
        </w:rPr>
        <w:t>2、按招标要求，我们的投标总报价为（小写）</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lang w:val="zh-CN"/>
          <w14:textFill>
            <w14:solidFill>
              <w14:schemeClr w14:val="tx1"/>
            </w14:solidFill>
          </w14:textFill>
        </w:rPr>
        <w:t>元，（大写）人民币</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lang w:val="zh-CN"/>
          <w14:textFill>
            <w14:solidFill>
              <w14:schemeClr w14:val="tx1"/>
            </w14:solidFill>
          </w14:textFill>
        </w:rPr>
        <w:t>。其中，小型企业的产品为（小写）</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lang w:val="zh-CN"/>
          <w14:textFill>
            <w14:solidFill>
              <w14:schemeClr w14:val="tx1"/>
            </w14:solidFill>
          </w14:textFill>
        </w:rPr>
        <w:t>元，（大写）人民币</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合同履行期限（交货期）：</w:t>
      </w:r>
      <w:r>
        <w:rPr>
          <w:rFonts w:hint="eastAsia"/>
          <w:color w:val="000000" w:themeColor="text1"/>
          <w:u w:val="single"/>
          <w14:textFill>
            <w14:solidFill>
              <w14:schemeClr w14:val="tx1"/>
            </w14:solidFill>
          </w14:textFill>
        </w:rPr>
        <w:t xml:space="preserve">     </w:t>
      </w:r>
      <w:r>
        <w:rPr>
          <w:rFonts w:hint="eastAsia"/>
          <w:color w:val="000000" w:themeColor="text1"/>
          <w:lang w:val="zh-CN"/>
          <w14:textFill>
            <w14:solidFill>
              <w14:schemeClr w14:val="tx1"/>
            </w14:solidFill>
          </w14:textFill>
        </w:rPr>
        <w:t>。</w:t>
      </w:r>
    </w:p>
    <w:p w14:paraId="059C42A0">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3、我们已详细审核全部招标文件及其有效补充文件，我们放弃对招标文件任何误解的权利，提交投标文件后，</w:t>
      </w:r>
      <w:r>
        <w:rPr>
          <w:rFonts w:hint="eastAsia"/>
          <w:b/>
          <w:color w:val="000000" w:themeColor="text1"/>
          <w:lang w:val="zh-CN"/>
          <w14:textFill>
            <w14:solidFill>
              <w14:schemeClr w14:val="tx1"/>
            </w14:solidFill>
          </w14:textFill>
        </w:rPr>
        <w:t>不对招标文件本身提出质疑</w:t>
      </w:r>
      <w:r>
        <w:rPr>
          <w:rFonts w:hint="eastAsia"/>
          <w:color w:val="000000" w:themeColor="text1"/>
          <w:lang w:val="zh-CN"/>
          <w14:textFill>
            <w14:solidFill>
              <w14:schemeClr w14:val="tx1"/>
            </w14:solidFill>
          </w14:textFill>
        </w:rPr>
        <w:t>。否则，属于不诚信和故意扰乱政府采购活动行为，我们将无条件接受处罚。</w:t>
      </w:r>
    </w:p>
    <w:p w14:paraId="79B2DE0C">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4、我们同意从规定的开标日期起遵循本投标文件，并在规定的投标有效期期满之前均具有约束力。</w:t>
      </w:r>
    </w:p>
    <w:p w14:paraId="792E3BF3">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5、一旦我方中标，我方将根据招标文件的规定严格履行合同，并保证于承诺的时间完成服务的启动/集成、调试等服务，交付采购人验收、使用。</w:t>
      </w:r>
    </w:p>
    <w:p w14:paraId="7B6C085A">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47F74BC">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7</w:t>
      </w:r>
      <w:r>
        <w:rPr>
          <w:rFonts w:hint="eastAsia"/>
          <w:color w:val="000000" w:themeColor="text1"/>
          <w:lang w:val="zh-CN"/>
          <w14:textFill>
            <w14:solidFill>
              <w14:schemeClr w14:val="tx1"/>
            </w14:solidFill>
          </w14:textFill>
        </w:rPr>
        <w:t>、与本投标有关的正式联系方式为：</w:t>
      </w:r>
    </w:p>
    <w:p w14:paraId="0FF26D14">
      <w:pPr>
        <w:adjustRightInd w:val="0"/>
        <w:spacing w:line="360" w:lineRule="auto"/>
        <w:ind w:firstLine="420"/>
        <w:rPr>
          <w:color w:val="000000" w:themeColor="text1"/>
          <w:u w:val="single"/>
          <w:lang w:val="zh-CN"/>
          <w14:textFill>
            <w14:solidFill>
              <w14:schemeClr w14:val="tx1"/>
            </w14:solidFill>
          </w14:textFill>
        </w:rPr>
      </w:pPr>
      <w:r>
        <w:rPr>
          <w:rFonts w:hint="eastAsia"/>
          <w:color w:val="000000" w:themeColor="text1"/>
          <w:lang w:val="zh-CN"/>
          <w14:textFill>
            <w14:solidFill>
              <w14:schemeClr w14:val="tx1"/>
            </w14:solidFill>
          </w14:textFill>
        </w:rPr>
        <w:t>地址：</w:t>
      </w:r>
    </w:p>
    <w:p w14:paraId="7D88AACC">
      <w:pPr>
        <w:adjustRightInd w:val="0"/>
        <w:spacing w:line="360" w:lineRule="auto"/>
        <w:ind w:firstLine="420"/>
        <w:rPr>
          <w:color w:val="000000" w:themeColor="text1"/>
          <w:u w:val="single"/>
          <w:lang w:val="zh-CN"/>
          <w14:textFill>
            <w14:solidFill>
              <w14:schemeClr w14:val="tx1"/>
            </w14:solidFill>
          </w14:textFill>
        </w:rPr>
      </w:pPr>
      <w:r>
        <w:rPr>
          <w:rFonts w:hint="eastAsia"/>
          <w:color w:val="000000" w:themeColor="text1"/>
          <w:lang w:val="zh-CN"/>
          <w14:textFill>
            <w14:solidFill>
              <w14:schemeClr w14:val="tx1"/>
            </w14:solidFill>
          </w14:textFill>
        </w:rPr>
        <w:t>电话：</w:t>
      </w:r>
    </w:p>
    <w:p w14:paraId="72233311">
      <w:pPr>
        <w:adjustRightInd w:val="0"/>
        <w:spacing w:line="360" w:lineRule="auto"/>
        <w:ind w:firstLine="420"/>
        <w:rPr>
          <w:color w:val="000000" w:themeColor="text1"/>
          <w:u w:val="single"/>
          <w:lang w:val="zh-CN"/>
          <w14:textFill>
            <w14:solidFill>
              <w14:schemeClr w14:val="tx1"/>
            </w14:solidFill>
          </w14:textFill>
        </w:rPr>
      </w:pPr>
      <w:r>
        <w:rPr>
          <w:rFonts w:hint="eastAsia"/>
          <w:color w:val="000000" w:themeColor="text1"/>
          <w:lang w:val="zh-CN"/>
          <w14:textFill>
            <w14:solidFill>
              <w14:schemeClr w14:val="tx1"/>
            </w14:solidFill>
          </w14:textFill>
        </w:rPr>
        <w:t>传真：</w:t>
      </w:r>
    </w:p>
    <w:p w14:paraId="7A7F7561">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开户银行：</w:t>
      </w:r>
    </w:p>
    <w:p w14:paraId="2B022A0C">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银行账号：</w:t>
      </w:r>
    </w:p>
    <w:p w14:paraId="7F59FDB6">
      <w:pPr>
        <w:adjustRightInd w:val="0"/>
        <w:spacing w:line="360" w:lineRule="auto"/>
        <w:ind w:firstLine="420"/>
        <w:rPr>
          <w:color w:val="000000" w:themeColor="text1"/>
          <w:u w:val="single"/>
          <w:lang w:val="zh-CN"/>
          <w14:textFill>
            <w14:solidFill>
              <w14:schemeClr w14:val="tx1"/>
            </w14:solidFill>
          </w14:textFill>
        </w:rPr>
      </w:pPr>
      <w:r>
        <w:rPr>
          <w:rFonts w:hint="eastAsia"/>
          <w:color w:val="000000" w:themeColor="text1"/>
          <w:lang w:val="zh-CN"/>
          <w14:textFill>
            <w14:solidFill>
              <w14:schemeClr w14:val="tx1"/>
            </w14:solidFill>
          </w14:textFill>
        </w:rPr>
        <w:t>供应商授权代表姓名（签字）：</w:t>
      </w:r>
    </w:p>
    <w:p w14:paraId="68331609">
      <w:pPr>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供应商名称（盖章）：</w:t>
      </w:r>
    </w:p>
    <w:p w14:paraId="4980CE49">
      <w:pPr>
        <w:adjustRightInd w:val="0"/>
        <w:spacing w:line="360" w:lineRule="auto"/>
        <w:ind w:firstLine="420"/>
        <w:rPr>
          <w:b/>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日期：年月日</w:t>
      </w:r>
    </w:p>
    <w:p w14:paraId="78B1B60A">
      <w:pPr>
        <w:widowControl/>
        <w:adjustRightInd w:val="0"/>
        <w:spacing w:line="360" w:lineRule="auto"/>
        <w:rPr>
          <w:b/>
          <w:color w:val="000000" w:themeColor="text1"/>
          <w:lang w:val="zh-CN"/>
          <w14:textFill>
            <w14:solidFill>
              <w14:schemeClr w14:val="tx1"/>
            </w14:solidFill>
          </w14:textFill>
        </w:rPr>
        <w:sectPr>
          <w:endnotePr>
            <w:numFmt w:val="decimal"/>
          </w:endnotePr>
          <w:pgSz w:w="11906" w:h="16838"/>
          <w:pgMar w:top="850" w:right="850" w:bottom="850" w:left="1418" w:header="340" w:footer="720" w:gutter="0"/>
          <w:cols w:space="720" w:num="1"/>
        </w:sectPr>
      </w:pPr>
    </w:p>
    <w:p w14:paraId="7210879F">
      <w:pPr>
        <w:widowControl/>
        <w:adjustRightInd w:val="0"/>
        <w:spacing w:line="360" w:lineRule="auto"/>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目录二、法定代表人授权书格式</w:t>
      </w:r>
    </w:p>
    <w:p w14:paraId="295E92F0">
      <w:pPr>
        <w:widowControl/>
        <w:adjustRightInd w:val="0"/>
        <w:spacing w:line="360" w:lineRule="auto"/>
        <w:ind w:firstLine="720"/>
        <w:jc w:val="center"/>
        <w:rPr>
          <w:color w:val="000000" w:themeColor="text1"/>
          <w:sz w:val="36"/>
          <w:szCs w:val="36"/>
          <w:lang w:val="zh-CN"/>
          <w14:textFill>
            <w14:solidFill>
              <w14:schemeClr w14:val="tx1"/>
            </w14:solidFill>
          </w14:textFill>
        </w:rPr>
      </w:pPr>
      <w:bookmarkStart w:id="59" w:name="_Toc15323"/>
      <w:r>
        <w:rPr>
          <w:rFonts w:hint="eastAsia"/>
          <w:color w:val="000000" w:themeColor="text1"/>
          <w:sz w:val="36"/>
          <w:szCs w:val="36"/>
          <w:lang w:val="zh-CN"/>
          <w14:textFill>
            <w14:solidFill>
              <w14:schemeClr w14:val="tx1"/>
            </w14:solidFill>
          </w14:textFill>
        </w:rPr>
        <w:t>法定代表人授权委托书</w:t>
      </w:r>
      <w:bookmarkEnd w:id="59"/>
    </w:p>
    <w:p w14:paraId="3D1DF33E">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中国药科大学：</w:t>
      </w:r>
    </w:p>
    <w:p w14:paraId="4524E8B9">
      <w:pPr>
        <w:widowControl/>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14:paraId="668439AE">
      <w:pPr>
        <w:widowControl/>
        <w:adjustRightInd w:val="0"/>
        <w:spacing w:line="360" w:lineRule="auto"/>
        <w:ind w:firstLine="408"/>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本授权书于年月日签字生效，特此声明。</w:t>
      </w:r>
    </w:p>
    <w:p w14:paraId="46C7636B">
      <w:pPr>
        <w:widowControl/>
        <w:adjustRightInd w:val="0"/>
        <w:spacing w:line="360" w:lineRule="auto"/>
        <w:ind w:firstLine="408"/>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供应商名称（盖章）：</w:t>
      </w:r>
    </w:p>
    <w:p w14:paraId="2023F10C">
      <w:pPr>
        <w:widowControl/>
        <w:adjustRightInd w:val="0"/>
        <w:spacing w:line="360" w:lineRule="auto"/>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法定代表人（签字</w:t>
      </w:r>
      <w:r>
        <w:rPr>
          <w:rFonts w:hint="eastAsia"/>
          <w:color w:val="000000" w:themeColor="text1"/>
          <w14:textFill>
            <w14:solidFill>
              <w14:schemeClr w14:val="tx1"/>
            </w14:solidFill>
          </w14:textFill>
        </w:rPr>
        <w:t>或盖章</w:t>
      </w:r>
      <w:r>
        <w:rPr>
          <w:rFonts w:hint="eastAsia"/>
          <w:color w:val="000000" w:themeColor="text1"/>
          <w:lang w:val="zh-CN"/>
          <w14:textFill>
            <w14:solidFill>
              <w14:schemeClr w14:val="tx1"/>
            </w14:solidFill>
          </w14:textFill>
        </w:rPr>
        <w:t>）：</w:t>
      </w:r>
    </w:p>
    <w:p w14:paraId="42B601A0">
      <w:pPr>
        <w:widowControl/>
        <w:adjustRightInd w:val="0"/>
        <w:spacing w:line="360" w:lineRule="auto"/>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授权委托人（签字）：</w:t>
      </w:r>
    </w:p>
    <w:p w14:paraId="766A2920">
      <w:pPr>
        <w:widowControl/>
        <w:adjustRightInd w:val="0"/>
        <w:spacing w:line="360" w:lineRule="auto"/>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日期：年月日</w:t>
      </w:r>
    </w:p>
    <w:p w14:paraId="4130A69B">
      <w:pPr>
        <w:widowControl/>
        <w:adjustRightInd w:val="0"/>
        <w:spacing w:line="360" w:lineRule="auto"/>
        <w:ind w:firstLine="420" w:firstLineChars="200"/>
        <w:rPr>
          <w:color w:val="000000" w:themeColor="text1"/>
          <w:lang w:val="zh-CN"/>
          <w14:textFill>
            <w14:solidFill>
              <w14:schemeClr w14:val="tx1"/>
            </w14:solidFill>
          </w14:textFill>
        </w:rPr>
      </w:pPr>
    </w:p>
    <w:p w14:paraId="02DD7847">
      <w:pPr>
        <w:widowControl/>
        <w:adjustRightInd w:val="0"/>
        <w:spacing w:line="360" w:lineRule="auto"/>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法定代表人身份证复印件：</w:t>
      </w:r>
    </w:p>
    <w:p w14:paraId="39BC4E09">
      <w:pPr>
        <w:widowControl/>
        <w:adjustRightInd w:val="0"/>
        <w:spacing w:line="360" w:lineRule="auto"/>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授权委托人身份证复印件：</w:t>
      </w:r>
    </w:p>
    <w:p w14:paraId="0E520071">
      <w:pPr>
        <w:widowControl/>
        <w:tabs>
          <w:tab w:val="left" w:pos="1440"/>
        </w:tabs>
        <w:adjustRightInd w:val="0"/>
        <w:spacing w:line="360" w:lineRule="auto"/>
        <w:ind w:firstLine="420"/>
        <w:rPr>
          <w:color w:val="000000" w:themeColor="text1"/>
          <w:lang w:val="zh-CN"/>
          <w14:textFill>
            <w14:solidFill>
              <w14:schemeClr w14:val="tx1"/>
            </w14:solidFill>
          </w14:textFill>
        </w:rPr>
      </w:pPr>
    </w:p>
    <w:p w14:paraId="7BEE24BC">
      <w:pPr>
        <w:widowControl/>
        <w:adjustRightInd w:val="0"/>
        <w:spacing w:line="360" w:lineRule="auto"/>
        <w:rPr>
          <w:b/>
          <w:color w:val="000000" w:themeColor="text1"/>
          <w:lang w:val="zh-CN"/>
          <w14:textFill>
            <w14:solidFill>
              <w14:schemeClr w14:val="tx1"/>
            </w14:solidFill>
          </w14:textFill>
        </w:rPr>
        <w:sectPr>
          <w:endnotePr>
            <w:numFmt w:val="decimal"/>
          </w:endnotePr>
          <w:pgSz w:w="11906" w:h="16838"/>
          <w:pgMar w:top="850" w:right="850" w:bottom="850" w:left="1418" w:header="340" w:footer="720" w:gutter="0"/>
          <w:cols w:space="720" w:num="1"/>
        </w:sectPr>
      </w:pPr>
    </w:p>
    <w:p w14:paraId="4D0F3FF3">
      <w:pPr>
        <w:widowControl/>
        <w:adjustRightInd w:val="0"/>
        <w:spacing w:line="360" w:lineRule="auto"/>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目录三、开标一览表格式</w:t>
      </w:r>
    </w:p>
    <w:p w14:paraId="5292E41C">
      <w:pPr>
        <w:widowControl/>
        <w:adjustRightInd w:val="0"/>
        <w:spacing w:line="360" w:lineRule="auto"/>
        <w:jc w:val="center"/>
        <w:rPr>
          <w:b/>
          <w:color w:val="000000" w:themeColor="text1"/>
          <w:sz w:val="32"/>
          <w:szCs w:val="32"/>
          <w:lang w:val="zh-CN"/>
          <w14:textFill>
            <w14:solidFill>
              <w14:schemeClr w14:val="tx1"/>
            </w14:solidFill>
          </w14:textFill>
        </w:rPr>
      </w:pPr>
      <w:r>
        <w:rPr>
          <w:rFonts w:hint="eastAsia"/>
          <w:b/>
          <w:color w:val="000000" w:themeColor="text1"/>
          <w:sz w:val="32"/>
          <w:szCs w:val="32"/>
          <w:lang w:val="zh-CN"/>
          <w14:textFill>
            <w14:solidFill>
              <w14:schemeClr w14:val="tx1"/>
            </w14:solidFill>
          </w14:textFill>
        </w:rPr>
        <w:t>开标一览表</w:t>
      </w:r>
    </w:p>
    <w:tbl>
      <w:tblPr>
        <w:tblStyle w:val="65"/>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5"/>
        <w:gridCol w:w="2923"/>
        <w:gridCol w:w="920"/>
        <w:gridCol w:w="2295"/>
        <w:gridCol w:w="2142"/>
      </w:tblGrid>
      <w:tr w14:paraId="60964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948" w:type="dxa"/>
            <w:gridSpan w:val="3"/>
            <w:tcBorders>
              <w:top w:val="single" w:color="auto" w:sz="4" w:space="0"/>
              <w:left w:val="single" w:color="auto" w:sz="4" w:space="0"/>
              <w:bottom w:val="single" w:color="auto" w:sz="4" w:space="0"/>
              <w:right w:val="single" w:color="auto" w:sz="4" w:space="0"/>
            </w:tcBorders>
            <w:vAlign w:val="center"/>
          </w:tcPr>
          <w:p w14:paraId="2F58401A">
            <w:pPr>
              <w:rPr>
                <w:b/>
                <w:bCs/>
                <w:color w:val="000000" w:themeColor="text1"/>
                <w:u w:val="single"/>
                <w14:textFill>
                  <w14:solidFill>
                    <w14:schemeClr w14:val="tx1"/>
                  </w14:solidFill>
                </w14:textFill>
              </w:rPr>
            </w:pPr>
            <w:r>
              <w:rPr>
                <w:rFonts w:hint="eastAsia"/>
                <w:color w:val="000000" w:themeColor="text1"/>
                <w14:textFill>
                  <w14:solidFill>
                    <w14:schemeClr w14:val="tx1"/>
                  </w14:solidFill>
                </w14:textFill>
              </w:rPr>
              <w:t>项目名称：</w:t>
            </w:r>
          </w:p>
        </w:tc>
        <w:tc>
          <w:tcPr>
            <w:tcW w:w="4437" w:type="dxa"/>
            <w:gridSpan w:val="2"/>
            <w:tcBorders>
              <w:top w:val="single" w:color="auto" w:sz="4" w:space="0"/>
              <w:left w:val="single" w:color="auto" w:sz="4" w:space="0"/>
              <w:bottom w:val="single" w:color="auto" w:sz="4" w:space="0"/>
              <w:right w:val="single" w:color="auto" w:sz="4" w:space="0"/>
            </w:tcBorders>
            <w:vAlign w:val="center"/>
          </w:tcPr>
          <w:p w14:paraId="54E41F84">
            <w:pPr>
              <w:widowControl/>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项目编号：</w:t>
            </w:r>
          </w:p>
        </w:tc>
      </w:tr>
      <w:tr w14:paraId="1CB94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1105" w:type="dxa"/>
            <w:tcBorders>
              <w:top w:val="single" w:color="auto" w:sz="4" w:space="0"/>
              <w:left w:val="single" w:color="auto" w:sz="4" w:space="0"/>
              <w:bottom w:val="single" w:color="auto" w:sz="4" w:space="0"/>
              <w:right w:val="single" w:color="auto" w:sz="4" w:space="0"/>
            </w:tcBorders>
            <w:vAlign w:val="center"/>
          </w:tcPr>
          <w:p w14:paraId="05FE5742">
            <w:pPr>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序号</w:t>
            </w:r>
          </w:p>
        </w:tc>
        <w:tc>
          <w:tcPr>
            <w:tcW w:w="3843" w:type="dxa"/>
            <w:gridSpan w:val="2"/>
            <w:tcBorders>
              <w:top w:val="single" w:color="auto" w:sz="4" w:space="0"/>
              <w:left w:val="single" w:color="auto" w:sz="4" w:space="0"/>
              <w:bottom w:val="single" w:color="auto" w:sz="4" w:space="0"/>
              <w:right w:val="single" w:color="auto" w:sz="4" w:space="0"/>
            </w:tcBorders>
            <w:vAlign w:val="center"/>
          </w:tcPr>
          <w:p w14:paraId="14AE006F">
            <w:pPr>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名称</w:t>
            </w:r>
          </w:p>
        </w:tc>
        <w:tc>
          <w:tcPr>
            <w:tcW w:w="2295" w:type="dxa"/>
            <w:tcBorders>
              <w:top w:val="single" w:color="auto" w:sz="4" w:space="0"/>
              <w:left w:val="single" w:color="auto" w:sz="4" w:space="0"/>
              <w:bottom w:val="single" w:color="auto" w:sz="4" w:space="0"/>
              <w:right w:val="single" w:color="auto" w:sz="4" w:space="0"/>
            </w:tcBorders>
            <w:vAlign w:val="center"/>
          </w:tcPr>
          <w:p w14:paraId="4CD2F5FB">
            <w:pPr>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报价（元）</w:t>
            </w:r>
          </w:p>
        </w:tc>
        <w:tc>
          <w:tcPr>
            <w:tcW w:w="2142" w:type="dxa"/>
            <w:tcBorders>
              <w:top w:val="single" w:color="auto" w:sz="4" w:space="0"/>
              <w:left w:val="single" w:color="auto" w:sz="4" w:space="0"/>
              <w:bottom w:val="single" w:color="auto" w:sz="4" w:space="0"/>
              <w:right w:val="single" w:color="auto" w:sz="4" w:space="0"/>
            </w:tcBorders>
            <w:vAlign w:val="center"/>
          </w:tcPr>
          <w:p w14:paraId="63EF8316">
            <w:pPr>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其中，</w:t>
            </w:r>
            <w:r>
              <w:rPr>
                <w:rFonts w:hint="eastAsia"/>
                <w:color w:val="000000" w:themeColor="text1"/>
                <w14:textFill>
                  <w14:solidFill>
                    <w14:schemeClr w14:val="tx1"/>
                  </w14:solidFill>
                </w14:textFill>
              </w:rPr>
              <w:t>小、微型企业产品（元）</w:t>
            </w:r>
          </w:p>
        </w:tc>
      </w:tr>
      <w:tr w14:paraId="4F0E9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1105" w:type="dxa"/>
            <w:tcBorders>
              <w:top w:val="single" w:color="auto" w:sz="4" w:space="0"/>
              <w:left w:val="single" w:color="auto" w:sz="4" w:space="0"/>
              <w:bottom w:val="single" w:color="auto" w:sz="4" w:space="0"/>
              <w:right w:val="single" w:color="auto" w:sz="4" w:space="0"/>
            </w:tcBorders>
            <w:vAlign w:val="center"/>
          </w:tcPr>
          <w:p w14:paraId="467149AC">
            <w:pPr>
              <w:jc w:val="center"/>
              <w:rPr>
                <w:color w:val="000000" w:themeColor="text1"/>
                <w14:textFill>
                  <w14:solidFill>
                    <w14:schemeClr w14:val="tx1"/>
                  </w14:solidFill>
                </w14:textFill>
              </w:rPr>
            </w:pPr>
          </w:p>
        </w:tc>
        <w:tc>
          <w:tcPr>
            <w:tcW w:w="3843" w:type="dxa"/>
            <w:gridSpan w:val="2"/>
            <w:tcBorders>
              <w:top w:val="single" w:color="auto" w:sz="4" w:space="0"/>
              <w:left w:val="single" w:color="auto" w:sz="4" w:space="0"/>
              <w:bottom w:val="single" w:color="auto" w:sz="4" w:space="0"/>
              <w:right w:val="single" w:color="auto" w:sz="4" w:space="0"/>
            </w:tcBorders>
            <w:vAlign w:val="center"/>
          </w:tcPr>
          <w:p w14:paraId="6DB6891E">
            <w:pPr>
              <w:jc w:val="center"/>
              <w:rPr>
                <w:color w:val="000000" w:themeColor="text1"/>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vAlign w:val="center"/>
          </w:tcPr>
          <w:p w14:paraId="1BC1AE7A">
            <w:pPr>
              <w:jc w:val="center"/>
              <w:rPr>
                <w:color w:val="000000" w:themeColor="text1"/>
                <w:lang w:val="zh-CN"/>
                <w14:textFill>
                  <w14:solidFill>
                    <w14:schemeClr w14:val="tx1"/>
                  </w14:solidFill>
                </w14:textFill>
              </w:rPr>
            </w:pPr>
          </w:p>
        </w:tc>
        <w:tc>
          <w:tcPr>
            <w:tcW w:w="2142" w:type="dxa"/>
            <w:tcBorders>
              <w:top w:val="single" w:color="auto" w:sz="4" w:space="0"/>
              <w:left w:val="single" w:color="auto" w:sz="4" w:space="0"/>
              <w:bottom w:val="single" w:color="auto" w:sz="4" w:space="0"/>
              <w:right w:val="single" w:color="auto" w:sz="4" w:space="0"/>
            </w:tcBorders>
            <w:vAlign w:val="center"/>
          </w:tcPr>
          <w:p w14:paraId="51C64D0E">
            <w:pPr>
              <w:jc w:val="center"/>
              <w:rPr>
                <w:color w:val="000000" w:themeColor="text1"/>
                <w:lang w:val="zh-CN"/>
                <w14:textFill>
                  <w14:solidFill>
                    <w14:schemeClr w14:val="tx1"/>
                  </w14:solidFill>
                </w14:textFill>
              </w:rPr>
            </w:pPr>
          </w:p>
        </w:tc>
      </w:tr>
      <w:tr w14:paraId="07F96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028" w:type="dxa"/>
            <w:gridSpan w:val="2"/>
            <w:tcBorders>
              <w:top w:val="single" w:color="auto" w:sz="4" w:space="0"/>
              <w:left w:val="single" w:color="auto" w:sz="4" w:space="0"/>
              <w:bottom w:val="single" w:color="auto" w:sz="4" w:space="0"/>
              <w:right w:val="single" w:color="auto" w:sz="4" w:space="0"/>
            </w:tcBorders>
            <w:vAlign w:val="center"/>
          </w:tcPr>
          <w:p w14:paraId="5DD93A8A">
            <w:pPr>
              <w:widowControl/>
              <w:snapToGrid w:val="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投标报价（人民币）</w:t>
            </w:r>
          </w:p>
        </w:tc>
        <w:tc>
          <w:tcPr>
            <w:tcW w:w="5357" w:type="dxa"/>
            <w:gridSpan w:val="3"/>
            <w:tcBorders>
              <w:top w:val="single" w:color="auto" w:sz="4" w:space="0"/>
              <w:left w:val="single" w:color="auto" w:sz="4" w:space="0"/>
              <w:bottom w:val="single" w:color="auto" w:sz="4" w:space="0"/>
              <w:right w:val="single" w:color="auto" w:sz="4" w:space="0"/>
            </w:tcBorders>
            <w:vAlign w:val="center"/>
          </w:tcPr>
          <w:p w14:paraId="6331FFE5">
            <w:pPr>
              <w:pStyle w:val="16"/>
              <w:ind w:firstLine="0"/>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小写：人民币                元</w:t>
            </w:r>
          </w:p>
          <w:p w14:paraId="1C0C6378">
            <w:pPr>
              <w:pStyle w:val="16"/>
              <w:ind w:firstLine="0"/>
              <w:rPr>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大写：人民币</w:t>
            </w:r>
          </w:p>
        </w:tc>
      </w:tr>
      <w:tr w14:paraId="28859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028" w:type="dxa"/>
            <w:gridSpan w:val="2"/>
            <w:tcBorders>
              <w:top w:val="single" w:color="auto" w:sz="4" w:space="0"/>
              <w:left w:val="single" w:color="auto" w:sz="4" w:space="0"/>
              <w:bottom w:val="single" w:color="auto" w:sz="4" w:space="0"/>
              <w:right w:val="single" w:color="auto" w:sz="4" w:space="0"/>
            </w:tcBorders>
            <w:vAlign w:val="center"/>
          </w:tcPr>
          <w:p w14:paraId="697F273A">
            <w:pPr>
              <w:widowControl/>
              <w:snapToGrid w:val="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合同履行期限（交货期）</w:t>
            </w:r>
          </w:p>
        </w:tc>
        <w:tc>
          <w:tcPr>
            <w:tcW w:w="5357" w:type="dxa"/>
            <w:gridSpan w:val="3"/>
            <w:tcBorders>
              <w:top w:val="single" w:color="auto" w:sz="4" w:space="0"/>
              <w:left w:val="single" w:color="auto" w:sz="4" w:space="0"/>
              <w:bottom w:val="single" w:color="auto" w:sz="4" w:space="0"/>
              <w:right w:val="single" w:color="auto" w:sz="4" w:space="0"/>
            </w:tcBorders>
            <w:vAlign w:val="center"/>
          </w:tcPr>
          <w:p w14:paraId="58BF81A2">
            <w:pPr>
              <w:widowControl/>
              <w:snapToGrid w:val="0"/>
              <w:rPr>
                <w:color w:val="000000" w:themeColor="text1"/>
                <w:lang w:val="zh-CN"/>
                <w14:textFill>
                  <w14:solidFill>
                    <w14:schemeClr w14:val="tx1"/>
                  </w14:solidFill>
                </w14:textFill>
              </w:rPr>
            </w:pPr>
          </w:p>
        </w:tc>
      </w:tr>
      <w:tr w14:paraId="52C47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028" w:type="dxa"/>
            <w:gridSpan w:val="2"/>
            <w:tcBorders>
              <w:top w:val="single" w:color="auto" w:sz="4" w:space="0"/>
              <w:left w:val="single" w:color="auto" w:sz="4" w:space="0"/>
              <w:bottom w:val="single" w:color="auto" w:sz="4" w:space="0"/>
              <w:right w:val="single" w:color="auto" w:sz="4" w:space="0"/>
            </w:tcBorders>
            <w:vAlign w:val="center"/>
          </w:tcPr>
          <w:p w14:paraId="7B6ACED9">
            <w:pPr>
              <w:widowControl/>
              <w:snapToGrid w:val="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投标货物中有无进口产品</w:t>
            </w:r>
          </w:p>
        </w:tc>
        <w:tc>
          <w:tcPr>
            <w:tcW w:w="5357" w:type="dxa"/>
            <w:gridSpan w:val="3"/>
            <w:tcBorders>
              <w:top w:val="single" w:color="auto" w:sz="4" w:space="0"/>
              <w:left w:val="single" w:color="auto" w:sz="4" w:space="0"/>
              <w:bottom w:val="single" w:color="auto" w:sz="4" w:space="0"/>
              <w:right w:val="single" w:color="auto" w:sz="4" w:space="0"/>
            </w:tcBorders>
            <w:vAlign w:val="center"/>
          </w:tcPr>
          <w:p w14:paraId="557E526D">
            <w:pPr>
              <w:widowControl/>
              <w:snapToGrid w:val="0"/>
              <w:jc w:val="center"/>
              <w:rPr>
                <w:b/>
                <w:color w:val="000000" w:themeColor="text1"/>
                <w14:textFill>
                  <w14:solidFill>
                    <w14:schemeClr w14:val="tx1"/>
                  </w14:solidFill>
                </w14:textFill>
              </w:rPr>
            </w:pPr>
            <w:r>
              <w:rPr>
                <w:rFonts w:hint="eastAsia"/>
                <w:color w:val="000000" w:themeColor="text1"/>
                <w:lang w:val="zh-CN"/>
                <w14:textFill>
                  <w14:solidFill>
                    <w14:schemeClr w14:val="tx1"/>
                  </w14:solidFill>
                </w14:textFill>
              </w:rPr>
              <w:t>有</w:t>
            </w:r>
            <w:r>
              <w:rPr>
                <w:rFonts w:hint="eastAsia"/>
                <w:color w:val="000000" w:themeColor="text1"/>
                <w14:textFill>
                  <w14:solidFill>
                    <w14:schemeClr w14:val="tx1"/>
                  </w14:solidFill>
                </w14:textFill>
              </w:rPr>
              <w:t xml:space="preserve">       无</w:t>
            </w:r>
          </w:p>
        </w:tc>
      </w:tr>
      <w:tr w14:paraId="47DBB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028" w:type="dxa"/>
            <w:gridSpan w:val="2"/>
            <w:tcBorders>
              <w:top w:val="single" w:color="auto" w:sz="4" w:space="0"/>
              <w:left w:val="single" w:color="auto" w:sz="4" w:space="0"/>
              <w:bottom w:val="single" w:color="auto" w:sz="4" w:space="0"/>
              <w:right w:val="single" w:color="auto" w:sz="4" w:space="0"/>
            </w:tcBorders>
            <w:vAlign w:val="center"/>
          </w:tcPr>
          <w:p w14:paraId="748C40DC">
            <w:pPr>
              <w:widowControl/>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投标货物</w:t>
            </w:r>
            <w:r>
              <w:rPr>
                <w:rFonts w:hint="eastAsia"/>
                <w:color w:val="000000" w:themeColor="text1"/>
                <w14:textFill>
                  <w14:solidFill>
                    <w14:schemeClr w14:val="tx1"/>
                  </w14:solidFill>
                </w14:textFill>
              </w:rPr>
              <w:t>是否均由小微型企业制造</w:t>
            </w:r>
          </w:p>
        </w:tc>
        <w:tc>
          <w:tcPr>
            <w:tcW w:w="5357" w:type="dxa"/>
            <w:gridSpan w:val="3"/>
            <w:tcBorders>
              <w:top w:val="single" w:color="auto" w:sz="4" w:space="0"/>
              <w:left w:val="single" w:color="auto" w:sz="4" w:space="0"/>
              <w:bottom w:val="single" w:color="auto" w:sz="4" w:space="0"/>
              <w:right w:val="single" w:color="auto" w:sz="4" w:space="0"/>
            </w:tcBorders>
            <w:vAlign w:val="center"/>
          </w:tcPr>
          <w:p w14:paraId="71555B7A">
            <w:pPr>
              <w:widowControl/>
              <w:jc w:val="center"/>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是       否</w:t>
            </w:r>
          </w:p>
        </w:tc>
      </w:tr>
      <w:tr w14:paraId="44529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028" w:type="dxa"/>
            <w:gridSpan w:val="2"/>
            <w:tcBorders>
              <w:top w:val="single" w:color="auto" w:sz="4" w:space="0"/>
              <w:left w:val="single" w:color="auto" w:sz="4" w:space="0"/>
              <w:bottom w:val="single" w:color="auto" w:sz="4" w:space="0"/>
              <w:right w:val="single" w:color="auto" w:sz="4" w:space="0"/>
            </w:tcBorders>
            <w:vAlign w:val="center"/>
          </w:tcPr>
          <w:p w14:paraId="0DA9E435">
            <w:pPr>
              <w:widowControl/>
              <w:snapToGrid w:val="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投标货物是否</w:t>
            </w:r>
            <w:r>
              <w:rPr>
                <w:rFonts w:hint="eastAsia"/>
                <w:color w:val="000000" w:themeColor="text1"/>
                <w14:textFill>
                  <w14:solidFill>
                    <w14:schemeClr w14:val="tx1"/>
                  </w14:solidFill>
                </w14:textFill>
              </w:rPr>
              <w:t>均由</w:t>
            </w:r>
            <w:r>
              <w:rPr>
                <w:rFonts w:hint="eastAsia"/>
                <w:color w:val="000000" w:themeColor="text1"/>
                <w:lang w:val="zh-CN"/>
                <w14:textFill>
                  <w14:solidFill>
                    <w14:schemeClr w14:val="tx1"/>
                  </w14:solidFill>
                </w14:textFill>
              </w:rPr>
              <w:t>残疾人福利性单位</w:t>
            </w:r>
            <w:r>
              <w:rPr>
                <w:rFonts w:hint="eastAsia"/>
                <w:color w:val="000000" w:themeColor="text1"/>
                <w14:textFill>
                  <w14:solidFill>
                    <w14:schemeClr w14:val="tx1"/>
                  </w14:solidFill>
                </w14:textFill>
              </w:rPr>
              <w:t>制造</w:t>
            </w:r>
          </w:p>
        </w:tc>
        <w:tc>
          <w:tcPr>
            <w:tcW w:w="5357" w:type="dxa"/>
            <w:gridSpan w:val="3"/>
            <w:tcBorders>
              <w:top w:val="single" w:color="auto" w:sz="4" w:space="0"/>
              <w:left w:val="single" w:color="auto" w:sz="4" w:space="0"/>
              <w:bottom w:val="single" w:color="auto" w:sz="4" w:space="0"/>
              <w:right w:val="single" w:color="auto" w:sz="4" w:space="0"/>
            </w:tcBorders>
            <w:vAlign w:val="center"/>
          </w:tcPr>
          <w:p w14:paraId="2048EAC1">
            <w:pPr>
              <w:widowControl/>
              <w:jc w:val="center"/>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是       否</w:t>
            </w:r>
          </w:p>
        </w:tc>
      </w:tr>
      <w:tr w14:paraId="20F28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4028" w:type="dxa"/>
            <w:gridSpan w:val="2"/>
            <w:tcBorders>
              <w:top w:val="single" w:color="auto" w:sz="4" w:space="0"/>
              <w:left w:val="single" w:color="auto" w:sz="4" w:space="0"/>
              <w:bottom w:val="single" w:color="auto" w:sz="4" w:space="0"/>
              <w:right w:val="single" w:color="auto" w:sz="4" w:space="0"/>
            </w:tcBorders>
            <w:vAlign w:val="center"/>
          </w:tcPr>
          <w:p w14:paraId="30466733">
            <w:pPr>
              <w:widowControl/>
              <w:snapToGrid w:val="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投标货物是否</w:t>
            </w:r>
            <w:r>
              <w:rPr>
                <w:rFonts w:hint="eastAsia"/>
                <w:color w:val="000000" w:themeColor="text1"/>
                <w14:textFill>
                  <w14:solidFill>
                    <w14:schemeClr w14:val="tx1"/>
                  </w14:solidFill>
                </w14:textFill>
              </w:rPr>
              <w:t>均由</w:t>
            </w:r>
            <w:r>
              <w:rPr>
                <w:rFonts w:hint="eastAsia"/>
                <w:color w:val="000000" w:themeColor="text1"/>
                <w:lang w:val="zh-CN"/>
                <w14:textFill>
                  <w14:solidFill>
                    <w14:schemeClr w14:val="tx1"/>
                  </w14:solidFill>
                </w14:textFill>
              </w:rPr>
              <w:t>监狱企业</w:t>
            </w:r>
            <w:r>
              <w:rPr>
                <w:rFonts w:hint="eastAsia"/>
                <w:color w:val="000000" w:themeColor="text1"/>
                <w14:textFill>
                  <w14:solidFill>
                    <w14:schemeClr w14:val="tx1"/>
                  </w14:solidFill>
                </w14:textFill>
              </w:rPr>
              <w:t>制造</w:t>
            </w:r>
          </w:p>
        </w:tc>
        <w:tc>
          <w:tcPr>
            <w:tcW w:w="5357" w:type="dxa"/>
            <w:gridSpan w:val="3"/>
            <w:tcBorders>
              <w:top w:val="single" w:color="auto" w:sz="4" w:space="0"/>
              <w:left w:val="single" w:color="auto" w:sz="4" w:space="0"/>
              <w:bottom w:val="single" w:color="auto" w:sz="4" w:space="0"/>
              <w:right w:val="single" w:color="auto" w:sz="4" w:space="0"/>
            </w:tcBorders>
            <w:vAlign w:val="center"/>
          </w:tcPr>
          <w:p w14:paraId="6E5219A8">
            <w:pPr>
              <w:widowControl/>
              <w:jc w:val="center"/>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是       否</w:t>
            </w:r>
          </w:p>
        </w:tc>
      </w:tr>
    </w:tbl>
    <w:p w14:paraId="5686E7C6">
      <w:pPr>
        <w:widowControl/>
        <w:adjustRightInd w:val="0"/>
        <w:spacing w:line="360" w:lineRule="auto"/>
        <w:rPr>
          <w:color w:val="000000" w:themeColor="text1"/>
          <w:lang w:val="zh-CN"/>
          <w14:textFill>
            <w14:solidFill>
              <w14:schemeClr w14:val="tx1"/>
            </w14:solidFill>
          </w14:textFill>
        </w:rPr>
      </w:pPr>
    </w:p>
    <w:p w14:paraId="348D7AAC">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投标人名称：（盖章）</w:t>
      </w:r>
    </w:p>
    <w:p w14:paraId="1AC17B20">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说明：</w:t>
      </w:r>
    </w:p>
    <w:p w14:paraId="7CF1E7A1">
      <w:pPr>
        <w:widowControl/>
        <w:adjustRightInd w:val="0"/>
        <w:spacing w:line="360" w:lineRule="auto"/>
        <w:ind w:firstLine="42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1、在“投标货物中有无进口产品”栏后“有”或“无”上打“√”。</w:t>
      </w:r>
    </w:p>
    <w:p w14:paraId="42772432">
      <w:pPr>
        <w:widowControl/>
        <w:spacing w:line="360" w:lineRule="auto"/>
        <w:ind w:firstLine="42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2、在“投标货物</w:t>
      </w:r>
      <w:r>
        <w:rPr>
          <w:rFonts w:hint="eastAsia"/>
          <w:color w:val="000000" w:themeColor="text1"/>
          <w14:textFill>
            <w14:solidFill>
              <w14:schemeClr w14:val="tx1"/>
            </w14:solidFill>
          </w14:textFill>
        </w:rPr>
        <w:t>是否均由小微型企业制造</w:t>
      </w:r>
      <w:r>
        <w:rPr>
          <w:rFonts w:hint="eastAsia"/>
          <w:color w:val="000000" w:themeColor="text1"/>
          <w:lang w:val="zh-CN"/>
          <w14:textFill>
            <w14:solidFill>
              <w14:schemeClr w14:val="tx1"/>
            </w14:solidFill>
          </w14:textFill>
        </w:rPr>
        <w:t>”栏后“是”或“否”上打“√”</w:t>
      </w:r>
    </w:p>
    <w:p w14:paraId="22F8E7A7">
      <w:pPr>
        <w:widowControl/>
        <w:spacing w:line="360" w:lineRule="auto"/>
        <w:ind w:firstLine="42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3、在“投标货物是否</w:t>
      </w:r>
      <w:r>
        <w:rPr>
          <w:rFonts w:hint="eastAsia"/>
          <w:color w:val="000000" w:themeColor="text1"/>
          <w14:textFill>
            <w14:solidFill>
              <w14:schemeClr w14:val="tx1"/>
            </w14:solidFill>
          </w14:textFill>
        </w:rPr>
        <w:t>均由</w:t>
      </w:r>
      <w:r>
        <w:rPr>
          <w:rFonts w:hint="eastAsia"/>
          <w:color w:val="000000" w:themeColor="text1"/>
          <w:lang w:val="zh-CN"/>
          <w14:textFill>
            <w14:solidFill>
              <w14:schemeClr w14:val="tx1"/>
            </w14:solidFill>
          </w14:textFill>
        </w:rPr>
        <w:t>残疾人福利性单位</w:t>
      </w:r>
      <w:r>
        <w:rPr>
          <w:rFonts w:hint="eastAsia"/>
          <w:color w:val="000000" w:themeColor="text1"/>
          <w14:textFill>
            <w14:solidFill>
              <w14:schemeClr w14:val="tx1"/>
            </w14:solidFill>
          </w14:textFill>
        </w:rPr>
        <w:t>制造</w:t>
      </w:r>
      <w:r>
        <w:rPr>
          <w:rFonts w:hint="eastAsia"/>
          <w:color w:val="000000" w:themeColor="text1"/>
          <w:lang w:val="zh-CN"/>
          <w14:textFill>
            <w14:solidFill>
              <w14:schemeClr w14:val="tx1"/>
            </w14:solidFill>
          </w14:textFill>
        </w:rPr>
        <w:t>”栏后“是”或“否”上打“√”</w:t>
      </w:r>
    </w:p>
    <w:p w14:paraId="515A5023">
      <w:pPr>
        <w:widowControl/>
        <w:adjustRightInd w:val="0"/>
        <w:spacing w:line="360" w:lineRule="auto"/>
        <w:ind w:firstLine="420" w:firstLineChars="20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4、在“投标货物是否</w:t>
      </w:r>
      <w:r>
        <w:rPr>
          <w:rFonts w:hint="eastAsia"/>
          <w:color w:val="000000" w:themeColor="text1"/>
          <w14:textFill>
            <w14:solidFill>
              <w14:schemeClr w14:val="tx1"/>
            </w14:solidFill>
          </w14:textFill>
        </w:rPr>
        <w:t>均由</w:t>
      </w:r>
      <w:r>
        <w:rPr>
          <w:rFonts w:hint="eastAsia"/>
          <w:color w:val="000000" w:themeColor="text1"/>
          <w:lang w:val="zh-CN"/>
          <w14:textFill>
            <w14:solidFill>
              <w14:schemeClr w14:val="tx1"/>
            </w14:solidFill>
          </w14:textFill>
        </w:rPr>
        <w:t>监狱企业</w:t>
      </w:r>
      <w:r>
        <w:rPr>
          <w:rFonts w:hint="eastAsia"/>
          <w:color w:val="000000" w:themeColor="text1"/>
          <w14:textFill>
            <w14:solidFill>
              <w14:schemeClr w14:val="tx1"/>
            </w14:solidFill>
          </w14:textFill>
        </w:rPr>
        <w:t>制造</w:t>
      </w:r>
      <w:r>
        <w:rPr>
          <w:rFonts w:hint="eastAsia"/>
          <w:color w:val="000000" w:themeColor="text1"/>
          <w:lang w:val="zh-CN"/>
          <w14:textFill>
            <w14:solidFill>
              <w14:schemeClr w14:val="tx1"/>
            </w14:solidFill>
          </w14:textFill>
        </w:rPr>
        <w:t>”栏后“是”或“否”上打“√”</w:t>
      </w:r>
    </w:p>
    <w:p w14:paraId="764D0517">
      <w:pPr>
        <w:widowControl/>
        <w:adjustRightInd w:val="0"/>
        <w:spacing w:line="360" w:lineRule="auto"/>
        <w:ind w:firstLine="420" w:firstLineChars="200"/>
        <w:rPr>
          <w:color w:val="000000" w:themeColor="text1"/>
          <w:lang w:val="zh-CN"/>
          <w14:textFill>
            <w14:solidFill>
              <w14:schemeClr w14:val="tx1"/>
            </w14:solidFill>
          </w14:textFill>
        </w:rPr>
      </w:pPr>
    </w:p>
    <w:p w14:paraId="416236BE">
      <w:pPr>
        <w:pStyle w:val="446"/>
        <w:ind w:left="0"/>
        <w:outlineLvl w:val="9"/>
        <w:rPr>
          <w:color w:val="000000" w:themeColor="text1"/>
          <w:sz w:val="21"/>
          <w14:textFill>
            <w14:solidFill>
              <w14:schemeClr w14:val="tx1"/>
            </w14:solidFill>
          </w14:textFill>
        </w:rPr>
        <w:sectPr>
          <w:endnotePr>
            <w:numFmt w:val="decimal"/>
          </w:endnotePr>
          <w:pgSz w:w="11906" w:h="16838"/>
          <w:pgMar w:top="850" w:right="850" w:bottom="850" w:left="1418" w:header="340" w:footer="720" w:gutter="0"/>
          <w:cols w:space="0" w:num="1"/>
        </w:sectPr>
      </w:pPr>
    </w:p>
    <w:p w14:paraId="543BC77A">
      <w:pPr>
        <w:pStyle w:val="446"/>
        <w:ind w:left="0"/>
        <w:outlineLvl w:val="9"/>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目录</w:t>
      </w:r>
      <w:r>
        <w:rPr>
          <w:rFonts w:hint="eastAsia"/>
          <w:color w:val="000000" w:themeColor="text1"/>
          <w:sz w:val="21"/>
          <w:lang w:val="en-US"/>
          <w14:textFill>
            <w14:solidFill>
              <w14:schemeClr w14:val="tx1"/>
            </w14:solidFill>
          </w14:textFill>
        </w:rPr>
        <w:t>四</w:t>
      </w:r>
      <w:r>
        <w:rPr>
          <w:rFonts w:hint="eastAsia"/>
          <w:color w:val="000000" w:themeColor="text1"/>
          <w:sz w:val="21"/>
          <w14:textFill>
            <w14:solidFill>
              <w14:schemeClr w14:val="tx1"/>
            </w14:solidFill>
          </w14:textFill>
        </w:rPr>
        <w:t>、资格证明文件</w:t>
      </w:r>
    </w:p>
    <w:p w14:paraId="60985A0F">
      <w:pPr>
        <w:spacing w:line="360" w:lineRule="auto"/>
        <w:ind w:firstLine="420" w:firstLineChars="200"/>
        <w:rPr>
          <w:color w:val="000000" w:themeColor="text1"/>
          <w14:textFill>
            <w14:solidFill>
              <w14:schemeClr w14:val="tx1"/>
            </w14:solidFill>
          </w14:textFill>
        </w:rPr>
      </w:pPr>
      <w:bookmarkStart w:id="60" w:name="OLE_LINK6"/>
      <w:r>
        <w:rPr>
          <w:rFonts w:hint="eastAsia"/>
          <w:color w:val="000000" w:themeColor="text1"/>
          <w14:textFill>
            <w14:solidFill>
              <w14:schemeClr w14:val="tx1"/>
            </w14:solidFill>
          </w14:textFill>
        </w:rPr>
        <w:t>1.满足《中华人民共和国政府采购法》第二十二条规定；</w:t>
      </w:r>
    </w:p>
    <w:p w14:paraId="48D85C9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（1）具有独立承担民事责任的能力（提供法人或者其他组织的营业执照，自然人的身份证）；</w:t>
      </w:r>
    </w:p>
    <w:p w14:paraId="341F492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5340819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（3）具有履行合同所必需的设备和专业技术能力（根据项目需求提供履行合同所必需的设备和专业技术能力的证明材料或相关加盖公章的声明函）；  </w:t>
      </w:r>
    </w:p>
    <w:p w14:paraId="20C5CC6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（4）有依法缴纳税收和社会保障资金的良好记录</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提供投标截止时间前六个月内任意一个月的纳税证明文件（依法免缴的应提供相应文件说明），并提供投标截止时间前六个月内任意一个月的依法为员工缴纳社会保障资金的证明文件（依法免缴的应提供相应文件说明）</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w:t>
      </w:r>
    </w:p>
    <w:p w14:paraId="382E970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2610D38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（6）法律、行政法规规定的其他条件。（符合并提供承诺书加盖供应商公章编入响应文件中）。</w:t>
      </w:r>
    </w:p>
    <w:p w14:paraId="101F517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（7）注：①第（5）条所称重大违法记录，是指供应商因违法经营受到刑事处罚或者责令停产停业、吊销许可证或者执照、较大数额罚款等行政处罚。</w:t>
      </w:r>
    </w:p>
    <w:p w14:paraId="53C2C33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②供应商在参加政府采购活动前3年内因违法经营被禁止在一定期限内参加政府采购活动，期限届满的，可以参加政府采购活动。</w:t>
      </w:r>
    </w:p>
    <w:p w14:paraId="05CA0136">
      <w:pPr>
        <w:spacing w:line="360" w:lineRule="auto"/>
        <w:ind w:firstLine="420" w:firstLineChars="200"/>
        <w:rPr>
          <w:color w:val="000000" w:themeColor="text1"/>
          <w:shd w:val="clear" w:color="auto" w:fill="FFFFFF"/>
          <w14:textFill>
            <w14:solidFill>
              <w14:schemeClr w14:val="tx1"/>
            </w14:solidFill>
          </w14:textFill>
        </w:rPr>
      </w:pPr>
      <w:r>
        <w:rPr>
          <w:rFonts w:hint="eastAsia"/>
          <w:color w:val="000000" w:themeColor="text1"/>
          <w14:textFill>
            <w14:solidFill>
              <w14:schemeClr w14:val="tx1"/>
            </w14:solidFill>
          </w14:textFill>
        </w:rPr>
        <w:t>2.落实政府采购政策需满足的资格要求：</w:t>
      </w:r>
      <w:r>
        <w:rPr>
          <w:rFonts w:hint="eastAsia"/>
          <w:color w:val="000000" w:themeColor="text1"/>
          <w:shd w:val="clear" w:color="auto" w:fill="FFFFFF"/>
          <w14:textFill>
            <w14:solidFill>
              <w14:schemeClr w14:val="tx1"/>
            </w14:solidFill>
          </w14:textFill>
        </w:rPr>
        <w:t>本项目非专门面向中小企业采购的项目。供应商如为中小微型企业、监狱企业、残疾人福利性单位，提供的产品为国家认定的节能产品和环保产品的，须按要求提供相关材料。</w:t>
      </w:r>
    </w:p>
    <w:p w14:paraId="7A817CF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3.本项目的特定资格要求：无。</w:t>
      </w:r>
    </w:p>
    <w:p w14:paraId="77427A99">
      <w:pPr>
        <w:spacing w:line="360" w:lineRule="auto"/>
        <w:ind w:firstLine="420" w:firstLineChars="200"/>
        <w:rPr>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t>4.拒绝下述供应商参加本次采购活动（提供承诺书加盖供应商公章编入响应文件中）：</w:t>
      </w:r>
    </w:p>
    <w:p w14:paraId="4F6E8D2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（1）供应商单位负责人为同一人或者存在直接控股、管理关系的不同供应商，不得参加同一合同项下的采购活动。</w:t>
      </w:r>
    </w:p>
    <w:p w14:paraId="71DA64F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（2）凡为采购项目提供整体设计、规范编制或者项目管理、监理、检测等服务的供应商，不得再参加本项目的采购活动。</w:t>
      </w:r>
    </w:p>
    <w:p w14:paraId="463CD1F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p>
    <w:p w14:paraId="51B2F25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注：采购人或代理机构通过 “信用中国”网站（www.creditchina.gov.cn）、“中国政府采购网”网站（www.ccgp.gov.cn）等渠道查询供应商信用记录并保存。</w:t>
      </w:r>
    </w:p>
    <w:p w14:paraId="6F0DF7FC">
      <w:pPr>
        <w:spacing w:line="360" w:lineRule="auto"/>
        <w:ind w:firstLine="420" w:firstLineChars="200"/>
        <w:rPr>
          <w:color w:val="000000" w:themeColor="text1"/>
          <w14:textFill>
            <w14:solidFill>
              <w14:schemeClr w14:val="tx1"/>
            </w14:solidFill>
          </w14:textFill>
        </w:rPr>
      </w:pPr>
    </w:p>
    <w:bookmarkEnd w:id="60"/>
    <w:p w14:paraId="334DDC22">
      <w:pPr>
        <w:widowControl/>
        <w:adjustRightInd w:val="0"/>
        <w:spacing w:line="360" w:lineRule="auto"/>
        <w:rPr>
          <w:color w:val="000000" w:themeColor="text1"/>
          <w14:textFill>
            <w14:solidFill>
              <w14:schemeClr w14:val="tx1"/>
            </w14:solidFill>
          </w14:textFill>
        </w:rPr>
      </w:pPr>
    </w:p>
    <w:p w14:paraId="12150F90">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2DFAC692">
      <w:pPr>
        <w:widowControl/>
        <w:adjustRightInd w:val="0"/>
        <w:spacing w:line="240" w:lineRule="atLeast"/>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目录</w:t>
      </w:r>
      <w:r>
        <w:rPr>
          <w:rFonts w:hint="eastAsia"/>
          <w:b/>
          <w:color w:val="000000" w:themeColor="text1"/>
          <w14:textFill>
            <w14:solidFill>
              <w14:schemeClr w14:val="tx1"/>
            </w14:solidFill>
          </w14:textFill>
        </w:rPr>
        <w:t>五</w:t>
      </w:r>
      <w:r>
        <w:rPr>
          <w:rFonts w:hint="eastAsia"/>
          <w:b/>
          <w:color w:val="000000" w:themeColor="text1"/>
          <w:lang w:val="zh-CN"/>
          <w14:textFill>
            <w14:solidFill>
              <w14:schemeClr w14:val="tx1"/>
            </w14:solidFill>
          </w14:textFill>
        </w:rPr>
        <w:t>、分项报价表格式</w:t>
      </w:r>
    </w:p>
    <w:p w14:paraId="5C16C6D4">
      <w:pPr>
        <w:rPr>
          <w:color w:val="000000" w:themeColor="text1"/>
          <w:lang w:val="zh-CN"/>
          <w14:textFill>
            <w14:solidFill>
              <w14:schemeClr w14:val="tx1"/>
            </w14:solidFill>
          </w14:textFill>
        </w:rPr>
      </w:pPr>
    </w:p>
    <w:p w14:paraId="24F36F43">
      <w:pPr>
        <w:widowControl/>
        <w:adjustRightInd w:val="0"/>
        <w:spacing w:line="360" w:lineRule="auto"/>
        <w:ind w:left="420"/>
        <w:jc w:val="center"/>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分项报价表</w:t>
      </w:r>
    </w:p>
    <w:tbl>
      <w:tblPr>
        <w:tblStyle w:val="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251"/>
        <w:gridCol w:w="996"/>
        <w:gridCol w:w="1124"/>
        <w:gridCol w:w="997"/>
        <w:gridCol w:w="742"/>
        <w:gridCol w:w="1124"/>
        <w:gridCol w:w="1251"/>
        <w:gridCol w:w="1657"/>
      </w:tblGrid>
      <w:tr w14:paraId="49A4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39" w:type="dxa"/>
            <w:gridSpan w:val="6"/>
          </w:tcPr>
          <w:p w14:paraId="56D26211">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项目名称：</w:t>
            </w:r>
          </w:p>
        </w:tc>
        <w:tc>
          <w:tcPr>
            <w:tcW w:w="3489" w:type="dxa"/>
            <w:gridSpan w:val="3"/>
          </w:tcPr>
          <w:p w14:paraId="49BD76D9">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项目编号：</w:t>
            </w:r>
          </w:p>
        </w:tc>
      </w:tr>
      <w:tr w14:paraId="3138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616" w:type="dxa"/>
          </w:tcPr>
          <w:p w14:paraId="4B921786">
            <w:pPr>
              <w:widowControl/>
              <w:tabs>
                <w:tab w:val="left" w:pos="15"/>
              </w:tabs>
              <w:adjustRightInd w:val="0"/>
              <w:spacing w:line="360" w:lineRule="auto"/>
              <w:jc w:val="left"/>
              <w:rPr>
                <w:color w:val="000000" w:themeColor="text1"/>
                <w:lang w:val="zh-CN"/>
                <w14:textFill>
                  <w14:solidFill>
                    <w14:schemeClr w14:val="tx1"/>
                  </w14:solidFill>
                </w14:textFill>
              </w:rPr>
            </w:pPr>
            <w:r>
              <w:rPr>
                <w:color w:val="000000" w:themeColor="text1"/>
                <w:lang w:val="zh-CN"/>
                <w14:textFill>
                  <w14:solidFill>
                    <w14:schemeClr w14:val="tx1"/>
                  </w14:solidFill>
                </w14:textFill>
              </w:rPr>
              <w:tab/>
            </w:r>
            <w:r>
              <w:rPr>
                <w:rFonts w:hint="eastAsia"/>
                <w:color w:val="000000" w:themeColor="text1"/>
                <w:lang w:val="zh-CN"/>
                <w14:textFill>
                  <w14:solidFill>
                    <w14:schemeClr w14:val="tx1"/>
                  </w14:solidFill>
                </w14:textFill>
              </w:rPr>
              <w:t>序号</w:t>
            </w:r>
          </w:p>
        </w:tc>
        <w:tc>
          <w:tcPr>
            <w:tcW w:w="1083" w:type="dxa"/>
          </w:tcPr>
          <w:p w14:paraId="3F881BA3">
            <w:pPr>
              <w:widowControl/>
              <w:tabs>
                <w:tab w:val="left" w:pos="225"/>
              </w:tabs>
              <w:adjustRightInd w:val="0"/>
              <w:spacing w:line="360" w:lineRule="auto"/>
              <w:jc w:val="left"/>
              <w:rPr>
                <w:color w:val="000000" w:themeColor="text1"/>
                <w:lang w:val="zh-CN"/>
                <w14:textFill>
                  <w14:solidFill>
                    <w14:schemeClr w14:val="tx1"/>
                  </w14:solidFill>
                </w14:textFill>
              </w:rPr>
            </w:pPr>
            <w:r>
              <w:rPr>
                <w:color w:val="000000" w:themeColor="text1"/>
                <w:lang w:val="zh-CN"/>
                <w14:textFill>
                  <w14:solidFill>
                    <w14:schemeClr w14:val="tx1"/>
                  </w14:solidFill>
                </w14:textFill>
              </w:rPr>
              <w:tab/>
            </w:r>
            <w:r>
              <w:rPr>
                <w:rFonts w:hint="eastAsia"/>
                <w:color w:val="000000" w:themeColor="text1"/>
                <w:lang w:val="zh-CN"/>
                <w14:textFill>
                  <w14:solidFill>
                    <w14:schemeClr w14:val="tx1"/>
                  </w14:solidFill>
                </w14:textFill>
              </w:rPr>
              <w:t>名称</w:t>
            </w:r>
          </w:p>
        </w:tc>
        <w:tc>
          <w:tcPr>
            <w:tcW w:w="862" w:type="dxa"/>
          </w:tcPr>
          <w:p w14:paraId="7094C4F6">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品牌</w:t>
            </w:r>
          </w:p>
        </w:tc>
        <w:tc>
          <w:tcPr>
            <w:tcW w:w="973" w:type="dxa"/>
          </w:tcPr>
          <w:p w14:paraId="6C73C2AE">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规格型号</w:t>
            </w:r>
          </w:p>
        </w:tc>
        <w:tc>
          <w:tcPr>
            <w:tcW w:w="863" w:type="dxa"/>
          </w:tcPr>
          <w:p w14:paraId="1B4F1B9D">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产地</w:t>
            </w:r>
          </w:p>
        </w:tc>
        <w:tc>
          <w:tcPr>
            <w:tcW w:w="642" w:type="dxa"/>
          </w:tcPr>
          <w:p w14:paraId="6A4451F6">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数量</w:t>
            </w:r>
          </w:p>
        </w:tc>
        <w:tc>
          <w:tcPr>
            <w:tcW w:w="973" w:type="dxa"/>
          </w:tcPr>
          <w:p w14:paraId="65AF0FC7">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投标单价</w:t>
            </w:r>
          </w:p>
        </w:tc>
        <w:tc>
          <w:tcPr>
            <w:tcW w:w="1083" w:type="dxa"/>
          </w:tcPr>
          <w:p w14:paraId="712B2221">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投标报价</w:t>
            </w:r>
          </w:p>
        </w:tc>
        <w:tc>
          <w:tcPr>
            <w:tcW w:w="1433" w:type="dxa"/>
          </w:tcPr>
          <w:p w14:paraId="6EA09657">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是否属于小、微型企业的产品</w:t>
            </w:r>
          </w:p>
        </w:tc>
      </w:tr>
      <w:tr w14:paraId="1EAC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16" w:type="dxa"/>
          </w:tcPr>
          <w:p w14:paraId="5E3406C1">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3C809D0F">
            <w:pPr>
              <w:widowControl/>
              <w:adjustRightInd w:val="0"/>
              <w:spacing w:line="360" w:lineRule="auto"/>
              <w:jc w:val="left"/>
              <w:rPr>
                <w:color w:val="000000" w:themeColor="text1"/>
                <w:lang w:val="zh-CN"/>
                <w14:textFill>
                  <w14:solidFill>
                    <w14:schemeClr w14:val="tx1"/>
                  </w14:solidFill>
                </w14:textFill>
              </w:rPr>
            </w:pPr>
          </w:p>
        </w:tc>
        <w:tc>
          <w:tcPr>
            <w:tcW w:w="862" w:type="dxa"/>
          </w:tcPr>
          <w:p w14:paraId="452BB00E">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4043CC1D">
            <w:pPr>
              <w:widowControl/>
              <w:adjustRightInd w:val="0"/>
              <w:spacing w:line="360" w:lineRule="auto"/>
              <w:jc w:val="left"/>
              <w:rPr>
                <w:color w:val="000000" w:themeColor="text1"/>
                <w:lang w:val="zh-CN"/>
                <w14:textFill>
                  <w14:solidFill>
                    <w14:schemeClr w14:val="tx1"/>
                  </w14:solidFill>
                </w14:textFill>
              </w:rPr>
            </w:pPr>
          </w:p>
        </w:tc>
        <w:tc>
          <w:tcPr>
            <w:tcW w:w="863" w:type="dxa"/>
          </w:tcPr>
          <w:p w14:paraId="5C03C4A7">
            <w:pPr>
              <w:widowControl/>
              <w:adjustRightInd w:val="0"/>
              <w:spacing w:line="360" w:lineRule="auto"/>
              <w:jc w:val="left"/>
              <w:rPr>
                <w:color w:val="000000" w:themeColor="text1"/>
                <w:lang w:val="zh-CN"/>
                <w14:textFill>
                  <w14:solidFill>
                    <w14:schemeClr w14:val="tx1"/>
                  </w14:solidFill>
                </w14:textFill>
              </w:rPr>
            </w:pPr>
          </w:p>
        </w:tc>
        <w:tc>
          <w:tcPr>
            <w:tcW w:w="642" w:type="dxa"/>
          </w:tcPr>
          <w:p w14:paraId="0B2D0161">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23C22EA3">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52F7874A">
            <w:pPr>
              <w:widowControl/>
              <w:adjustRightInd w:val="0"/>
              <w:spacing w:line="360" w:lineRule="auto"/>
              <w:jc w:val="left"/>
              <w:rPr>
                <w:color w:val="000000" w:themeColor="text1"/>
                <w:lang w:val="zh-CN"/>
                <w14:textFill>
                  <w14:solidFill>
                    <w14:schemeClr w14:val="tx1"/>
                  </w14:solidFill>
                </w14:textFill>
              </w:rPr>
            </w:pPr>
          </w:p>
        </w:tc>
        <w:tc>
          <w:tcPr>
            <w:tcW w:w="1433" w:type="dxa"/>
          </w:tcPr>
          <w:p w14:paraId="0E1FA9C1">
            <w:pPr>
              <w:widowControl/>
              <w:adjustRightInd w:val="0"/>
              <w:spacing w:line="360" w:lineRule="auto"/>
              <w:jc w:val="left"/>
              <w:rPr>
                <w:color w:val="000000" w:themeColor="text1"/>
                <w:lang w:val="zh-CN"/>
                <w14:textFill>
                  <w14:solidFill>
                    <w14:schemeClr w14:val="tx1"/>
                  </w14:solidFill>
                </w14:textFill>
              </w:rPr>
            </w:pPr>
          </w:p>
        </w:tc>
      </w:tr>
      <w:tr w14:paraId="4165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16" w:type="dxa"/>
          </w:tcPr>
          <w:p w14:paraId="00DA8ED5">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2F652884">
            <w:pPr>
              <w:widowControl/>
              <w:adjustRightInd w:val="0"/>
              <w:spacing w:line="360" w:lineRule="auto"/>
              <w:jc w:val="left"/>
              <w:rPr>
                <w:color w:val="000000" w:themeColor="text1"/>
                <w:lang w:val="zh-CN"/>
                <w14:textFill>
                  <w14:solidFill>
                    <w14:schemeClr w14:val="tx1"/>
                  </w14:solidFill>
                </w14:textFill>
              </w:rPr>
            </w:pPr>
          </w:p>
        </w:tc>
        <w:tc>
          <w:tcPr>
            <w:tcW w:w="862" w:type="dxa"/>
          </w:tcPr>
          <w:p w14:paraId="5C55FED3">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1EB58E05">
            <w:pPr>
              <w:widowControl/>
              <w:adjustRightInd w:val="0"/>
              <w:spacing w:line="360" w:lineRule="auto"/>
              <w:jc w:val="left"/>
              <w:rPr>
                <w:color w:val="000000" w:themeColor="text1"/>
                <w:lang w:val="zh-CN"/>
                <w14:textFill>
                  <w14:solidFill>
                    <w14:schemeClr w14:val="tx1"/>
                  </w14:solidFill>
                </w14:textFill>
              </w:rPr>
            </w:pPr>
          </w:p>
        </w:tc>
        <w:tc>
          <w:tcPr>
            <w:tcW w:w="863" w:type="dxa"/>
          </w:tcPr>
          <w:p w14:paraId="37C5AF0F">
            <w:pPr>
              <w:widowControl/>
              <w:adjustRightInd w:val="0"/>
              <w:spacing w:line="360" w:lineRule="auto"/>
              <w:jc w:val="left"/>
              <w:rPr>
                <w:color w:val="000000" w:themeColor="text1"/>
                <w:lang w:val="zh-CN"/>
                <w14:textFill>
                  <w14:solidFill>
                    <w14:schemeClr w14:val="tx1"/>
                  </w14:solidFill>
                </w14:textFill>
              </w:rPr>
            </w:pPr>
          </w:p>
        </w:tc>
        <w:tc>
          <w:tcPr>
            <w:tcW w:w="642" w:type="dxa"/>
          </w:tcPr>
          <w:p w14:paraId="46177F7B">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639DA159">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2B6FF77D">
            <w:pPr>
              <w:widowControl/>
              <w:adjustRightInd w:val="0"/>
              <w:spacing w:line="360" w:lineRule="auto"/>
              <w:jc w:val="left"/>
              <w:rPr>
                <w:color w:val="000000" w:themeColor="text1"/>
                <w:lang w:val="zh-CN"/>
                <w14:textFill>
                  <w14:solidFill>
                    <w14:schemeClr w14:val="tx1"/>
                  </w14:solidFill>
                </w14:textFill>
              </w:rPr>
            </w:pPr>
          </w:p>
        </w:tc>
        <w:tc>
          <w:tcPr>
            <w:tcW w:w="1433" w:type="dxa"/>
          </w:tcPr>
          <w:p w14:paraId="720C4E37">
            <w:pPr>
              <w:widowControl/>
              <w:adjustRightInd w:val="0"/>
              <w:spacing w:line="360" w:lineRule="auto"/>
              <w:jc w:val="left"/>
              <w:rPr>
                <w:color w:val="000000" w:themeColor="text1"/>
                <w:lang w:val="zh-CN"/>
                <w14:textFill>
                  <w14:solidFill>
                    <w14:schemeClr w14:val="tx1"/>
                  </w14:solidFill>
                </w14:textFill>
              </w:rPr>
            </w:pPr>
          </w:p>
        </w:tc>
      </w:tr>
      <w:tr w14:paraId="4131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16" w:type="dxa"/>
          </w:tcPr>
          <w:p w14:paraId="7C1F47DC">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69699300">
            <w:pPr>
              <w:widowControl/>
              <w:adjustRightInd w:val="0"/>
              <w:spacing w:line="360" w:lineRule="auto"/>
              <w:jc w:val="left"/>
              <w:rPr>
                <w:color w:val="000000" w:themeColor="text1"/>
                <w:lang w:val="zh-CN"/>
                <w14:textFill>
                  <w14:solidFill>
                    <w14:schemeClr w14:val="tx1"/>
                  </w14:solidFill>
                </w14:textFill>
              </w:rPr>
            </w:pPr>
          </w:p>
        </w:tc>
        <w:tc>
          <w:tcPr>
            <w:tcW w:w="862" w:type="dxa"/>
          </w:tcPr>
          <w:p w14:paraId="64FC42AE">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705B71EA">
            <w:pPr>
              <w:widowControl/>
              <w:adjustRightInd w:val="0"/>
              <w:spacing w:line="360" w:lineRule="auto"/>
              <w:jc w:val="left"/>
              <w:rPr>
                <w:color w:val="000000" w:themeColor="text1"/>
                <w:lang w:val="zh-CN"/>
                <w14:textFill>
                  <w14:solidFill>
                    <w14:schemeClr w14:val="tx1"/>
                  </w14:solidFill>
                </w14:textFill>
              </w:rPr>
            </w:pPr>
          </w:p>
        </w:tc>
        <w:tc>
          <w:tcPr>
            <w:tcW w:w="863" w:type="dxa"/>
          </w:tcPr>
          <w:p w14:paraId="5F91AE68">
            <w:pPr>
              <w:widowControl/>
              <w:adjustRightInd w:val="0"/>
              <w:spacing w:line="360" w:lineRule="auto"/>
              <w:jc w:val="left"/>
              <w:rPr>
                <w:color w:val="000000" w:themeColor="text1"/>
                <w:lang w:val="zh-CN"/>
                <w14:textFill>
                  <w14:solidFill>
                    <w14:schemeClr w14:val="tx1"/>
                  </w14:solidFill>
                </w14:textFill>
              </w:rPr>
            </w:pPr>
          </w:p>
        </w:tc>
        <w:tc>
          <w:tcPr>
            <w:tcW w:w="642" w:type="dxa"/>
          </w:tcPr>
          <w:p w14:paraId="1741FFBE">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159B47D0">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54EA689F">
            <w:pPr>
              <w:widowControl/>
              <w:adjustRightInd w:val="0"/>
              <w:spacing w:line="360" w:lineRule="auto"/>
              <w:jc w:val="left"/>
              <w:rPr>
                <w:color w:val="000000" w:themeColor="text1"/>
                <w:lang w:val="zh-CN"/>
                <w14:textFill>
                  <w14:solidFill>
                    <w14:schemeClr w14:val="tx1"/>
                  </w14:solidFill>
                </w14:textFill>
              </w:rPr>
            </w:pPr>
          </w:p>
        </w:tc>
        <w:tc>
          <w:tcPr>
            <w:tcW w:w="1433" w:type="dxa"/>
          </w:tcPr>
          <w:p w14:paraId="5B9588C5">
            <w:pPr>
              <w:widowControl/>
              <w:adjustRightInd w:val="0"/>
              <w:spacing w:line="360" w:lineRule="auto"/>
              <w:jc w:val="left"/>
              <w:rPr>
                <w:color w:val="000000" w:themeColor="text1"/>
                <w:lang w:val="zh-CN"/>
                <w14:textFill>
                  <w14:solidFill>
                    <w14:schemeClr w14:val="tx1"/>
                  </w14:solidFill>
                </w14:textFill>
              </w:rPr>
            </w:pPr>
          </w:p>
        </w:tc>
      </w:tr>
      <w:tr w14:paraId="10A0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16" w:type="dxa"/>
          </w:tcPr>
          <w:p w14:paraId="3D099C37">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2EC344D9">
            <w:pPr>
              <w:widowControl/>
              <w:adjustRightInd w:val="0"/>
              <w:spacing w:line="360" w:lineRule="auto"/>
              <w:jc w:val="left"/>
              <w:rPr>
                <w:color w:val="000000" w:themeColor="text1"/>
                <w:lang w:val="zh-CN"/>
                <w14:textFill>
                  <w14:solidFill>
                    <w14:schemeClr w14:val="tx1"/>
                  </w14:solidFill>
                </w14:textFill>
              </w:rPr>
            </w:pPr>
          </w:p>
        </w:tc>
        <w:tc>
          <w:tcPr>
            <w:tcW w:w="862" w:type="dxa"/>
          </w:tcPr>
          <w:p w14:paraId="14A7D673">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216F1133">
            <w:pPr>
              <w:widowControl/>
              <w:adjustRightInd w:val="0"/>
              <w:spacing w:line="360" w:lineRule="auto"/>
              <w:jc w:val="left"/>
              <w:rPr>
                <w:color w:val="000000" w:themeColor="text1"/>
                <w:lang w:val="zh-CN"/>
                <w14:textFill>
                  <w14:solidFill>
                    <w14:schemeClr w14:val="tx1"/>
                  </w14:solidFill>
                </w14:textFill>
              </w:rPr>
            </w:pPr>
          </w:p>
        </w:tc>
        <w:tc>
          <w:tcPr>
            <w:tcW w:w="863" w:type="dxa"/>
          </w:tcPr>
          <w:p w14:paraId="1D7A01B3">
            <w:pPr>
              <w:widowControl/>
              <w:adjustRightInd w:val="0"/>
              <w:spacing w:line="360" w:lineRule="auto"/>
              <w:jc w:val="left"/>
              <w:rPr>
                <w:color w:val="000000" w:themeColor="text1"/>
                <w:lang w:val="zh-CN"/>
                <w14:textFill>
                  <w14:solidFill>
                    <w14:schemeClr w14:val="tx1"/>
                  </w14:solidFill>
                </w14:textFill>
              </w:rPr>
            </w:pPr>
          </w:p>
        </w:tc>
        <w:tc>
          <w:tcPr>
            <w:tcW w:w="642" w:type="dxa"/>
          </w:tcPr>
          <w:p w14:paraId="70EAD3CE">
            <w:pPr>
              <w:widowControl/>
              <w:adjustRightInd w:val="0"/>
              <w:spacing w:line="360" w:lineRule="auto"/>
              <w:jc w:val="left"/>
              <w:rPr>
                <w:color w:val="000000" w:themeColor="text1"/>
                <w:lang w:val="zh-CN"/>
                <w14:textFill>
                  <w14:solidFill>
                    <w14:schemeClr w14:val="tx1"/>
                  </w14:solidFill>
                </w14:textFill>
              </w:rPr>
            </w:pPr>
          </w:p>
        </w:tc>
        <w:tc>
          <w:tcPr>
            <w:tcW w:w="973" w:type="dxa"/>
          </w:tcPr>
          <w:p w14:paraId="2AE07FB9">
            <w:pPr>
              <w:widowControl/>
              <w:adjustRightInd w:val="0"/>
              <w:spacing w:line="360" w:lineRule="auto"/>
              <w:jc w:val="left"/>
              <w:rPr>
                <w:color w:val="000000" w:themeColor="text1"/>
                <w:lang w:val="zh-CN"/>
                <w14:textFill>
                  <w14:solidFill>
                    <w14:schemeClr w14:val="tx1"/>
                  </w14:solidFill>
                </w14:textFill>
              </w:rPr>
            </w:pPr>
          </w:p>
        </w:tc>
        <w:tc>
          <w:tcPr>
            <w:tcW w:w="1083" w:type="dxa"/>
          </w:tcPr>
          <w:p w14:paraId="3A18BAE7">
            <w:pPr>
              <w:widowControl/>
              <w:adjustRightInd w:val="0"/>
              <w:spacing w:line="360" w:lineRule="auto"/>
              <w:jc w:val="left"/>
              <w:rPr>
                <w:color w:val="000000" w:themeColor="text1"/>
                <w:lang w:val="zh-CN"/>
                <w14:textFill>
                  <w14:solidFill>
                    <w14:schemeClr w14:val="tx1"/>
                  </w14:solidFill>
                </w14:textFill>
              </w:rPr>
            </w:pPr>
          </w:p>
        </w:tc>
        <w:tc>
          <w:tcPr>
            <w:tcW w:w="1433" w:type="dxa"/>
          </w:tcPr>
          <w:p w14:paraId="6DC2B9EE">
            <w:pPr>
              <w:widowControl/>
              <w:adjustRightInd w:val="0"/>
              <w:spacing w:line="360" w:lineRule="auto"/>
              <w:jc w:val="left"/>
              <w:rPr>
                <w:color w:val="000000" w:themeColor="text1"/>
                <w:lang w:val="zh-CN"/>
                <w14:textFill>
                  <w14:solidFill>
                    <w14:schemeClr w14:val="tx1"/>
                  </w14:solidFill>
                </w14:textFill>
              </w:rPr>
            </w:pPr>
          </w:p>
        </w:tc>
      </w:tr>
      <w:tr w14:paraId="245B6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528" w:type="dxa"/>
            <w:gridSpan w:val="9"/>
          </w:tcPr>
          <w:p w14:paraId="5F0E08BD">
            <w:pPr>
              <w:widowControl/>
              <w:adjustRightInd w:val="0"/>
              <w:spacing w:line="360" w:lineRule="auto"/>
              <w:jc w:val="lef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总价小计：</w:t>
            </w:r>
          </w:p>
        </w:tc>
      </w:tr>
      <w:tr w14:paraId="3CC8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528" w:type="dxa"/>
            <w:gridSpan w:val="9"/>
            <w:shd w:val="clear" w:color="auto" w:fill="auto"/>
            <w:vAlign w:val="center"/>
          </w:tcPr>
          <w:p w14:paraId="0648110E">
            <w:pPr>
              <w:widowControl/>
              <w:adjustRightInd w:val="0"/>
              <w:spacing w:line="360" w:lineRule="auto"/>
              <w:jc w:val="both"/>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本采购</w:t>
            </w:r>
            <w:r>
              <w:rPr>
                <w:rFonts w:hint="eastAsia"/>
                <w:color w:val="000000" w:themeColor="text1"/>
                <w14:textFill>
                  <w14:solidFill>
                    <w14:schemeClr w14:val="tx1"/>
                  </w14:solidFill>
                </w14:textFill>
              </w:rPr>
              <w:t>包</w:t>
            </w:r>
            <w:r>
              <w:rPr>
                <w:rFonts w:hint="eastAsia"/>
                <w:color w:val="000000" w:themeColor="text1"/>
                <w:lang w:val="zh-CN"/>
                <w14:textFill>
                  <w14:solidFill>
                    <w14:schemeClr w14:val="tx1"/>
                  </w14:solidFill>
                </w14:textFill>
              </w:rPr>
              <w:t>中提供的符合本国产品标准的产品成本之和占该采购包提供的全部产品成本之和的比例为</w:t>
            </w:r>
            <w:r>
              <w:rPr>
                <w:rFonts w:hint="eastAsia"/>
                <w:color w:val="000000" w:themeColor="text1"/>
                <w14:textFill>
                  <w14:solidFill>
                    <w14:schemeClr w14:val="tx1"/>
                  </w14:solidFill>
                </w14:textFill>
              </w:rPr>
              <w:t>_____</w:t>
            </w:r>
            <w:r>
              <w:rPr>
                <w:rFonts w:hint="eastAsia"/>
                <w:color w:val="000000" w:themeColor="text1"/>
                <w:lang w:val="zh-CN"/>
                <w14:textFill>
                  <w14:solidFill>
                    <w14:schemeClr w14:val="tx1"/>
                  </w14:solidFill>
                </w14:textFill>
              </w:rPr>
              <w:t>%。</w:t>
            </w:r>
          </w:p>
        </w:tc>
      </w:tr>
    </w:tbl>
    <w:p w14:paraId="69878405">
      <w:pPr>
        <w:widowControl/>
        <w:snapToGrid w:val="0"/>
        <w:spacing w:line="360" w:lineRule="auto"/>
        <w:rPr>
          <w:color w:val="000000" w:themeColor="text1"/>
          <w14:textFill>
            <w14:solidFill>
              <w14:schemeClr w14:val="tx1"/>
            </w14:solidFill>
          </w14:textFill>
        </w:rPr>
      </w:pPr>
    </w:p>
    <w:p w14:paraId="20C160D0">
      <w:pPr>
        <w:widowControl/>
        <w:snapToGri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投标人名称：（盖章）</w:t>
      </w:r>
    </w:p>
    <w:p w14:paraId="3C85062D">
      <w:pPr>
        <w:widowControl/>
        <w:snapToGrid w:val="0"/>
        <w:spacing w:line="360" w:lineRule="auto"/>
        <w:rPr>
          <w:color w:val="000000" w:themeColor="text1"/>
          <w:lang w:val="zh-CN"/>
          <w14:textFill>
            <w14:solidFill>
              <w14:schemeClr w14:val="tx1"/>
            </w14:solidFill>
          </w14:textFill>
        </w:rPr>
      </w:pPr>
    </w:p>
    <w:p w14:paraId="3F8ABFCE">
      <w:pPr>
        <w:widowControl/>
        <w:snapToGrid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说明：1、如果行数不够，请自行增加。</w:t>
      </w:r>
    </w:p>
    <w:p w14:paraId="6B4757B9">
      <w:pPr>
        <w:widowControl/>
        <w:snapToGrid w:val="0"/>
        <w:spacing w:line="360" w:lineRule="auto"/>
        <w:rPr>
          <w:b/>
          <w:color w:val="000000" w:themeColor="text1"/>
          <w:lang w:val="zh-CN"/>
          <w14:textFill>
            <w14:solidFill>
              <w14:schemeClr w14:val="tx1"/>
            </w14:solidFill>
          </w14:textFill>
        </w:rPr>
      </w:pPr>
      <w:r>
        <w:rPr>
          <w:color w:val="000000" w:themeColor="text1"/>
          <w14:textFill>
            <w14:solidFill>
              <w14:schemeClr w14:val="tx1"/>
            </w14:solidFill>
          </w14:textFill>
        </w:rPr>
        <w:t xml:space="preserve"> 2、在“是否属于小、微型企业的产品”栏内，填写“是”或“否”，如果小微型企业的产品报价 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p>
    <w:p w14:paraId="366D9B2C">
      <w:pPr>
        <w:widowControl/>
        <w:spacing w:line="360" w:lineRule="auto"/>
        <w:rPr>
          <w:b/>
          <w:color w:val="000000" w:themeColor="text1"/>
          <w:lang w:val="zh-CN"/>
          <w14:textFill>
            <w14:solidFill>
              <w14:schemeClr w14:val="tx1"/>
            </w14:solidFill>
          </w14:textFill>
        </w:rPr>
      </w:pPr>
      <w:r>
        <w:rPr>
          <w:rFonts w:hint="eastAsia"/>
          <w:color w:val="000000" w:themeColor="text1"/>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r>
        <w:rPr>
          <w:b/>
          <w:color w:val="000000" w:themeColor="text1"/>
          <w:lang w:val="zh-CN"/>
          <w14:textFill>
            <w14:solidFill>
              <w14:schemeClr w14:val="tx1"/>
            </w14:solidFill>
          </w14:textFill>
        </w:rPr>
        <w:br w:type="page"/>
      </w:r>
    </w:p>
    <w:p w14:paraId="7985358F">
      <w:pPr>
        <w:widowControl/>
        <w:snapToGrid w:val="0"/>
        <w:spacing w:line="360" w:lineRule="auto"/>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目录</w:t>
      </w:r>
      <w:r>
        <w:rPr>
          <w:rFonts w:hint="eastAsia"/>
          <w:b/>
          <w:color w:val="000000" w:themeColor="text1"/>
          <w14:textFill>
            <w14:solidFill>
              <w14:schemeClr w14:val="tx1"/>
            </w14:solidFill>
          </w14:textFill>
        </w:rPr>
        <w:t>六</w:t>
      </w:r>
      <w:r>
        <w:rPr>
          <w:rFonts w:hint="eastAsia"/>
          <w:b/>
          <w:color w:val="000000" w:themeColor="text1"/>
          <w:lang w:val="zh-CN"/>
          <w14:textFill>
            <w14:solidFill>
              <w14:schemeClr w14:val="tx1"/>
            </w14:solidFill>
          </w14:textFill>
        </w:rPr>
        <w:t>、技术条款偏离表格式</w:t>
      </w:r>
    </w:p>
    <w:p w14:paraId="5F17801B">
      <w:pPr>
        <w:widowControl/>
        <w:adjustRightInd w:val="0"/>
        <w:spacing w:line="360" w:lineRule="auto"/>
        <w:ind w:left="420"/>
        <w:jc w:val="center"/>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技术条款偏离表</w:t>
      </w:r>
    </w:p>
    <w:tbl>
      <w:tblPr>
        <w:tblStyle w:val="65"/>
        <w:tblW w:w="9435" w:type="dxa"/>
        <w:jc w:val="center"/>
        <w:tblLayout w:type="fixed"/>
        <w:tblCellMar>
          <w:top w:w="0" w:type="dxa"/>
          <w:left w:w="0" w:type="dxa"/>
          <w:bottom w:w="0" w:type="dxa"/>
          <w:right w:w="0" w:type="dxa"/>
        </w:tblCellMar>
      </w:tblPr>
      <w:tblGrid>
        <w:gridCol w:w="765"/>
        <w:gridCol w:w="1620"/>
        <w:gridCol w:w="2700"/>
        <w:gridCol w:w="1411"/>
        <w:gridCol w:w="1152"/>
        <w:gridCol w:w="795"/>
        <w:gridCol w:w="992"/>
      </w:tblGrid>
      <w:tr w14:paraId="0DEC7461">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933A17">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项目名称：</w:t>
            </w:r>
          </w:p>
        </w:tc>
        <w:tc>
          <w:tcPr>
            <w:tcW w:w="2939" w:type="dxa"/>
            <w:gridSpan w:val="3"/>
            <w:tcBorders>
              <w:top w:val="nil"/>
              <w:left w:val="nil"/>
              <w:bottom w:val="single" w:color="auto" w:sz="6" w:space="0"/>
              <w:right w:val="nil"/>
            </w:tcBorders>
            <w:vAlign w:val="center"/>
          </w:tcPr>
          <w:p w14:paraId="60FA20D3">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项目编号：</w:t>
            </w:r>
          </w:p>
        </w:tc>
      </w:tr>
      <w:tr w14:paraId="591CEE11">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B2B1488">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3E84D6B6">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招标文件条目号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54D0E2CA">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招标文件要求的</w:t>
            </w:r>
            <w:r>
              <w:rPr>
                <w:rFonts w:hint="eastAsia"/>
                <w:color w:val="000000" w:themeColor="text1"/>
                <w14:textFill>
                  <w14:solidFill>
                    <w14:schemeClr w14:val="tx1"/>
                  </w14:solidFill>
                </w14:textFill>
              </w:rPr>
              <w:t>技术</w:t>
            </w:r>
            <w:r>
              <w:rPr>
                <w:rFonts w:hint="eastAsia"/>
                <w:color w:val="000000" w:themeColor="text1"/>
                <w:lang w:val="zh-CN"/>
                <w14:textFill>
                  <w14:solidFill>
                    <w14:schemeClr w14:val="tx1"/>
                  </w14:solidFill>
                </w14:textFill>
              </w:rPr>
              <w:t>条款</w:t>
            </w:r>
          </w:p>
        </w:tc>
        <w:tc>
          <w:tcPr>
            <w:tcW w:w="2563" w:type="dxa"/>
            <w:gridSpan w:val="2"/>
            <w:tcBorders>
              <w:top w:val="single" w:color="auto" w:sz="6" w:space="0"/>
              <w:left w:val="single" w:color="auto" w:sz="6" w:space="0"/>
              <w:bottom w:val="single" w:color="auto" w:sz="6" w:space="0"/>
              <w:right w:val="single" w:color="auto" w:sz="6" w:space="0"/>
            </w:tcBorders>
            <w:vAlign w:val="center"/>
          </w:tcPr>
          <w:p w14:paraId="3A500AEF">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投标响应</w:t>
            </w:r>
          </w:p>
        </w:tc>
        <w:tc>
          <w:tcPr>
            <w:tcW w:w="795" w:type="dxa"/>
            <w:tcBorders>
              <w:top w:val="single" w:color="auto" w:sz="6" w:space="0"/>
              <w:left w:val="single" w:color="auto" w:sz="6" w:space="0"/>
              <w:bottom w:val="single" w:color="auto" w:sz="6" w:space="0"/>
              <w:right w:val="single" w:color="auto" w:sz="6" w:space="0"/>
            </w:tcBorders>
            <w:vAlign w:val="center"/>
          </w:tcPr>
          <w:p w14:paraId="24D7F610">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偏离</w:t>
            </w:r>
          </w:p>
        </w:tc>
        <w:tc>
          <w:tcPr>
            <w:tcW w:w="992" w:type="dxa"/>
            <w:tcBorders>
              <w:top w:val="single" w:color="auto" w:sz="6" w:space="0"/>
              <w:left w:val="single" w:color="auto" w:sz="6" w:space="0"/>
              <w:bottom w:val="single" w:color="auto" w:sz="6" w:space="0"/>
              <w:right w:val="single" w:color="auto" w:sz="6" w:space="0"/>
            </w:tcBorders>
            <w:vAlign w:val="center"/>
          </w:tcPr>
          <w:p w14:paraId="197D8B7B">
            <w:pPr>
              <w:widowControl/>
              <w:adjustRightIn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页码</w:t>
            </w:r>
          </w:p>
        </w:tc>
      </w:tr>
      <w:tr w14:paraId="05AA6219">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502F0E73">
            <w:pPr>
              <w:widowControl/>
              <w:adjustRightInd w:val="0"/>
              <w:spacing w:line="360" w:lineRule="auto"/>
              <w:jc w:val="center"/>
              <w:rPr>
                <w:color w:val="000000" w:themeColor="text1"/>
                <w:lang w:val="zh-CN"/>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vAlign w:val="center"/>
          </w:tcPr>
          <w:p w14:paraId="3FD6B34F">
            <w:pPr>
              <w:widowControl/>
              <w:adjustRightInd w:val="0"/>
              <w:spacing w:line="360" w:lineRule="auto"/>
              <w:jc w:val="center"/>
              <w:rPr>
                <w:color w:val="000000" w:themeColor="text1"/>
                <w:lang w:val="zh-CN"/>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vAlign w:val="center"/>
          </w:tcPr>
          <w:p w14:paraId="6E465CB4">
            <w:pPr>
              <w:widowControl/>
              <w:adjustRightInd w:val="0"/>
              <w:spacing w:line="360" w:lineRule="auto"/>
              <w:jc w:val="center"/>
              <w:rPr>
                <w:color w:val="000000" w:themeColor="text1"/>
                <w:lang w:val="zh-CN"/>
                <w14:textFill>
                  <w14:solidFill>
                    <w14:schemeClr w14:val="tx1"/>
                  </w14:solidFill>
                </w14:textFill>
              </w:rPr>
            </w:pPr>
          </w:p>
        </w:tc>
        <w:tc>
          <w:tcPr>
            <w:tcW w:w="2563" w:type="dxa"/>
            <w:gridSpan w:val="2"/>
            <w:tcBorders>
              <w:top w:val="single" w:color="auto" w:sz="6" w:space="0"/>
              <w:left w:val="single" w:color="auto" w:sz="6" w:space="0"/>
              <w:bottom w:val="single" w:color="auto" w:sz="6" w:space="0"/>
              <w:right w:val="single" w:color="auto" w:sz="6" w:space="0"/>
            </w:tcBorders>
            <w:vAlign w:val="center"/>
          </w:tcPr>
          <w:p w14:paraId="0A0FF9B4">
            <w:pPr>
              <w:widowControl/>
              <w:adjustRightInd w:val="0"/>
              <w:spacing w:line="360" w:lineRule="auto"/>
              <w:jc w:val="center"/>
              <w:rPr>
                <w:color w:val="000000" w:themeColor="text1"/>
                <w:lang w:val="zh-CN"/>
                <w14:textFill>
                  <w14:solidFill>
                    <w14:schemeClr w14:val="tx1"/>
                  </w14:solidFill>
                </w14:textFill>
              </w:rPr>
            </w:pPr>
          </w:p>
        </w:tc>
        <w:tc>
          <w:tcPr>
            <w:tcW w:w="795" w:type="dxa"/>
            <w:tcBorders>
              <w:top w:val="single" w:color="auto" w:sz="6" w:space="0"/>
              <w:left w:val="single" w:color="auto" w:sz="6" w:space="0"/>
              <w:bottom w:val="single" w:color="auto" w:sz="6" w:space="0"/>
              <w:right w:val="single" w:color="auto" w:sz="6" w:space="0"/>
            </w:tcBorders>
            <w:vAlign w:val="center"/>
          </w:tcPr>
          <w:p w14:paraId="4529E1BE">
            <w:pPr>
              <w:widowControl/>
              <w:adjustRightInd w:val="0"/>
              <w:spacing w:line="360" w:lineRule="auto"/>
              <w:jc w:val="center"/>
              <w:rPr>
                <w:color w:val="000000" w:themeColor="text1"/>
                <w:lang w:val="zh-CN"/>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vAlign w:val="center"/>
          </w:tcPr>
          <w:p w14:paraId="2D1319C3">
            <w:pPr>
              <w:widowControl/>
              <w:adjustRightInd w:val="0"/>
              <w:spacing w:line="360" w:lineRule="auto"/>
              <w:jc w:val="center"/>
              <w:rPr>
                <w:color w:val="000000" w:themeColor="text1"/>
                <w:lang w:val="zh-CN"/>
                <w14:textFill>
                  <w14:solidFill>
                    <w14:schemeClr w14:val="tx1"/>
                  </w14:solidFill>
                </w14:textFill>
              </w:rPr>
            </w:pPr>
          </w:p>
        </w:tc>
      </w:tr>
      <w:tr w14:paraId="584DED0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CF41D74">
            <w:pPr>
              <w:widowControl/>
              <w:adjustRightInd w:val="0"/>
              <w:spacing w:line="360" w:lineRule="auto"/>
              <w:jc w:val="center"/>
              <w:rPr>
                <w:color w:val="000000" w:themeColor="text1"/>
                <w:lang w:val="zh-CN"/>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vAlign w:val="center"/>
          </w:tcPr>
          <w:p w14:paraId="454FA481">
            <w:pPr>
              <w:widowControl/>
              <w:adjustRightInd w:val="0"/>
              <w:spacing w:line="360" w:lineRule="auto"/>
              <w:jc w:val="center"/>
              <w:rPr>
                <w:color w:val="000000" w:themeColor="text1"/>
                <w:lang w:val="zh-CN"/>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vAlign w:val="center"/>
          </w:tcPr>
          <w:p w14:paraId="46CAAB9F">
            <w:pPr>
              <w:widowControl/>
              <w:adjustRightInd w:val="0"/>
              <w:spacing w:line="360" w:lineRule="auto"/>
              <w:jc w:val="center"/>
              <w:rPr>
                <w:color w:val="000000" w:themeColor="text1"/>
                <w:lang w:val="zh-CN"/>
                <w14:textFill>
                  <w14:solidFill>
                    <w14:schemeClr w14:val="tx1"/>
                  </w14:solidFill>
                </w14:textFill>
              </w:rPr>
            </w:pPr>
          </w:p>
        </w:tc>
        <w:tc>
          <w:tcPr>
            <w:tcW w:w="2563" w:type="dxa"/>
            <w:gridSpan w:val="2"/>
            <w:tcBorders>
              <w:top w:val="single" w:color="auto" w:sz="6" w:space="0"/>
              <w:left w:val="single" w:color="auto" w:sz="6" w:space="0"/>
              <w:bottom w:val="single" w:color="auto" w:sz="6" w:space="0"/>
              <w:right w:val="single" w:color="auto" w:sz="6" w:space="0"/>
            </w:tcBorders>
            <w:vAlign w:val="center"/>
          </w:tcPr>
          <w:p w14:paraId="6FF59475">
            <w:pPr>
              <w:widowControl/>
              <w:adjustRightInd w:val="0"/>
              <w:spacing w:line="360" w:lineRule="auto"/>
              <w:jc w:val="center"/>
              <w:rPr>
                <w:color w:val="000000" w:themeColor="text1"/>
                <w:lang w:val="zh-CN"/>
                <w14:textFill>
                  <w14:solidFill>
                    <w14:schemeClr w14:val="tx1"/>
                  </w14:solidFill>
                </w14:textFill>
              </w:rPr>
            </w:pPr>
          </w:p>
        </w:tc>
        <w:tc>
          <w:tcPr>
            <w:tcW w:w="795" w:type="dxa"/>
            <w:tcBorders>
              <w:top w:val="single" w:color="auto" w:sz="6" w:space="0"/>
              <w:left w:val="single" w:color="auto" w:sz="6" w:space="0"/>
              <w:bottom w:val="single" w:color="auto" w:sz="6" w:space="0"/>
              <w:right w:val="single" w:color="auto" w:sz="6" w:space="0"/>
            </w:tcBorders>
            <w:vAlign w:val="center"/>
          </w:tcPr>
          <w:p w14:paraId="04A2D5B8">
            <w:pPr>
              <w:widowControl/>
              <w:adjustRightInd w:val="0"/>
              <w:spacing w:line="360" w:lineRule="auto"/>
              <w:jc w:val="center"/>
              <w:rPr>
                <w:color w:val="000000" w:themeColor="text1"/>
                <w:lang w:val="zh-CN"/>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vAlign w:val="center"/>
          </w:tcPr>
          <w:p w14:paraId="61B829E5">
            <w:pPr>
              <w:widowControl/>
              <w:adjustRightInd w:val="0"/>
              <w:spacing w:line="360" w:lineRule="auto"/>
              <w:jc w:val="center"/>
              <w:rPr>
                <w:color w:val="000000" w:themeColor="text1"/>
                <w:lang w:val="zh-CN"/>
                <w14:textFill>
                  <w14:solidFill>
                    <w14:schemeClr w14:val="tx1"/>
                  </w14:solidFill>
                </w14:textFill>
              </w:rPr>
            </w:pPr>
          </w:p>
        </w:tc>
      </w:tr>
      <w:tr w14:paraId="603724B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0896860">
            <w:pPr>
              <w:widowControl/>
              <w:adjustRightInd w:val="0"/>
              <w:spacing w:line="360" w:lineRule="auto"/>
              <w:jc w:val="center"/>
              <w:rPr>
                <w:color w:val="000000" w:themeColor="text1"/>
                <w:lang w:val="zh-CN"/>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vAlign w:val="center"/>
          </w:tcPr>
          <w:p w14:paraId="5FA92654">
            <w:pPr>
              <w:widowControl/>
              <w:adjustRightInd w:val="0"/>
              <w:spacing w:line="360" w:lineRule="auto"/>
              <w:jc w:val="center"/>
              <w:rPr>
                <w:color w:val="000000" w:themeColor="text1"/>
                <w:lang w:val="zh-CN"/>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vAlign w:val="center"/>
          </w:tcPr>
          <w:p w14:paraId="64E785C1">
            <w:pPr>
              <w:widowControl/>
              <w:adjustRightInd w:val="0"/>
              <w:spacing w:line="360" w:lineRule="auto"/>
              <w:jc w:val="center"/>
              <w:rPr>
                <w:color w:val="000000" w:themeColor="text1"/>
                <w:lang w:val="zh-CN"/>
                <w14:textFill>
                  <w14:solidFill>
                    <w14:schemeClr w14:val="tx1"/>
                  </w14:solidFill>
                </w14:textFill>
              </w:rPr>
            </w:pPr>
          </w:p>
        </w:tc>
        <w:tc>
          <w:tcPr>
            <w:tcW w:w="2563" w:type="dxa"/>
            <w:gridSpan w:val="2"/>
            <w:tcBorders>
              <w:top w:val="single" w:color="auto" w:sz="6" w:space="0"/>
              <w:left w:val="single" w:color="auto" w:sz="6" w:space="0"/>
              <w:bottom w:val="single" w:color="auto" w:sz="6" w:space="0"/>
              <w:right w:val="single" w:color="auto" w:sz="6" w:space="0"/>
            </w:tcBorders>
            <w:vAlign w:val="center"/>
          </w:tcPr>
          <w:p w14:paraId="0BE5AB34">
            <w:pPr>
              <w:widowControl/>
              <w:adjustRightInd w:val="0"/>
              <w:spacing w:line="360" w:lineRule="auto"/>
              <w:jc w:val="center"/>
              <w:rPr>
                <w:color w:val="000000" w:themeColor="text1"/>
                <w:lang w:val="zh-CN"/>
                <w14:textFill>
                  <w14:solidFill>
                    <w14:schemeClr w14:val="tx1"/>
                  </w14:solidFill>
                </w14:textFill>
              </w:rPr>
            </w:pPr>
          </w:p>
        </w:tc>
        <w:tc>
          <w:tcPr>
            <w:tcW w:w="795" w:type="dxa"/>
            <w:tcBorders>
              <w:top w:val="single" w:color="auto" w:sz="6" w:space="0"/>
              <w:left w:val="single" w:color="auto" w:sz="6" w:space="0"/>
              <w:bottom w:val="single" w:color="auto" w:sz="6" w:space="0"/>
              <w:right w:val="single" w:color="auto" w:sz="6" w:space="0"/>
            </w:tcBorders>
            <w:vAlign w:val="center"/>
          </w:tcPr>
          <w:p w14:paraId="6426578F">
            <w:pPr>
              <w:widowControl/>
              <w:adjustRightInd w:val="0"/>
              <w:spacing w:line="360" w:lineRule="auto"/>
              <w:jc w:val="center"/>
              <w:rPr>
                <w:color w:val="000000" w:themeColor="text1"/>
                <w:lang w:val="zh-CN"/>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vAlign w:val="center"/>
          </w:tcPr>
          <w:p w14:paraId="32F2256D">
            <w:pPr>
              <w:widowControl/>
              <w:adjustRightInd w:val="0"/>
              <w:spacing w:line="360" w:lineRule="auto"/>
              <w:jc w:val="center"/>
              <w:rPr>
                <w:color w:val="000000" w:themeColor="text1"/>
                <w:lang w:val="zh-CN"/>
                <w14:textFill>
                  <w14:solidFill>
                    <w14:schemeClr w14:val="tx1"/>
                  </w14:solidFill>
                </w14:textFill>
              </w:rPr>
            </w:pPr>
          </w:p>
        </w:tc>
      </w:tr>
      <w:tr w14:paraId="78290AB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10BAA11">
            <w:pPr>
              <w:widowControl/>
              <w:adjustRightInd w:val="0"/>
              <w:spacing w:line="360" w:lineRule="auto"/>
              <w:jc w:val="center"/>
              <w:rPr>
                <w:color w:val="000000" w:themeColor="text1"/>
                <w:lang w:val="zh-CN"/>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vAlign w:val="center"/>
          </w:tcPr>
          <w:p w14:paraId="1A0DAF63">
            <w:pPr>
              <w:widowControl/>
              <w:adjustRightInd w:val="0"/>
              <w:spacing w:line="360" w:lineRule="auto"/>
              <w:jc w:val="center"/>
              <w:rPr>
                <w:color w:val="000000" w:themeColor="text1"/>
                <w:lang w:val="zh-CN"/>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vAlign w:val="center"/>
          </w:tcPr>
          <w:p w14:paraId="3A370830">
            <w:pPr>
              <w:widowControl/>
              <w:adjustRightInd w:val="0"/>
              <w:spacing w:line="360" w:lineRule="auto"/>
              <w:jc w:val="center"/>
              <w:rPr>
                <w:color w:val="000000" w:themeColor="text1"/>
                <w:lang w:val="zh-CN"/>
                <w14:textFill>
                  <w14:solidFill>
                    <w14:schemeClr w14:val="tx1"/>
                  </w14:solidFill>
                </w14:textFill>
              </w:rPr>
            </w:pPr>
          </w:p>
        </w:tc>
        <w:tc>
          <w:tcPr>
            <w:tcW w:w="2563" w:type="dxa"/>
            <w:gridSpan w:val="2"/>
            <w:tcBorders>
              <w:top w:val="single" w:color="auto" w:sz="6" w:space="0"/>
              <w:left w:val="single" w:color="auto" w:sz="6" w:space="0"/>
              <w:bottom w:val="single" w:color="auto" w:sz="6" w:space="0"/>
              <w:right w:val="single" w:color="auto" w:sz="6" w:space="0"/>
            </w:tcBorders>
            <w:vAlign w:val="center"/>
          </w:tcPr>
          <w:p w14:paraId="2AC58153">
            <w:pPr>
              <w:widowControl/>
              <w:adjustRightInd w:val="0"/>
              <w:spacing w:line="360" w:lineRule="auto"/>
              <w:jc w:val="center"/>
              <w:rPr>
                <w:color w:val="000000" w:themeColor="text1"/>
                <w:lang w:val="zh-CN"/>
                <w14:textFill>
                  <w14:solidFill>
                    <w14:schemeClr w14:val="tx1"/>
                  </w14:solidFill>
                </w14:textFill>
              </w:rPr>
            </w:pPr>
          </w:p>
        </w:tc>
        <w:tc>
          <w:tcPr>
            <w:tcW w:w="795" w:type="dxa"/>
            <w:tcBorders>
              <w:top w:val="single" w:color="auto" w:sz="6" w:space="0"/>
              <w:left w:val="single" w:color="auto" w:sz="6" w:space="0"/>
              <w:bottom w:val="single" w:color="auto" w:sz="6" w:space="0"/>
              <w:right w:val="single" w:color="auto" w:sz="6" w:space="0"/>
            </w:tcBorders>
            <w:vAlign w:val="center"/>
          </w:tcPr>
          <w:p w14:paraId="2BB56B7B">
            <w:pPr>
              <w:widowControl/>
              <w:adjustRightInd w:val="0"/>
              <w:spacing w:line="360" w:lineRule="auto"/>
              <w:jc w:val="center"/>
              <w:rPr>
                <w:color w:val="000000" w:themeColor="text1"/>
                <w:lang w:val="zh-CN"/>
                <w14:textFill>
                  <w14:solidFill>
                    <w14:schemeClr w14:val="tx1"/>
                  </w14:solidFill>
                </w14:textFill>
              </w:rPr>
            </w:pPr>
          </w:p>
        </w:tc>
        <w:tc>
          <w:tcPr>
            <w:tcW w:w="992" w:type="dxa"/>
            <w:tcBorders>
              <w:top w:val="single" w:color="auto" w:sz="6" w:space="0"/>
              <w:left w:val="single" w:color="auto" w:sz="6" w:space="0"/>
              <w:bottom w:val="single" w:color="auto" w:sz="6" w:space="0"/>
              <w:right w:val="single" w:color="auto" w:sz="6" w:space="0"/>
            </w:tcBorders>
            <w:vAlign w:val="center"/>
          </w:tcPr>
          <w:p w14:paraId="1F3CF18E">
            <w:pPr>
              <w:widowControl/>
              <w:adjustRightInd w:val="0"/>
              <w:spacing w:line="360" w:lineRule="auto"/>
              <w:jc w:val="center"/>
              <w:rPr>
                <w:color w:val="000000" w:themeColor="text1"/>
                <w:lang w:val="zh-CN"/>
                <w14:textFill>
                  <w14:solidFill>
                    <w14:schemeClr w14:val="tx1"/>
                  </w14:solidFill>
                </w14:textFill>
              </w:rPr>
            </w:pPr>
          </w:p>
        </w:tc>
      </w:tr>
    </w:tbl>
    <w:p w14:paraId="688C15E4">
      <w:pPr>
        <w:widowControl/>
        <w:adjustRightInd w:val="0"/>
        <w:spacing w:line="360" w:lineRule="auto"/>
        <w:rPr>
          <w:color w:val="000000" w:themeColor="text1"/>
          <w:lang w:val="zh-CN"/>
          <w14:textFill>
            <w14:solidFill>
              <w14:schemeClr w14:val="tx1"/>
            </w14:solidFill>
          </w14:textFill>
        </w:rPr>
      </w:pPr>
    </w:p>
    <w:p w14:paraId="47FAD4A9">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供应商名称：（盖章）</w:t>
      </w:r>
    </w:p>
    <w:p w14:paraId="2100B8B6">
      <w:pPr>
        <w:widowControl/>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说明：1、如果行数不够，请自行增加。</w:t>
      </w:r>
    </w:p>
    <w:p w14:paraId="1578375E">
      <w:pPr>
        <w:widowControl/>
        <w:spacing w:line="360" w:lineRule="auto"/>
        <w:ind w:firstLine="630" w:firstLineChars="300"/>
        <w:rPr>
          <w:color w:val="000000" w:themeColor="text1"/>
          <w14:textFill>
            <w14:solidFill>
              <w14:schemeClr w14:val="tx1"/>
            </w14:solidFill>
          </w14:textFill>
        </w:rPr>
      </w:pPr>
      <w:r>
        <w:rPr>
          <w:rFonts w:hint="eastAsia"/>
          <w:color w:val="000000" w:themeColor="text1"/>
          <w14:textFill>
            <w14:solidFill>
              <w14:schemeClr w14:val="tx1"/>
            </w14:solidFill>
          </w14:textFill>
        </w:rPr>
        <w:t>2、供应商需在上表中对采购文件第四章</w:t>
      </w:r>
      <w:r>
        <w:rPr>
          <w:rFonts w:hint="eastAsia"/>
          <w:color w:val="000000" w:themeColor="text1"/>
          <w:lang w:eastAsia="zh-CN"/>
          <w14:textFill>
            <w14:solidFill>
              <w14:schemeClr w14:val="tx1"/>
            </w14:solidFill>
          </w14:textFill>
        </w:rPr>
        <w:t>“（第一部分：技术部分要求）”</w:t>
      </w:r>
      <w:r>
        <w:rPr>
          <w:rFonts w:hint="eastAsia"/>
          <w:color w:val="000000" w:themeColor="text1"/>
          <w:lang w:val="en-US" w:eastAsia="zh-CN"/>
          <w14:textFill>
            <w14:solidFill>
              <w14:schemeClr w14:val="tx1"/>
            </w14:solidFill>
          </w14:textFill>
        </w:rPr>
        <w:t>中相关内容</w:t>
      </w:r>
      <w:r>
        <w:rPr>
          <w:rFonts w:hint="eastAsia"/>
          <w:color w:val="000000" w:themeColor="text1"/>
          <w14:textFill>
            <w14:solidFill>
              <w14:schemeClr w14:val="tx1"/>
            </w14:solidFill>
          </w14:textFill>
        </w:rPr>
        <w:t>进行响应。</w:t>
      </w:r>
    </w:p>
    <w:p w14:paraId="77169688">
      <w:pPr>
        <w:widowControl/>
        <w:adjustRightInd w:val="0"/>
        <w:spacing w:line="360" w:lineRule="auto"/>
        <w:ind w:firstLine="630" w:firstLineChars="30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3</w:t>
      </w:r>
      <w:r>
        <w:rPr>
          <w:rFonts w:hint="eastAsia"/>
          <w:color w:val="000000" w:themeColor="text1"/>
          <w:lang w:val="zh-CN"/>
          <w14:textFill>
            <w14:solidFill>
              <w14:schemeClr w14:val="tx1"/>
            </w14:solidFill>
          </w14:textFill>
        </w:rPr>
        <w:t>、投标人应对招标文件技术要求逐条填写偏离情况（正偏离、负偏离或无偏离），并说明偏离的具体内容及做出必要说明。供应商需如实填写偏离表，请勿虚假响应，投标人应对故意隐瞒偏离的行为承担责任。</w:t>
      </w:r>
    </w:p>
    <w:p w14:paraId="07860A6A">
      <w:pPr>
        <w:pStyle w:val="2"/>
        <w:ind w:left="1260"/>
        <w:rPr>
          <w:color w:val="000000" w:themeColor="text1"/>
          <w:lang w:val="zh-CN"/>
          <w14:textFill>
            <w14:solidFill>
              <w14:schemeClr w14:val="tx1"/>
            </w14:solidFill>
          </w14:textFill>
        </w:rPr>
      </w:pPr>
    </w:p>
    <w:p w14:paraId="3560D03C">
      <w:pPr>
        <w:widowControl/>
        <w:adjustRightInd w:val="0"/>
        <w:spacing w:line="360" w:lineRule="auto"/>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目录</w:t>
      </w:r>
      <w:r>
        <w:rPr>
          <w:rFonts w:hint="eastAsia"/>
          <w:b/>
          <w:color w:val="000000" w:themeColor="text1"/>
          <w14:textFill>
            <w14:solidFill>
              <w14:schemeClr w14:val="tx1"/>
            </w14:solidFill>
          </w14:textFill>
        </w:rPr>
        <w:t>七</w:t>
      </w:r>
      <w:r>
        <w:rPr>
          <w:rFonts w:hint="eastAsia"/>
          <w:b/>
          <w:color w:val="000000" w:themeColor="text1"/>
          <w:lang w:val="zh-CN"/>
          <w14:textFill>
            <w14:solidFill>
              <w14:schemeClr w14:val="tx1"/>
            </w14:solidFill>
          </w14:textFill>
        </w:rPr>
        <w:t>、商务条款偏离表格式</w:t>
      </w:r>
    </w:p>
    <w:p w14:paraId="279B5AB6">
      <w:pPr>
        <w:widowControl/>
        <w:adjustRightInd w:val="0"/>
        <w:spacing w:line="360" w:lineRule="auto"/>
        <w:ind w:left="420"/>
        <w:jc w:val="center"/>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商务条款偏离表</w:t>
      </w:r>
    </w:p>
    <w:tbl>
      <w:tblPr>
        <w:tblStyle w:val="6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153"/>
        <w:gridCol w:w="795"/>
        <w:gridCol w:w="882"/>
      </w:tblGrid>
      <w:tr w14:paraId="2B05D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1CD1754F">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项目名称：</w:t>
            </w:r>
          </w:p>
        </w:tc>
        <w:tc>
          <w:tcPr>
            <w:tcW w:w="2830" w:type="dxa"/>
            <w:gridSpan w:val="3"/>
            <w:tcBorders>
              <w:top w:val="nil"/>
              <w:left w:val="nil"/>
              <w:right w:val="nil"/>
            </w:tcBorders>
            <w:vAlign w:val="center"/>
          </w:tcPr>
          <w:p w14:paraId="212E239A">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项目编号：</w:t>
            </w:r>
          </w:p>
        </w:tc>
      </w:tr>
      <w:tr w14:paraId="707D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B9FC3BC">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序号</w:t>
            </w:r>
          </w:p>
        </w:tc>
        <w:tc>
          <w:tcPr>
            <w:tcW w:w="1620" w:type="dxa"/>
            <w:vAlign w:val="center"/>
          </w:tcPr>
          <w:p w14:paraId="588676E1">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招标文件条目号</w:t>
            </w:r>
          </w:p>
        </w:tc>
        <w:tc>
          <w:tcPr>
            <w:tcW w:w="2700" w:type="dxa"/>
            <w:vAlign w:val="center"/>
          </w:tcPr>
          <w:p w14:paraId="619F0FD6">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招标文件要求的商务条款</w:t>
            </w:r>
          </w:p>
        </w:tc>
        <w:tc>
          <w:tcPr>
            <w:tcW w:w="2568" w:type="dxa"/>
            <w:gridSpan w:val="2"/>
            <w:vAlign w:val="center"/>
          </w:tcPr>
          <w:p w14:paraId="71474747">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投标响应</w:t>
            </w:r>
          </w:p>
        </w:tc>
        <w:tc>
          <w:tcPr>
            <w:tcW w:w="795" w:type="dxa"/>
            <w:vAlign w:val="center"/>
          </w:tcPr>
          <w:p w14:paraId="665A42F1">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偏离</w:t>
            </w:r>
          </w:p>
        </w:tc>
        <w:tc>
          <w:tcPr>
            <w:tcW w:w="882" w:type="dxa"/>
            <w:vAlign w:val="center"/>
          </w:tcPr>
          <w:p w14:paraId="5B930347">
            <w:pPr>
              <w:widowControl/>
              <w:adjustRightIn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页码</w:t>
            </w:r>
          </w:p>
        </w:tc>
      </w:tr>
      <w:tr w14:paraId="3A06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F47EC23">
            <w:pPr>
              <w:widowControl/>
              <w:adjustRightInd w:val="0"/>
              <w:spacing w:line="360" w:lineRule="auto"/>
              <w:jc w:val="center"/>
              <w:rPr>
                <w:color w:val="000000" w:themeColor="text1"/>
                <w:lang w:val="zh-CN"/>
                <w14:textFill>
                  <w14:solidFill>
                    <w14:schemeClr w14:val="tx1"/>
                  </w14:solidFill>
                </w14:textFill>
              </w:rPr>
            </w:pPr>
          </w:p>
        </w:tc>
        <w:tc>
          <w:tcPr>
            <w:tcW w:w="1620" w:type="dxa"/>
            <w:vAlign w:val="center"/>
          </w:tcPr>
          <w:p w14:paraId="002EF7E1">
            <w:pPr>
              <w:widowControl/>
              <w:adjustRightInd w:val="0"/>
              <w:spacing w:line="360" w:lineRule="auto"/>
              <w:jc w:val="center"/>
              <w:rPr>
                <w:color w:val="000000" w:themeColor="text1"/>
                <w:lang w:val="zh-CN"/>
                <w14:textFill>
                  <w14:solidFill>
                    <w14:schemeClr w14:val="tx1"/>
                  </w14:solidFill>
                </w14:textFill>
              </w:rPr>
            </w:pPr>
          </w:p>
        </w:tc>
        <w:tc>
          <w:tcPr>
            <w:tcW w:w="2700" w:type="dxa"/>
            <w:vAlign w:val="center"/>
          </w:tcPr>
          <w:p w14:paraId="07E5D075">
            <w:pPr>
              <w:widowControl/>
              <w:adjustRightInd w:val="0"/>
              <w:spacing w:line="360" w:lineRule="auto"/>
              <w:jc w:val="center"/>
              <w:rPr>
                <w:color w:val="000000" w:themeColor="text1"/>
                <w:lang w:val="zh-CN"/>
                <w14:textFill>
                  <w14:solidFill>
                    <w14:schemeClr w14:val="tx1"/>
                  </w14:solidFill>
                </w14:textFill>
              </w:rPr>
            </w:pPr>
          </w:p>
        </w:tc>
        <w:tc>
          <w:tcPr>
            <w:tcW w:w="2568" w:type="dxa"/>
            <w:gridSpan w:val="2"/>
            <w:vAlign w:val="center"/>
          </w:tcPr>
          <w:p w14:paraId="483E7856">
            <w:pPr>
              <w:widowControl/>
              <w:adjustRightInd w:val="0"/>
              <w:spacing w:line="360" w:lineRule="auto"/>
              <w:jc w:val="center"/>
              <w:rPr>
                <w:color w:val="000000" w:themeColor="text1"/>
                <w:lang w:val="zh-CN"/>
                <w14:textFill>
                  <w14:solidFill>
                    <w14:schemeClr w14:val="tx1"/>
                  </w14:solidFill>
                </w14:textFill>
              </w:rPr>
            </w:pPr>
          </w:p>
        </w:tc>
        <w:tc>
          <w:tcPr>
            <w:tcW w:w="795" w:type="dxa"/>
            <w:vAlign w:val="center"/>
          </w:tcPr>
          <w:p w14:paraId="06C67201">
            <w:pPr>
              <w:widowControl/>
              <w:adjustRightInd w:val="0"/>
              <w:spacing w:line="360" w:lineRule="auto"/>
              <w:jc w:val="center"/>
              <w:rPr>
                <w:color w:val="000000" w:themeColor="text1"/>
                <w:lang w:val="zh-CN"/>
                <w14:textFill>
                  <w14:solidFill>
                    <w14:schemeClr w14:val="tx1"/>
                  </w14:solidFill>
                </w14:textFill>
              </w:rPr>
            </w:pPr>
          </w:p>
        </w:tc>
        <w:tc>
          <w:tcPr>
            <w:tcW w:w="882" w:type="dxa"/>
            <w:vAlign w:val="center"/>
          </w:tcPr>
          <w:p w14:paraId="5BB628B4">
            <w:pPr>
              <w:widowControl/>
              <w:adjustRightInd w:val="0"/>
              <w:spacing w:line="360" w:lineRule="auto"/>
              <w:jc w:val="center"/>
              <w:rPr>
                <w:color w:val="000000" w:themeColor="text1"/>
                <w:lang w:val="zh-CN"/>
                <w14:textFill>
                  <w14:solidFill>
                    <w14:schemeClr w14:val="tx1"/>
                  </w14:solidFill>
                </w14:textFill>
              </w:rPr>
            </w:pPr>
          </w:p>
        </w:tc>
      </w:tr>
      <w:tr w14:paraId="2C1D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F624565">
            <w:pPr>
              <w:widowControl/>
              <w:adjustRightInd w:val="0"/>
              <w:spacing w:line="360" w:lineRule="auto"/>
              <w:jc w:val="center"/>
              <w:rPr>
                <w:color w:val="000000" w:themeColor="text1"/>
                <w:lang w:val="zh-CN"/>
                <w14:textFill>
                  <w14:solidFill>
                    <w14:schemeClr w14:val="tx1"/>
                  </w14:solidFill>
                </w14:textFill>
              </w:rPr>
            </w:pPr>
          </w:p>
        </w:tc>
        <w:tc>
          <w:tcPr>
            <w:tcW w:w="1620" w:type="dxa"/>
            <w:vAlign w:val="center"/>
          </w:tcPr>
          <w:p w14:paraId="1DB7A6B0">
            <w:pPr>
              <w:widowControl/>
              <w:adjustRightInd w:val="0"/>
              <w:spacing w:line="360" w:lineRule="auto"/>
              <w:jc w:val="center"/>
              <w:rPr>
                <w:color w:val="000000" w:themeColor="text1"/>
                <w:lang w:val="zh-CN"/>
                <w14:textFill>
                  <w14:solidFill>
                    <w14:schemeClr w14:val="tx1"/>
                  </w14:solidFill>
                </w14:textFill>
              </w:rPr>
            </w:pPr>
          </w:p>
        </w:tc>
        <w:tc>
          <w:tcPr>
            <w:tcW w:w="2700" w:type="dxa"/>
            <w:vAlign w:val="center"/>
          </w:tcPr>
          <w:p w14:paraId="2CF1D0E4">
            <w:pPr>
              <w:widowControl/>
              <w:adjustRightInd w:val="0"/>
              <w:spacing w:line="360" w:lineRule="auto"/>
              <w:jc w:val="center"/>
              <w:rPr>
                <w:color w:val="000000" w:themeColor="text1"/>
                <w:lang w:val="zh-CN"/>
                <w14:textFill>
                  <w14:solidFill>
                    <w14:schemeClr w14:val="tx1"/>
                  </w14:solidFill>
                </w14:textFill>
              </w:rPr>
            </w:pPr>
          </w:p>
        </w:tc>
        <w:tc>
          <w:tcPr>
            <w:tcW w:w="2568" w:type="dxa"/>
            <w:gridSpan w:val="2"/>
            <w:vAlign w:val="center"/>
          </w:tcPr>
          <w:p w14:paraId="6991AC77">
            <w:pPr>
              <w:widowControl/>
              <w:adjustRightInd w:val="0"/>
              <w:spacing w:line="360" w:lineRule="auto"/>
              <w:jc w:val="center"/>
              <w:rPr>
                <w:color w:val="000000" w:themeColor="text1"/>
                <w:lang w:val="zh-CN"/>
                <w14:textFill>
                  <w14:solidFill>
                    <w14:schemeClr w14:val="tx1"/>
                  </w14:solidFill>
                </w14:textFill>
              </w:rPr>
            </w:pPr>
          </w:p>
        </w:tc>
        <w:tc>
          <w:tcPr>
            <w:tcW w:w="795" w:type="dxa"/>
            <w:vAlign w:val="center"/>
          </w:tcPr>
          <w:p w14:paraId="2DA981BB">
            <w:pPr>
              <w:widowControl/>
              <w:adjustRightInd w:val="0"/>
              <w:spacing w:line="360" w:lineRule="auto"/>
              <w:jc w:val="center"/>
              <w:rPr>
                <w:color w:val="000000" w:themeColor="text1"/>
                <w:lang w:val="zh-CN"/>
                <w14:textFill>
                  <w14:solidFill>
                    <w14:schemeClr w14:val="tx1"/>
                  </w14:solidFill>
                </w14:textFill>
              </w:rPr>
            </w:pPr>
          </w:p>
        </w:tc>
        <w:tc>
          <w:tcPr>
            <w:tcW w:w="882" w:type="dxa"/>
            <w:vAlign w:val="center"/>
          </w:tcPr>
          <w:p w14:paraId="6BF287C1">
            <w:pPr>
              <w:widowControl/>
              <w:adjustRightInd w:val="0"/>
              <w:spacing w:line="360" w:lineRule="auto"/>
              <w:jc w:val="center"/>
              <w:rPr>
                <w:color w:val="000000" w:themeColor="text1"/>
                <w:lang w:val="zh-CN"/>
                <w14:textFill>
                  <w14:solidFill>
                    <w14:schemeClr w14:val="tx1"/>
                  </w14:solidFill>
                </w14:textFill>
              </w:rPr>
            </w:pPr>
          </w:p>
        </w:tc>
      </w:tr>
      <w:tr w14:paraId="2A57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6D13CB3">
            <w:pPr>
              <w:widowControl/>
              <w:adjustRightInd w:val="0"/>
              <w:spacing w:line="360" w:lineRule="auto"/>
              <w:jc w:val="center"/>
              <w:rPr>
                <w:color w:val="000000" w:themeColor="text1"/>
                <w:lang w:val="zh-CN"/>
                <w14:textFill>
                  <w14:solidFill>
                    <w14:schemeClr w14:val="tx1"/>
                  </w14:solidFill>
                </w14:textFill>
              </w:rPr>
            </w:pPr>
          </w:p>
        </w:tc>
        <w:tc>
          <w:tcPr>
            <w:tcW w:w="1620" w:type="dxa"/>
            <w:vAlign w:val="center"/>
          </w:tcPr>
          <w:p w14:paraId="6FF3E832">
            <w:pPr>
              <w:widowControl/>
              <w:adjustRightInd w:val="0"/>
              <w:spacing w:line="360" w:lineRule="auto"/>
              <w:jc w:val="center"/>
              <w:rPr>
                <w:color w:val="000000" w:themeColor="text1"/>
                <w:lang w:val="zh-CN"/>
                <w14:textFill>
                  <w14:solidFill>
                    <w14:schemeClr w14:val="tx1"/>
                  </w14:solidFill>
                </w14:textFill>
              </w:rPr>
            </w:pPr>
          </w:p>
        </w:tc>
        <w:tc>
          <w:tcPr>
            <w:tcW w:w="2700" w:type="dxa"/>
            <w:vAlign w:val="center"/>
          </w:tcPr>
          <w:p w14:paraId="695BDD1B">
            <w:pPr>
              <w:widowControl/>
              <w:adjustRightInd w:val="0"/>
              <w:spacing w:line="360" w:lineRule="auto"/>
              <w:jc w:val="center"/>
              <w:rPr>
                <w:color w:val="000000" w:themeColor="text1"/>
                <w:lang w:val="zh-CN"/>
                <w14:textFill>
                  <w14:solidFill>
                    <w14:schemeClr w14:val="tx1"/>
                  </w14:solidFill>
                </w14:textFill>
              </w:rPr>
            </w:pPr>
          </w:p>
        </w:tc>
        <w:tc>
          <w:tcPr>
            <w:tcW w:w="2568" w:type="dxa"/>
            <w:gridSpan w:val="2"/>
            <w:vAlign w:val="center"/>
          </w:tcPr>
          <w:p w14:paraId="26BB80EB">
            <w:pPr>
              <w:widowControl/>
              <w:adjustRightInd w:val="0"/>
              <w:spacing w:line="360" w:lineRule="auto"/>
              <w:jc w:val="center"/>
              <w:rPr>
                <w:color w:val="000000" w:themeColor="text1"/>
                <w:lang w:val="zh-CN"/>
                <w14:textFill>
                  <w14:solidFill>
                    <w14:schemeClr w14:val="tx1"/>
                  </w14:solidFill>
                </w14:textFill>
              </w:rPr>
            </w:pPr>
          </w:p>
        </w:tc>
        <w:tc>
          <w:tcPr>
            <w:tcW w:w="795" w:type="dxa"/>
            <w:vAlign w:val="center"/>
          </w:tcPr>
          <w:p w14:paraId="79921B15">
            <w:pPr>
              <w:widowControl/>
              <w:adjustRightInd w:val="0"/>
              <w:spacing w:line="360" w:lineRule="auto"/>
              <w:jc w:val="center"/>
              <w:rPr>
                <w:color w:val="000000" w:themeColor="text1"/>
                <w:lang w:val="zh-CN"/>
                <w14:textFill>
                  <w14:solidFill>
                    <w14:schemeClr w14:val="tx1"/>
                  </w14:solidFill>
                </w14:textFill>
              </w:rPr>
            </w:pPr>
          </w:p>
        </w:tc>
        <w:tc>
          <w:tcPr>
            <w:tcW w:w="882" w:type="dxa"/>
            <w:vAlign w:val="center"/>
          </w:tcPr>
          <w:p w14:paraId="581F0CD7">
            <w:pPr>
              <w:widowControl/>
              <w:adjustRightInd w:val="0"/>
              <w:spacing w:line="360" w:lineRule="auto"/>
              <w:jc w:val="center"/>
              <w:rPr>
                <w:color w:val="000000" w:themeColor="text1"/>
                <w:lang w:val="zh-CN"/>
                <w14:textFill>
                  <w14:solidFill>
                    <w14:schemeClr w14:val="tx1"/>
                  </w14:solidFill>
                </w14:textFill>
              </w:rPr>
            </w:pPr>
          </w:p>
        </w:tc>
      </w:tr>
      <w:tr w14:paraId="7154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82CEDD1">
            <w:pPr>
              <w:widowControl/>
              <w:adjustRightInd w:val="0"/>
              <w:spacing w:line="360" w:lineRule="auto"/>
              <w:jc w:val="center"/>
              <w:rPr>
                <w:color w:val="000000" w:themeColor="text1"/>
                <w:lang w:val="zh-CN"/>
                <w14:textFill>
                  <w14:solidFill>
                    <w14:schemeClr w14:val="tx1"/>
                  </w14:solidFill>
                </w14:textFill>
              </w:rPr>
            </w:pPr>
          </w:p>
        </w:tc>
        <w:tc>
          <w:tcPr>
            <w:tcW w:w="1620" w:type="dxa"/>
            <w:vAlign w:val="center"/>
          </w:tcPr>
          <w:p w14:paraId="4899544C">
            <w:pPr>
              <w:widowControl/>
              <w:adjustRightInd w:val="0"/>
              <w:spacing w:line="360" w:lineRule="auto"/>
              <w:jc w:val="center"/>
              <w:rPr>
                <w:color w:val="000000" w:themeColor="text1"/>
                <w:lang w:val="zh-CN"/>
                <w14:textFill>
                  <w14:solidFill>
                    <w14:schemeClr w14:val="tx1"/>
                  </w14:solidFill>
                </w14:textFill>
              </w:rPr>
            </w:pPr>
          </w:p>
        </w:tc>
        <w:tc>
          <w:tcPr>
            <w:tcW w:w="2700" w:type="dxa"/>
            <w:vAlign w:val="center"/>
          </w:tcPr>
          <w:p w14:paraId="5A6ACCA6">
            <w:pPr>
              <w:widowControl/>
              <w:adjustRightInd w:val="0"/>
              <w:spacing w:line="360" w:lineRule="auto"/>
              <w:jc w:val="center"/>
              <w:rPr>
                <w:color w:val="000000" w:themeColor="text1"/>
                <w:lang w:val="zh-CN"/>
                <w14:textFill>
                  <w14:solidFill>
                    <w14:schemeClr w14:val="tx1"/>
                  </w14:solidFill>
                </w14:textFill>
              </w:rPr>
            </w:pPr>
          </w:p>
        </w:tc>
        <w:tc>
          <w:tcPr>
            <w:tcW w:w="2568" w:type="dxa"/>
            <w:gridSpan w:val="2"/>
            <w:vAlign w:val="center"/>
          </w:tcPr>
          <w:p w14:paraId="02131199">
            <w:pPr>
              <w:widowControl/>
              <w:adjustRightInd w:val="0"/>
              <w:spacing w:line="360" w:lineRule="auto"/>
              <w:jc w:val="center"/>
              <w:rPr>
                <w:color w:val="000000" w:themeColor="text1"/>
                <w:lang w:val="zh-CN"/>
                <w14:textFill>
                  <w14:solidFill>
                    <w14:schemeClr w14:val="tx1"/>
                  </w14:solidFill>
                </w14:textFill>
              </w:rPr>
            </w:pPr>
          </w:p>
        </w:tc>
        <w:tc>
          <w:tcPr>
            <w:tcW w:w="795" w:type="dxa"/>
            <w:vAlign w:val="center"/>
          </w:tcPr>
          <w:p w14:paraId="29FCF018">
            <w:pPr>
              <w:widowControl/>
              <w:adjustRightInd w:val="0"/>
              <w:spacing w:line="360" w:lineRule="auto"/>
              <w:jc w:val="center"/>
              <w:rPr>
                <w:color w:val="000000" w:themeColor="text1"/>
                <w:lang w:val="zh-CN"/>
                <w14:textFill>
                  <w14:solidFill>
                    <w14:schemeClr w14:val="tx1"/>
                  </w14:solidFill>
                </w14:textFill>
              </w:rPr>
            </w:pPr>
          </w:p>
        </w:tc>
        <w:tc>
          <w:tcPr>
            <w:tcW w:w="882" w:type="dxa"/>
            <w:vAlign w:val="center"/>
          </w:tcPr>
          <w:p w14:paraId="01542335">
            <w:pPr>
              <w:widowControl/>
              <w:adjustRightInd w:val="0"/>
              <w:spacing w:line="360" w:lineRule="auto"/>
              <w:jc w:val="center"/>
              <w:rPr>
                <w:color w:val="000000" w:themeColor="text1"/>
                <w:lang w:val="zh-CN"/>
                <w14:textFill>
                  <w14:solidFill>
                    <w14:schemeClr w14:val="tx1"/>
                  </w14:solidFill>
                </w14:textFill>
              </w:rPr>
            </w:pPr>
          </w:p>
        </w:tc>
      </w:tr>
      <w:tr w14:paraId="5563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A22971">
            <w:pPr>
              <w:widowControl/>
              <w:adjustRightInd w:val="0"/>
              <w:spacing w:line="360" w:lineRule="auto"/>
              <w:jc w:val="center"/>
              <w:rPr>
                <w:color w:val="000000" w:themeColor="text1"/>
                <w:lang w:val="zh-CN"/>
                <w14:textFill>
                  <w14:solidFill>
                    <w14:schemeClr w14:val="tx1"/>
                  </w14:solidFill>
                </w14:textFill>
              </w:rPr>
            </w:pPr>
          </w:p>
        </w:tc>
        <w:tc>
          <w:tcPr>
            <w:tcW w:w="1620" w:type="dxa"/>
            <w:vAlign w:val="center"/>
          </w:tcPr>
          <w:p w14:paraId="78EFE6BE">
            <w:pPr>
              <w:widowControl/>
              <w:adjustRightInd w:val="0"/>
              <w:spacing w:line="360" w:lineRule="auto"/>
              <w:jc w:val="center"/>
              <w:rPr>
                <w:color w:val="000000" w:themeColor="text1"/>
                <w:lang w:val="zh-CN"/>
                <w14:textFill>
                  <w14:solidFill>
                    <w14:schemeClr w14:val="tx1"/>
                  </w14:solidFill>
                </w14:textFill>
              </w:rPr>
            </w:pPr>
          </w:p>
        </w:tc>
        <w:tc>
          <w:tcPr>
            <w:tcW w:w="2700" w:type="dxa"/>
            <w:vAlign w:val="center"/>
          </w:tcPr>
          <w:p w14:paraId="426FADBE">
            <w:pPr>
              <w:widowControl/>
              <w:adjustRightInd w:val="0"/>
              <w:spacing w:line="360" w:lineRule="auto"/>
              <w:jc w:val="center"/>
              <w:rPr>
                <w:color w:val="000000" w:themeColor="text1"/>
                <w:lang w:val="zh-CN"/>
                <w14:textFill>
                  <w14:solidFill>
                    <w14:schemeClr w14:val="tx1"/>
                  </w14:solidFill>
                </w14:textFill>
              </w:rPr>
            </w:pPr>
          </w:p>
        </w:tc>
        <w:tc>
          <w:tcPr>
            <w:tcW w:w="2568" w:type="dxa"/>
            <w:gridSpan w:val="2"/>
            <w:vAlign w:val="center"/>
          </w:tcPr>
          <w:p w14:paraId="388BC1C4">
            <w:pPr>
              <w:widowControl/>
              <w:adjustRightInd w:val="0"/>
              <w:spacing w:line="360" w:lineRule="auto"/>
              <w:jc w:val="center"/>
              <w:rPr>
                <w:color w:val="000000" w:themeColor="text1"/>
                <w:lang w:val="zh-CN"/>
                <w14:textFill>
                  <w14:solidFill>
                    <w14:schemeClr w14:val="tx1"/>
                  </w14:solidFill>
                </w14:textFill>
              </w:rPr>
            </w:pPr>
          </w:p>
        </w:tc>
        <w:tc>
          <w:tcPr>
            <w:tcW w:w="795" w:type="dxa"/>
            <w:vAlign w:val="center"/>
          </w:tcPr>
          <w:p w14:paraId="47776038">
            <w:pPr>
              <w:widowControl/>
              <w:adjustRightInd w:val="0"/>
              <w:spacing w:line="360" w:lineRule="auto"/>
              <w:jc w:val="center"/>
              <w:rPr>
                <w:color w:val="000000" w:themeColor="text1"/>
                <w:lang w:val="zh-CN"/>
                <w14:textFill>
                  <w14:solidFill>
                    <w14:schemeClr w14:val="tx1"/>
                  </w14:solidFill>
                </w14:textFill>
              </w:rPr>
            </w:pPr>
          </w:p>
        </w:tc>
        <w:tc>
          <w:tcPr>
            <w:tcW w:w="882" w:type="dxa"/>
            <w:vAlign w:val="center"/>
          </w:tcPr>
          <w:p w14:paraId="6447DB56">
            <w:pPr>
              <w:widowControl/>
              <w:adjustRightInd w:val="0"/>
              <w:spacing w:line="360" w:lineRule="auto"/>
              <w:jc w:val="center"/>
              <w:rPr>
                <w:color w:val="000000" w:themeColor="text1"/>
                <w:lang w:val="zh-CN"/>
                <w14:textFill>
                  <w14:solidFill>
                    <w14:schemeClr w14:val="tx1"/>
                  </w14:solidFill>
                </w14:textFill>
              </w:rPr>
            </w:pPr>
          </w:p>
        </w:tc>
      </w:tr>
    </w:tbl>
    <w:p w14:paraId="590AC7F2">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供应商名称：（盖章）</w:t>
      </w:r>
    </w:p>
    <w:p w14:paraId="1DCD1635">
      <w:pPr>
        <w:widowControl/>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说明：1、如果行数不够，请自行增加。</w:t>
      </w:r>
    </w:p>
    <w:p w14:paraId="3EDA65FF">
      <w:pPr>
        <w:widowControl/>
        <w:spacing w:line="360" w:lineRule="auto"/>
        <w:ind w:firstLine="630" w:firstLineChars="300"/>
        <w:rPr>
          <w:color w:val="000000" w:themeColor="text1"/>
          <w14:textFill>
            <w14:solidFill>
              <w14:schemeClr w14:val="tx1"/>
            </w14:solidFill>
          </w14:textFill>
        </w:rPr>
      </w:pPr>
      <w:r>
        <w:rPr>
          <w:rFonts w:hint="eastAsia"/>
          <w:color w:val="000000" w:themeColor="text1"/>
          <w14:textFill>
            <w14:solidFill>
              <w14:schemeClr w14:val="tx1"/>
            </w14:solidFill>
          </w14:textFill>
        </w:rPr>
        <w:t>2、供应商需在上表中对采购文件第四章</w:t>
      </w:r>
      <w:r>
        <w:rPr>
          <w:rFonts w:hint="eastAsia"/>
          <w:color w:val="000000" w:themeColor="text1"/>
          <w:lang w:eastAsia="zh-CN"/>
          <w14:textFill>
            <w14:solidFill>
              <w14:schemeClr w14:val="tx1"/>
            </w14:solidFill>
          </w14:textFill>
        </w:rPr>
        <w:t>“（第</w:t>
      </w:r>
      <w:r>
        <w:rPr>
          <w:rFonts w:hint="eastAsia"/>
          <w:color w:val="000000" w:themeColor="text1"/>
          <w:lang w:val="en-US" w:eastAsia="zh-CN"/>
          <w14:textFill>
            <w14:solidFill>
              <w14:schemeClr w14:val="tx1"/>
            </w14:solidFill>
          </w14:textFill>
        </w:rPr>
        <w:t>二</w:t>
      </w:r>
      <w:r>
        <w:rPr>
          <w:rFonts w:hint="eastAsia"/>
          <w:color w:val="000000" w:themeColor="text1"/>
          <w:lang w:eastAsia="zh-CN"/>
          <w14:textFill>
            <w14:solidFill>
              <w14:schemeClr w14:val="tx1"/>
            </w14:solidFill>
          </w14:textFill>
        </w:rPr>
        <w:t>部分：</w:t>
      </w:r>
      <w:r>
        <w:rPr>
          <w:rFonts w:hint="eastAsia"/>
          <w:color w:val="000000" w:themeColor="text1"/>
          <w:lang w:val="en-US" w:eastAsia="zh-CN"/>
          <w14:textFill>
            <w14:solidFill>
              <w14:schemeClr w14:val="tx1"/>
            </w14:solidFill>
          </w14:textFill>
        </w:rPr>
        <w:t>商务</w:t>
      </w:r>
      <w:r>
        <w:rPr>
          <w:rFonts w:hint="eastAsia"/>
          <w:color w:val="000000" w:themeColor="text1"/>
          <w:lang w:eastAsia="zh-CN"/>
          <w14:textFill>
            <w14:solidFill>
              <w14:schemeClr w14:val="tx1"/>
            </w14:solidFill>
          </w14:textFill>
        </w:rPr>
        <w:t>部分要求）”</w:t>
      </w:r>
      <w:r>
        <w:rPr>
          <w:rFonts w:hint="eastAsia"/>
          <w:color w:val="000000" w:themeColor="text1"/>
          <w:lang w:val="en-US" w:eastAsia="zh-CN"/>
          <w14:textFill>
            <w14:solidFill>
              <w14:schemeClr w14:val="tx1"/>
            </w14:solidFill>
          </w14:textFill>
        </w:rPr>
        <w:t>中相关内容</w:t>
      </w:r>
      <w:r>
        <w:rPr>
          <w:rFonts w:hint="eastAsia"/>
          <w:color w:val="000000" w:themeColor="text1"/>
          <w14:textFill>
            <w14:solidFill>
              <w14:schemeClr w14:val="tx1"/>
            </w14:solidFill>
          </w14:textFill>
        </w:rPr>
        <w:t>进行响应。</w:t>
      </w:r>
    </w:p>
    <w:p w14:paraId="6BA9B63A">
      <w:pPr>
        <w:widowControl/>
        <w:adjustRightInd w:val="0"/>
        <w:spacing w:line="360" w:lineRule="auto"/>
        <w:ind w:firstLine="630" w:firstLineChars="30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3</w:t>
      </w:r>
      <w:r>
        <w:rPr>
          <w:rFonts w:hint="eastAsia"/>
          <w:color w:val="000000" w:themeColor="text1"/>
          <w:lang w:val="zh-CN"/>
          <w14:textFill>
            <w14:solidFill>
              <w14:schemeClr w14:val="tx1"/>
            </w14:solidFill>
          </w14:textFill>
        </w:rPr>
        <w:t>、投标人应对招标文件商务要求逐条填写偏离情况（正偏离、负偏离或无偏离），并说明偏离的具体内容及做出必要说明。供应商需如实填写偏离表，请勿虚假响应，投标人应对故意隐瞒偏离的行为承担责任。</w:t>
      </w:r>
    </w:p>
    <w:p w14:paraId="00990CB3">
      <w:pPr>
        <w:widowControl/>
        <w:adjustRightInd w:val="0"/>
        <w:spacing w:line="240" w:lineRule="atLeast"/>
        <w:rPr>
          <w:color w:val="000000" w:themeColor="text1"/>
          <w:lang w:val="zh-CN"/>
          <w14:textFill>
            <w14:solidFill>
              <w14:schemeClr w14:val="tx1"/>
            </w14:solidFill>
          </w14:textFill>
        </w:rPr>
      </w:pPr>
    </w:p>
    <w:p w14:paraId="44A84C5C">
      <w:pPr>
        <w:spacing w:line="240" w:lineRule="atLeast"/>
        <w:rPr>
          <w:b/>
          <w:color w:val="000000" w:themeColor="text1"/>
          <w14:textFill>
            <w14:solidFill>
              <w14:schemeClr w14:val="tx1"/>
            </w14:solidFill>
          </w14:textFill>
        </w:rPr>
      </w:pPr>
    </w:p>
    <w:p w14:paraId="294E4805">
      <w:pPr>
        <w:spacing w:line="240" w:lineRule="atLeast"/>
        <w:rPr>
          <w:b/>
          <w:color w:val="000000" w:themeColor="text1"/>
          <w14:textFill>
            <w14:solidFill>
              <w14:schemeClr w14:val="tx1"/>
            </w14:solidFill>
          </w14:textFill>
        </w:rPr>
        <w:sectPr>
          <w:endnotePr>
            <w:numFmt w:val="decimal"/>
          </w:endnotePr>
          <w:pgSz w:w="11906" w:h="16838"/>
          <w:pgMar w:top="850" w:right="850" w:bottom="850" w:left="1418" w:header="113" w:footer="720" w:gutter="0"/>
          <w:cols w:space="0" w:num="1"/>
        </w:sectPr>
      </w:pPr>
    </w:p>
    <w:p w14:paraId="4AF0B1CC">
      <w:pPr>
        <w:spacing w:line="240" w:lineRule="atLeast"/>
        <w:rPr>
          <w:b/>
          <w:color w:val="000000" w:themeColor="text1"/>
          <w14:textFill>
            <w14:solidFill>
              <w14:schemeClr w14:val="tx1"/>
            </w14:solidFill>
          </w14:textFill>
        </w:rPr>
      </w:pPr>
      <w:r>
        <w:rPr>
          <w:rFonts w:hint="eastAsia"/>
          <w:b/>
          <w:color w:val="000000" w:themeColor="text1"/>
          <w14:textFill>
            <w14:solidFill>
              <w14:schemeClr w14:val="tx1"/>
            </w14:solidFill>
          </w14:textFill>
        </w:rPr>
        <w:t>目录八、</w:t>
      </w:r>
      <w:r>
        <w:rPr>
          <w:rFonts w:hint="eastAsia"/>
          <w:b/>
          <w:color w:val="000000" w:themeColor="text1"/>
          <w:lang w:val="zh-CN"/>
          <w14:textFill>
            <w14:solidFill>
              <w14:schemeClr w14:val="tx1"/>
            </w14:solidFill>
          </w14:textFill>
        </w:rPr>
        <w:t>技术说明或服务方案</w:t>
      </w:r>
    </w:p>
    <w:p w14:paraId="2D70C3C8">
      <w:pPr>
        <w:spacing w:line="240" w:lineRule="atLeast"/>
        <w:rPr>
          <w:b/>
          <w:color w:val="000000" w:themeColor="text1"/>
          <w14:textFill>
            <w14:solidFill>
              <w14:schemeClr w14:val="tx1"/>
            </w14:solidFill>
          </w14:textFill>
        </w:rPr>
      </w:pPr>
    </w:p>
    <w:p w14:paraId="1D6576A8">
      <w:pPr>
        <w:spacing w:line="240" w:lineRule="atLeast"/>
        <w:jc w:val="center"/>
        <w:rPr>
          <w:color w:val="000000" w:themeColor="text1"/>
          <w:sz w:val="36"/>
          <w:szCs w:val="36"/>
          <w14:textFill>
            <w14:solidFill>
              <w14:schemeClr w14:val="tx1"/>
            </w14:solidFill>
          </w14:textFill>
        </w:rPr>
      </w:pPr>
      <w:r>
        <w:rPr>
          <w:rFonts w:hint="eastAsia"/>
          <w:color w:val="000000" w:themeColor="text1"/>
          <w:sz w:val="28"/>
          <w:szCs w:val="28"/>
          <w:lang w:val="zh-CN"/>
          <w14:textFill>
            <w14:solidFill>
              <w14:schemeClr w14:val="tx1"/>
            </w14:solidFill>
          </w14:textFill>
        </w:rPr>
        <w:t>技术说明或服务方案</w:t>
      </w:r>
      <w:r>
        <w:rPr>
          <w:rFonts w:hint="eastAsia"/>
          <w:color w:val="000000" w:themeColor="text1"/>
          <w:sz w:val="36"/>
          <w:szCs w:val="36"/>
          <w:lang w:val="zh-CN"/>
          <w14:textFill>
            <w14:solidFill>
              <w14:schemeClr w14:val="tx1"/>
            </w14:solidFill>
          </w14:textFill>
        </w:rPr>
        <w:t>（若有）</w:t>
      </w:r>
    </w:p>
    <w:p w14:paraId="555F4975">
      <w:pPr>
        <w:spacing w:line="240" w:lineRule="atLeast"/>
        <w:rPr>
          <w:color w:val="000000" w:themeColor="text1"/>
          <w:sz w:val="36"/>
          <w:szCs w:val="36"/>
          <w14:textFill>
            <w14:solidFill>
              <w14:schemeClr w14:val="tx1"/>
            </w14:solidFill>
          </w14:textFill>
        </w:rPr>
      </w:pPr>
    </w:p>
    <w:p w14:paraId="19B2E790">
      <w:pPr>
        <w:spacing w:line="240" w:lineRule="atLeast"/>
        <w:rPr>
          <w:color w:val="000000" w:themeColor="text1"/>
          <w:sz w:val="36"/>
          <w:szCs w:val="36"/>
          <w14:textFill>
            <w14:solidFill>
              <w14:schemeClr w14:val="tx1"/>
            </w14:solidFill>
          </w14:textFill>
        </w:rPr>
      </w:pPr>
    </w:p>
    <w:p w14:paraId="22CB244E">
      <w:pPr>
        <w:spacing w:line="240" w:lineRule="atLeast"/>
        <w:rPr>
          <w:b/>
          <w:color w:val="000000" w:themeColor="text1"/>
          <w14:textFill>
            <w14:solidFill>
              <w14:schemeClr w14:val="tx1"/>
            </w14:solidFill>
          </w14:textFill>
        </w:rPr>
      </w:pPr>
    </w:p>
    <w:p w14:paraId="38189B83">
      <w:pPr>
        <w:spacing w:line="240" w:lineRule="atLeast"/>
        <w:rPr>
          <w:b/>
          <w:color w:val="000000" w:themeColor="text1"/>
          <w14:textFill>
            <w14:solidFill>
              <w14:schemeClr w14:val="tx1"/>
            </w14:solidFill>
          </w14:textFill>
        </w:rPr>
      </w:pPr>
    </w:p>
    <w:p w14:paraId="6667C010">
      <w:pPr>
        <w:spacing w:line="240" w:lineRule="atLeast"/>
        <w:rPr>
          <w:b/>
          <w:color w:val="000000" w:themeColor="text1"/>
          <w14:textFill>
            <w14:solidFill>
              <w14:schemeClr w14:val="tx1"/>
            </w14:solidFill>
          </w14:textFill>
        </w:rPr>
      </w:pPr>
    </w:p>
    <w:p w14:paraId="71B4B8A4">
      <w:pPr>
        <w:pStyle w:val="21"/>
        <w:rPr>
          <w:b/>
          <w:color w:val="000000" w:themeColor="text1"/>
          <w14:textFill>
            <w14:solidFill>
              <w14:schemeClr w14:val="tx1"/>
            </w14:solidFill>
          </w14:textFill>
        </w:rPr>
      </w:pPr>
    </w:p>
    <w:p w14:paraId="518AE126">
      <w:pPr>
        <w:pStyle w:val="21"/>
        <w:rPr>
          <w:b/>
          <w:color w:val="000000" w:themeColor="text1"/>
          <w14:textFill>
            <w14:solidFill>
              <w14:schemeClr w14:val="tx1"/>
            </w14:solidFill>
          </w14:textFill>
        </w:rPr>
      </w:pPr>
    </w:p>
    <w:p w14:paraId="22149E00">
      <w:pPr>
        <w:spacing w:line="240" w:lineRule="atLeast"/>
        <w:rPr>
          <w:b/>
          <w:color w:val="000000" w:themeColor="text1"/>
          <w14:textFill>
            <w14:solidFill>
              <w14:schemeClr w14:val="tx1"/>
            </w14:solidFill>
          </w14:textFill>
        </w:rPr>
      </w:pPr>
    </w:p>
    <w:p w14:paraId="08721D93">
      <w:pPr>
        <w:spacing w:line="240" w:lineRule="atLeast"/>
        <w:rPr>
          <w:b/>
          <w:color w:val="000000" w:themeColor="text1"/>
          <w14:textFill>
            <w14:solidFill>
              <w14:schemeClr w14:val="tx1"/>
            </w14:solidFill>
          </w14:textFill>
        </w:rPr>
      </w:pPr>
    </w:p>
    <w:p w14:paraId="54FD3E8C">
      <w:pPr>
        <w:spacing w:line="240" w:lineRule="atLeast"/>
        <w:rPr>
          <w:b/>
          <w:color w:val="000000" w:themeColor="text1"/>
          <w14:textFill>
            <w14:solidFill>
              <w14:schemeClr w14:val="tx1"/>
            </w14:solidFill>
          </w14:textFill>
        </w:rPr>
      </w:pPr>
      <w:r>
        <w:rPr>
          <w:rFonts w:hint="eastAsia"/>
          <w:b/>
          <w:color w:val="000000" w:themeColor="text1"/>
          <w14:textFill>
            <w14:solidFill>
              <w14:schemeClr w14:val="tx1"/>
            </w14:solidFill>
          </w14:textFill>
        </w:rPr>
        <w:t>目录九、服务与承诺</w:t>
      </w:r>
    </w:p>
    <w:p w14:paraId="4FCAFF61">
      <w:pPr>
        <w:spacing w:line="240" w:lineRule="atLeast"/>
        <w:rPr>
          <w:b/>
          <w:color w:val="000000" w:themeColor="text1"/>
          <w14:textFill>
            <w14:solidFill>
              <w14:schemeClr w14:val="tx1"/>
            </w14:solidFill>
          </w14:textFill>
        </w:rPr>
      </w:pPr>
    </w:p>
    <w:p w14:paraId="49E73470">
      <w:pPr>
        <w:spacing w:line="240" w:lineRule="atLeast"/>
        <w:jc w:val="center"/>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服务与承诺</w:t>
      </w:r>
    </w:p>
    <w:p w14:paraId="05DCF6B0">
      <w:pPr>
        <w:spacing w:line="240" w:lineRule="atLeast"/>
        <w:rPr>
          <w:b/>
          <w:color w:val="000000" w:themeColor="text1"/>
          <w14:textFill>
            <w14:solidFill>
              <w14:schemeClr w14:val="tx1"/>
            </w14:solidFill>
          </w14:textFill>
        </w:rPr>
      </w:pPr>
    </w:p>
    <w:p w14:paraId="1C2A383F">
      <w:pPr>
        <w:snapToGrid w:val="0"/>
        <w:spacing w:before="50" w:after="50" w:line="360" w:lineRule="auto"/>
        <w:rPr>
          <w:b/>
          <w:color w:val="000000" w:themeColor="text1"/>
          <w14:textFill>
            <w14:solidFill>
              <w14:schemeClr w14:val="tx1"/>
            </w14:solidFill>
          </w14:textFill>
        </w:rPr>
      </w:pPr>
    </w:p>
    <w:p w14:paraId="74BCA3B3">
      <w:pPr>
        <w:pStyle w:val="21"/>
        <w:rPr>
          <w:b/>
          <w:color w:val="000000" w:themeColor="text1"/>
          <w14:textFill>
            <w14:solidFill>
              <w14:schemeClr w14:val="tx1"/>
            </w14:solidFill>
          </w14:textFill>
        </w:rPr>
      </w:pPr>
    </w:p>
    <w:p w14:paraId="2C7BA011">
      <w:pPr>
        <w:pStyle w:val="21"/>
        <w:rPr>
          <w:b/>
          <w:color w:val="000000" w:themeColor="text1"/>
          <w14:textFill>
            <w14:solidFill>
              <w14:schemeClr w14:val="tx1"/>
            </w14:solidFill>
          </w14:textFill>
        </w:rPr>
      </w:pPr>
    </w:p>
    <w:p w14:paraId="1CDC596A">
      <w:pPr>
        <w:pStyle w:val="21"/>
        <w:rPr>
          <w:b/>
          <w:color w:val="000000" w:themeColor="text1"/>
          <w14:textFill>
            <w14:solidFill>
              <w14:schemeClr w14:val="tx1"/>
            </w14:solidFill>
          </w14:textFill>
        </w:rPr>
      </w:pPr>
    </w:p>
    <w:p w14:paraId="0076B7B4">
      <w:pPr>
        <w:pStyle w:val="21"/>
        <w:rPr>
          <w:b/>
          <w:color w:val="000000" w:themeColor="text1"/>
          <w14:textFill>
            <w14:solidFill>
              <w14:schemeClr w14:val="tx1"/>
            </w14:solidFill>
          </w14:textFill>
        </w:rPr>
      </w:pPr>
    </w:p>
    <w:p w14:paraId="0A89EEE9">
      <w:pPr>
        <w:pStyle w:val="21"/>
        <w:rPr>
          <w:b/>
          <w:color w:val="000000" w:themeColor="text1"/>
          <w14:textFill>
            <w14:solidFill>
              <w14:schemeClr w14:val="tx1"/>
            </w14:solidFill>
          </w14:textFill>
        </w:rPr>
      </w:pPr>
    </w:p>
    <w:p w14:paraId="76875B79">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目录十、</w:t>
      </w:r>
      <w:r>
        <w:rPr>
          <w:b/>
          <w:color w:val="000000" w:themeColor="text1"/>
          <w14:textFill>
            <w14:solidFill>
              <w14:schemeClr w14:val="tx1"/>
            </w14:solidFill>
          </w14:textFill>
        </w:rPr>
        <w:t>投标人类似业绩情况表</w:t>
      </w:r>
    </w:p>
    <w:p w14:paraId="25296614">
      <w:pPr>
        <w:spacing w:line="240" w:lineRule="atLeast"/>
        <w:jc w:val="center"/>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投标人类似业绩情况表</w:t>
      </w:r>
    </w:p>
    <w:p w14:paraId="4136A0E9">
      <w:pPr>
        <w:rPr>
          <w:color w:val="000000" w:themeColor="text1"/>
          <w14:textFill>
            <w14:solidFill>
              <w14:schemeClr w14:val="tx1"/>
            </w14:solidFill>
          </w14:textFill>
        </w:rPr>
      </w:pPr>
    </w:p>
    <w:tbl>
      <w:tblPr>
        <w:tblStyle w:val="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4"/>
        <w:gridCol w:w="1447"/>
        <w:gridCol w:w="1846"/>
        <w:gridCol w:w="1450"/>
        <w:gridCol w:w="379"/>
        <w:gridCol w:w="1267"/>
        <w:gridCol w:w="2093"/>
        <w:gridCol w:w="572"/>
      </w:tblGrid>
      <w:tr w14:paraId="3C15F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tblHeader/>
          <w:jc w:val="center"/>
        </w:trPr>
        <w:tc>
          <w:tcPr>
            <w:tcW w:w="6395" w:type="dxa"/>
            <w:gridSpan w:val="5"/>
            <w:tcBorders>
              <w:top w:val="nil"/>
              <w:left w:val="nil"/>
              <w:right w:val="nil"/>
            </w:tcBorders>
            <w:vAlign w:val="center"/>
          </w:tcPr>
          <w:p w14:paraId="749CD713">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项目名称：</w:t>
            </w:r>
          </w:p>
        </w:tc>
        <w:tc>
          <w:tcPr>
            <w:tcW w:w="1421" w:type="dxa"/>
            <w:tcBorders>
              <w:top w:val="nil"/>
              <w:left w:val="nil"/>
              <w:right w:val="nil"/>
            </w:tcBorders>
            <w:vAlign w:val="center"/>
          </w:tcPr>
          <w:p w14:paraId="0BE12D3C">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项目编号：</w:t>
            </w:r>
          </w:p>
        </w:tc>
        <w:tc>
          <w:tcPr>
            <w:tcW w:w="2348" w:type="dxa"/>
            <w:tcBorders>
              <w:top w:val="nil"/>
              <w:left w:val="nil"/>
              <w:right w:val="nil"/>
            </w:tcBorders>
          </w:tcPr>
          <w:p w14:paraId="0DE763CE">
            <w:pPr>
              <w:widowControl/>
              <w:adjustRightInd w:val="0"/>
              <w:spacing w:line="360" w:lineRule="auto"/>
              <w:rPr>
                <w:color w:val="000000" w:themeColor="text1"/>
                <w:lang w:val="zh-CN"/>
                <w14:textFill>
                  <w14:solidFill>
                    <w14:schemeClr w14:val="tx1"/>
                  </w14:solidFill>
                </w14:textFill>
              </w:rPr>
            </w:pPr>
          </w:p>
        </w:tc>
        <w:tc>
          <w:tcPr>
            <w:tcW w:w="639" w:type="dxa"/>
            <w:tcBorders>
              <w:top w:val="nil"/>
              <w:left w:val="nil"/>
              <w:right w:val="nil"/>
            </w:tcBorders>
          </w:tcPr>
          <w:p w14:paraId="15E2D813">
            <w:pPr>
              <w:widowControl/>
              <w:adjustRightInd w:val="0"/>
              <w:spacing w:line="360" w:lineRule="auto"/>
              <w:rPr>
                <w:color w:val="000000" w:themeColor="text1"/>
                <w:lang w:val="zh-CN"/>
                <w14:textFill>
                  <w14:solidFill>
                    <w14:schemeClr w14:val="tx1"/>
                  </w14:solidFill>
                </w14:textFill>
              </w:rPr>
            </w:pPr>
          </w:p>
        </w:tc>
      </w:tr>
      <w:tr w14:paraId="2FDA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652" w:type="dxa"/>
            <w:vAlign w:val="center"/>
          </w:tcPr>
          <w:p w14:paraId="05923D38">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序号</w:t>
            </w:r>
          </w:p>
        </w:tc>
        <w:tc>
          <w:tcPr>
            <w:tcW w:w="1622" w:type="dxa"/>
            <w:vAlign w:val="center"/>
          </w:tcPr>
          <w:p w14:paraId="1E907212">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项目名称</w:t>
            </w:r>
          </w:p>
        </w:tc>
        <w:tc>
          <w:tcPr>
            <w:tcW w:w="2070" w:type="dxa"/>
            <w:vAlign w:val="center"/>
          </w:tcPr>
          <w:p w14:paraId="0778330D">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业主方</w:t>
            </w:r>
          </w:p>
        </w:tc>
        <w:tc>
          <w:tcPr>
            <w:tcW w:w="1626" w:type="dxa"/>
            <w:vAlign w:val="center"/>
          </w:tcPr>
          <w:p w14:paraId="5B8F78CF">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项目规模</w:t>
            </w:r>
          </w:p>
        </w:tc>
        <w:tc>
          <w:tcPr>
            <w:tcW w:w="1846" w:type="dxa"/>
            <w:gridSpan w:val="2"/>
            <w:vAlign w:val="center"/>
          </w:tcPr>
          <w:p w14:paraId="103D8B02">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签约及服务时间</w:t>
            </w:r>
          </w:p>
        </w:tc>
        <w:tc>
          <w:tcPr>
            <w:tcW w:w="2348" w:type="dxa"/>
          </w:tcPr>
          <w:p w14:paraId="4C3B71CE">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联系人及电话</w:t>
            </w:r>
          </w:p>
        </w:tc>
        <w:tc>
          <w:tcPr>
            <w:tcW w:w="639" w:type="dxa"/>
          </w:tcPr>
          <w:p w14:paraId="38ED8B5C">
            <w:pPr>
              <w:widowControl/>
              <w:adjustRightInd w:val="0"/>
              <w:spacing w:line="360" w:lineRule="auto"/>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备注</w:t>
            </w:r>
          </w:p>
        </w:tc>
      </w:tr>
      <w:tr w14:paraId="202ED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52" w:type="dxa"/>
            <w:vAlign w:val="center"/>
          </w:tcPr>
          <w:p w14:paraId="119B6945">
            <w:pPr>
              <w:widowControl/>
              <w:adjustRightInd w:val="0"/>
              <w:spacing w:line="360" w:lineRule="auto"/>
              <w:jc w:val="center"/>
              <w:rPr>
                <w:color w:val="000000" w:themeColor="text1"/>
                <w:lang w:val="zh-CN"/>
                <w14:textFill>
                  <w14:solidFill>
                    <w14:schemeClr w14:val="tx1"/>
                  </w14:solidFill>
                </w14:textFill>
              </w:rPr>
            </w:pPr>
          </w:p>
        </w:tc>
        <w:tc>
          <w:tcPr>
            <w:tcW w:w="1622" w:type="dxa"/>
            <w:vAlign w:val="center"/>
          </w:tcPr>
          <w:p w14:paraId="654AC65C">
            <w:pPr>
              <w:widowControl/>
              <w:adjustRightInd w:val="0"/>
              <w:spacing w:line="360" w:lineRule="auto"/>
              <w:jc w:val="center"/>
              <w:rPr>
                <w:color w:val="000000" w:themeColor="text1"/>
                <w:lang w:val="zh-CN"/>
                <w14:textFill>
                  <w14:solidFill>
                    <w14:schemeClr w14:val="tx1"/>
                  </w14:solidFill>
                </w14:textFill>
              </w:rPr>
            </w:pPr>
          </w:p>
        </w:tc>
        <w:tc>
          <w:tcPr>
            <w:tcW w:w="2070" w:type="dxa"/>
            <w:vAlign w:val="center"/>
          </w:tcPr>
          <w:p w14:paraId="235B6784">
            <w:pPr>
              <w:widowControl/>
              <w:adjustRightInd w:val="0"/>
              <w:spacing w:line="360" w:lineRule="auto"/>
              <w:jc w:val="center"/>
              <w:rPr>
                <w:color w:val="000000" w:themeColor="text1"/>
                <w:lang w:val="zh-CN"/>
                <w14:textFill>
                  <w14:solidFill>
                    <w14:schemeClr w14:val="tx1"/>
                  </w14:solidFill>
                </w14:textFill>
              </w:rPr>
            </w:pPr>
          </w:p>
        </w:tc>
        <w:tc>
          <w:tcPr>
            <w:tcW w:w="1626" w:type="dxa"/>
            <w:vAlign w:val="center"/>
          </w:tcPr>
          <w:p w14:paraId="3D7E2440">
            <w:pPr>
              <w:widowControl/>
              <w:adjustRightInd w:val="0"/>
              <w:spacing w:line="360" w:lineRule="auto"/>
              <w:jc w:val="center"/>
              <w:rPr>
                <w:color w:val="000000" w:themeColor="text1"/>
                <w:lang w:val="zh-CN"/>
                <w14:textFill>
                  <w14:solidFill>
                    <w14:schemeClr w14:val="tx1"/>
                  </w14:solidFill>
                </w14:textFill>
              </w:rPr>
            </w:pPr>
          </w:p>
        </w:tc>
        <w:tc>
          <w:tcPr>
            <w:tcW w:w="1846" w:type="dxa"/>
            <w:gridSpan w:val="2"/>
            <w:vAlign w:val="center"/>
          </w:tcPr>
          <w:p w14:paraId="43BDD969">
            <w:pPr>
              <w:widowControl/>
              <w:adjustRightInd w:val="0"/>
              <w:spacing w:line="360" w:lineRule="auto"/>
              <w:jc w:val="center"/>
              <w:rPr>
                <w:color w:val="000000" w:themeColor="text1"/>
                <w:lang w:val="zh-CN"/>
                <w14:textFill>
                  <w14:solidFill>
                    <w14:schemeClr w14:val="tx1"/>
                  </w14:solidFill>
                </w14:textFill>
              </w:rPr>
            </w:pPr>
          </w:p>
        </w:tc>
        <w:tc>
          <w:tcPr>
            <w:tcW w:w="2348" w:type="dxa"/>
          </w:tcPr>
          <w:p w14:paraId="5FB0DC6A">
            <w:pPr>
              <w:widowControl/>
              <w:adjustRightInd w:val="0"/>
              <w:spacing w:line="360" w:lineRule="auto"/>
              <w:jc w:val="center"/>
              <w:rPr>
                <w:color w:val="000000" w:themeColor="text1"/>
                <w:lang w:val="zh-CN"/>
                <w14:textFill>
                  <w14:solidFill>
                    <w14:schemeClr w14:val="tx1"/>
                  </w14:solidFill>
                </w14:textFill>
              </w:rPr>
            </w:pPr>
          </w:p>
        </w:tc>
        <w:tc>
          <w:tcPr>
            <w:tcW w:w="639" w:type="dxa"/>
          </w:tcPr>
          <w:p w14:paraId="7865F49A">
            <w:pPr>
              <w:widowControl/>
              <w:adjustRightInd w:val="0"/>
              <w:spacing w:line="360" w:lineRule="auto"/>
              <w:jc w:val="center"/>
              <w:rPr>
                <w:color w:val="000000" w:themeColor="text1"/>
                <w:lang w:val="zh-CN"/>
                <w14:textFill>
                  <w14:solidFill>
                    <w14:schemeClr w14:val="tx1"/>
                  </w14:solidFill>
                </w14:textFill>
              </w:rPr>
            </w:pPr>
          </w:p>
        </w:tc>
      </w:tr>
      <w:tr w14:paraId="0F17B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652" w:type="dxa"/>
            <w:vAlign w:val="center"/>
          </w:tcPr>
          <w:p w14:paraId="3381FDC8">
            <w:pPr>
              <w:widowControl/>
              <w:adjustRightInd w:val="0"/>
              <w:spacing w:line="360" w:lineRule="auto"/>
              <w:jc w:val="center"/>
              <w:rPr>
                <w:color w:val="000000" w:themeColor="text1"/>
                <w:lang w:val="zh-CN"/>
                <w14:textFill>
                  <w14:solidFill>
                    <w14:schemeClr w14:val="tx1"/>
                  </w14:solidFill>
                </w14:textFill>
              </w:rPr>
            </w:pPr>
          </w:p>
        </w:tc>
        <w:tc>
          <w:tcPr>
            <w:tcW w:w="1622" w:type="dxa"/>
            <w:vAlign w:val="center"/>
          </w:tcPr>
          <w:p w14:paraId="7EB1F9F9">
            <w:pPr>
              <w:widowControl/>
              <w:adjustRightInd w:val="0"/>
              <w:spacing w:line="360" w:lineRule="auto"/>
              <w:jc w:val="center"/>
              <w:rPr>
                <w:color w:val="000000" w:themeColor="text1"/>
                <w:lang w:val="zh-CN"/>
                <w14:textFill>
                  <w14:solidFill>
                    <w14:schemeClr w14:val="tx1"/>
                  </w14:solidFill>
                </w14:textFill>
              </w:rPr>
            </w:pPr>
          </w:p>
        </w:tc>
        <w:tc>
          <w:tcPr>
            <w:tcW w:w="2070" w:type="dxa"/>
            <w:vAlign w:val="center"/>
          </w:tcPr>
          <w:p w14:paraId="3AE7A107">
            <w:pPr>
              <w:widowControl/>
              <w:adjustRightInd w:val="0"/>
              <w:spacing w:line="360" w:lineRule="auto"/>
              <w:jc w:val="center"/>
              <w:rPr>
                <w:color w:val="000000" w:themeColor="text1"/>
                <w:lang w:val="zh-CN"/>
                <w14:textFill>
                  <w14:solidFill>
                    <w14:schemeClr w14:val="tx1"/>
                  </w14:solidFill>
                </w14:textFill>
              </w:rPr>
            </w:pPr>
          </w:p>
        </w:tc>
        <w:tc>
          <w:tcPr>
            <w:tcW w:w="1626" w:type="dxa"/>
            <w:vAlign w:val="center"/>
          </w:tcPr>
          <w:p w14:paraId="4A2EBE83">
            <w:pPr>
              <w:widowControl/>
              <w:adjustRightInd w:val="0"/>
              <w:spacing w:line="360" w:lineRule="auto"/>
              <w:jc w:val="center"/>
              <w:rPr>
                <w:color w:val="000000" w:themeColor="text1"/>
                <w:lang w:val="zh-CN"/>
                <w14:textFill>
                  <w14:solidFill>
                    <w14:schemeClr w14:val="tx1"/>
                  </w14:solidFill>
                </w14:textFill>
              </w:rPr>
            </w:pPr>
          </w:p>
        </w:tc>
        <w:tc>
          <w:tcPr>
            <w:tcW w:w="1846" w:type="dxa"/>
            <w:gridSpan w:val="2"/>
            <w:vAlign w:val="center"/>
          </w:tcPr>
          <w:p w14:paraId="1B31DE79">
            <w:pPr>
              <w:widowControl/>
              <w:adjustRightInd w:val="0"/>
              <w:spacing w:line="360" w:lineRule="auto"/>
              <w:jc w:val="center"/>
              <w:rPr>
                <w:color w:val="000000" w:themeColor="text1"/>
                <w:lang w:val="zh-CN"/>
                <w14:textFill>
                  <w14:solidFill>
                    <w14:schemeClr w14:val="tx1"/>
                  </w14:solidFill>
                </w14:textFill>
              </w:rPr>
            </w:pPr>
          </w:p>
        </w:tc>
        <w:tc>
          <w:tcPr>
            <w:tcW w:w="2348" w:type="dxa"/>
          </w:tcPr>
          <w:p w14:paraId="361BC5B2">
            <w:pPr>
              <w:widowControl/>
              <w:adjustRightInd w:val="0"/>
              <w:spacing w:line="360" w:lineRule="auto"/>
              <w:jc w:val="center"/>
              <w:rPr>
                <w:color w:val="000000" w:themeColor="text1"/>
                <w:lang w:val="zh-CN"/>
                <w14:textFill>
                  <w14:solidFill>
                    <w14:schemeClr w14:val="tx1"/>
                  </w14:solidFill>
                </w14:textFill>
              </w:rPr>
            </w:pPr>
          </w:p>
        </w:tc>
        <w:tc>
          <w:tcPr>
            <w:tcW w:w="639" w:type="dxa"/>
          </w:tcPr>
          <w:p w14:paraId="4D137AED">
            <w:pPr>
              <w:widowControl/>
              <w:adjustRightInd w:val="0"/>
              <w:spacing w:line="360" w:lineRule="auto"/>
              <w:jc w:val="center"/>
              <w:rPr>
                <w:color w:val="000000" w:themeColor="text1"/>
                <w:lang w:val="zh-CN"/>
                <w14:textFill>
                  <w14:solidFill>
                    <w14:schemeClr w14:val="tx1"/>
                  </w14:solidFill>
                </w14:textFill>
              </w:rPr>
            </w:pPr>
          </w:p>
        </w:tc>
      </w:tr>
      <w:tr w14:paraId="332B0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652" w:type="dxa"/>
            <w:vAlign w:val="center"/>
          </w:tcPr>
          <w:p w14:paraId="1195E427">
            <w:pPr>
              <w:widowControl/>
              <w:adjustRightInd w:val="0"/>
              <w:spacing w:line="360" w:lineRule="auto"/>
              <w:jc w:val="center"/>
              <w:rPr>
                <w:color w:val="000000" w:themeColor="text1"/>
                <w:lang w:val="zh-CN"/>
                <w14:textFill>
                  <w14:solidFill>
                    <w14:schemeClr w14:val="tx1"/>
                  </w14:solidFill>
                </w14:textFill>
              </w:rPr>
            </w:pPr>
          </w:p>
        </w:tc>
        <w:tc>
          <w:tcPr>
            <w:tcW w:w="1622" w:type="dxa"/>
            <w:vAlign w:val="center"/>
          </w:tcPr>
          <w:p w14:paraId="22748BAA">
            <w:pPr>
              <w:widowControl/>
              <w:adjustRightInd w:val="0"/>
              <w:spacing w:line="360" w:lineRule="auto"/>
              <w:jc w:val="center"/>
              <w:rPr>
                <w:color w:val="000000" w:themeColor="text1"/>
                <w:lang w:val="zh-CN"/>
                <w14:textFill>
                  <w14:solidFill>
                    <w14:schemeClr w14:val="tx1"/>
                  </w14:solidFill>
                </w14:textFill>
              </w:rPr>
            </w:pPr>
          </w:p>
        </w:tc>
        <w:tc>
          <w:tcPr>
            <w:tcW w:w="2070" w:type="dxa"/>
            <w:vAlign w:val="center"/>
          </w:tcPr>
          <w:p w14:paraId="6665EB2A">
            <w:pPr>
              <w:widowControl/>
              <w:adjustRightInd w:val="0"/>
              <w:spacing w:line="360" w:lineRule="auto"/>
              <w:jc w:val="center"/>
              <w:rPr>
                <w:color w:val="000000" w:themeColor="text1"/>
                <w:lang w:val="zh-CN"/>
                <w14:textFill>
                  <w14:solidFill>
                    <w14:schemeClr w14:val="tx1"/>
                  </w14:solidFill>
                </w14:textFill>
              </w:rPr>
            </w:pPr>
          </w:p>
        </w:tc>
        <w:tc>
          <w:tcPr>
            <w:tcW w:w="1626" w:type="dxa"/>
            <w:vAlign w:val="center"/>
          </w:tcPr>
          <w:p w14:paraId="535E4E0F">
            <w:pPr>
              <w:widowControl/>
              <w:adjustRightInd w:val="0"/>
              <w:spacing w:line="360" w:lineRule="auto"/>
              <w:jc w:val="center"/>
              <w:rPr>
                <w:color w:val="000000" w:themeColor="text1"/>
                <w:lang w:val="zh-CN"/>
                <w14:textFill>
                  <w14:solidFill>
                    <w14:schemeClr w14:val="tx1"/>
                  </w14:solidFill>
                </w14:textFill>
              </w:rPr>
            </w:pPr>
          </w:p>
        </w:tc>
        <w:tc>
          <w:tcPr>
            <w:tcW w:w="1846" w:type="dxa"/>
            <w:gridSpan w:val="2"/>
            <w:vAlign w:val="center"/>
          </w:tcPr>
          <w:p w14:paraId="72906F84">
            <w:pPr>
              <w:widowControl/>
              <w:adjustRightInd w:val="0"/>
              <w:spacing w:line="360" w:lineRule="auto"/>
              <w:jc w:val="center"/>
              <w:rPr>
                <w:color w:val="000000" w:themeColor="text1"/>
                <w:lang w:val="zh-CN"/>
                <w14:textFill>
                  <w14:solidFill>
                    <w14:schemeClr w14:val="tx1"/>
                  </w14:solidFill>
                </w14:textFill>
              </w:rPr>
            </w:pPr>
          </w:p>
        </w:tc>
        <w:tc>
          <w:tcPr>
            <w:tcW w:w="2348" w:type="dxa"/>
          </w:tcPr>
          <w:p w14:paraId="62C51FAE">
            <w:pPr>
              <w:widowControl/>
              <w:adjustRightInd w:val="0"/>
              <w:spacing w:line="360" w:lineRule="auto"/>
              <w:jc w:val="center"/>
              <w:rPr>
                <w:color w:val="000000" w:themeColor="text1"/>
                <w:lang w:val="zh-CN"/>
                <w14:textFill>
                  <w14:solidFill>
                    <w14:schemeClr w14:val="tx1"/>
                  </w14:solidFill>
                </w14:textFill>
              </w:rPr>
            </w:pPr>
          </w:p>
        </w:tc>
        <w:tc>
          <w:tcPr>
            <w:tcW w:w="639" w:type="dxa"/>
          </w:tcPr>
          <w:p w14:paraId="0DEDEBF4">
            <w:pPr>
              <w:widowControl/>
              <w:adjustRightInd w:val="0"/>
              <w:spacing w:line="360" w:lineRule="auto"/>
              <w:jc w:val="center"/>
              <w:rPr>
                <w:color w:val="000000" w:themeColor="text1"/>
                <w:lang w:val="zh-CN"/>
                <w14:textFill>
                  <w14:solidFill>
                    <w14:schemeClr w14:val="tx1"/>
                  </w14:solidFill>
                </w14:textFill>
              </w:rPr>
            </w:pPr>
          </w:p>
        </w:tc>
      </w:tr>
      <w:tr w14:paraId="39029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652" w:type="dxa"/>
            <w:vAlign w:val="center"/>
          </w:tcPr>
          <w:p w14:paraId="36195949">
            <w:pPr>
              <w:widowControl/>
              <w:adjustRightInd w:val="0"/>
              <w:spacing w:line="360" w:lineRule="auto"/>
              <w:jc w:val="center"/>
              <w:rPr>
                <w:color w:val="000000" w:themeColor="text1"/>
                <w:lang w:val="zh-CN"/>
                <w14:textFill>
                  <w14:solidFill>
                    <w14:schemeClr w14:val="tx1"/>
                  </w14:solidFill>
                </w14:textFill>
              </w:rPr>
            </w:pPr>
          </w:p>
        </w:tc>
        <w:tc>
          <w:tcPr>
            <w:tcW w:w="1622" w:type="dxa"/>
            <w:vAlign w:val="center"/>
          </w:tcPr>
          <w:p w14:paraId="67495269">
            <w:pPr>
              <w:widowControl/>
              <w:adjustRightInd w:val="0"/>
              <w:spacing w:line="360" w:lineRule="auto"/>
              <w:jc w:val="center"/>
              <w:rPr>
                <w:color w:val="000000" w:themeColor="text1"/>
                <w:lang w:val="zh-CN"/>
                <w14:textFill>
                  <w14:solidFill>
                    <w14:schemeClr w14:val="tx1"/>
                  </w14:solidFill>
                </w14:textFill>
              </w:rPr>
            </w:pPr>
          </w:p>
        </w:tc>
        <w:tc>
          <w:tcPr>
            <w:tcW w:w="2070" w:type="dxa"/>
            <w:vAlign w:val="center"/>
          </w:tcPr>
          <w:p w14:paraId="42B91873">
            <w:pPr>
              <w:widowControl/>
              <w:adjustRightInd w:val="0"/>
              <w:spacing w:line="360" w:lineRule="auto"/>
              <w:jc w:val="center"/>
              <w:rPr>
                <w:color w:val="000000" w:themeColor="text1"/>
                <w:lang w:val="zh-CN"/>
                <w14:textFill>
                  <w14:solidFill>
                    <w14:schemeClr w14:val="tx1"/>
                  </w14:solidFill>
                </w14:textFill>
              </w:rPr>
            </w:pPr>
          </w:p>
        </w:tc>
        <w:tc>
          <w:tcPr>
            <w:tcW w:w="1626" w:type="dxa"/>
            <w:vAlign w:val="center"/>
          </w:tcPr>
          <w:p w14:paraId="36730DF7">
            <w:pPr>
              <w:widowControl/>
              <w:adjustRightInd w:val="0"/>
              <w:spacing w:line="360" w:lineRule="auto"/>
              <w:jc w:val="center"/>
              <w:rPr>
                <w:color w:val="000000" w:themeColor="text1"/>
                <w:lang w:val="zh-CN"/>
                <w14:textFill>
                  <w14:solidFill>
                    <w14:schemeClr w14:val="tx1"/>
                  </w14:solidFill>
                </w14:textFill>
              </w:rPr>
            </w:pPr>
          </w:p>
        </w:tc>
        <w:tc>
          <w:tcPr>
            <w:tcW w:w="1846" w:type="dxa"/>
            <w:gridSpan w:val="2"/>
            <w:vAlign w:val="center"/>
          </w:tcPr>
          <w:p w14:paraId="28CF773A">
            <w:pPr>
              <w:widowControl/>
              <w:adjustRightInd w:val="0"/>
              <w:spacing w:line="360" w:lineRule="auto"/>
              <w:jc w:val="center"/>
              <w:rPr>
                <w:color w:val="000000" w:themeColor="text1"/>
                <w:lang w:val="zh-CN"/>
                <w14:textFill>
                  <w14:solidFill>
                    <w14:schemeClr w14:val="tx1"/>
                  </w14:solidFill>
                </w14:textFill>
              </w:rPr>
            </w:pPr>
          </w:p>
        </w:tc>
        <w:tc>
          <w:tcPr>
            <w:tcW w:w="2348" w:type="dxa"/>
          </w:tcPr>
          <w:p w14:paraId="13321CB6">
            <w:pPr>
              <w:widowControl/>
              <w:adjustRightInd w:val="0"/>
              <w:spacing w:line="360" w:lineRule="auto"/>
              <w:jc w:val="center"/>
              <w:rPr>
                <w:color w:val="000000" w:themeColor="text1"/>
                <w:lang w:val="zh-CN"/>
                <w14:textFill>
                  <w14:solidFill>
                    <w14:schemeClr w14:val="tx1"/>
                  </w14:solidFill>
                </w14:textFill>
              </w:rPr>
            </w:pPr>
          </w:p>
        </w:tc>
        <w:tc>
          <w:tcPr>
            <w:tcW w:w="639" w:type="dxa"/>
          </w:tcPr>
          <w:p w14:paraId="1247F692">
            <w:pPr>
              <w:widowControl/>
              <w:adjustRightInd w:val="0"/>
              <w:spacing w:line="360" w:lineRule="auto"/>
              <w:jc w:val="center"/>
              <w:rPr>
                <w:color w:val="000000" w:themeColor="text1"/>
                <w:lang w:val="zh-CN"/>
                <w14:textFill>
                  <w14:solidFill>
                    <w14:schemeClr w14:val="tx1"/>
                  </w14:solidFill>
                </w14:textFill>
              </w:rPr>
            </w:pPr>
          </w:p>
        </w:tc>
      </w:tr>
      <w:tr w14:paraId="0F93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652" w:type="dxa"/>
            <w:vAlign w:val="center"/>
          </w:tcPr>
          <w:p w14:paraId="0879675F">
            <w:pPr>
              <w:widowControl/>
              <w:adjustRightInd w:val="0"/>
              <w:spacing w:line="360" w:lineRule="auto"/>
              <w:jc w:val="center"/>
              <w:rPr>
                <w:color w:val="000000" w:themeColor="text1"/>
                <w:lang w:val="zh-CN"/>
                <w14:textFill>
                  <w14:solidFill>
                    <w14:schemeClr w14:val="tx1"/>
                  </w14:solidFill>
                </w14:textFill>
              </w:rPr>
            </w:pPr>
          </w:p>
        </w:tc>
        <w:tc>
          <w:tcPr>
            <w:tcW w:w="1622" w:type="dxa"/>
            <w:vAlign w:val="center"/>
          </w:tcPr>
          <w:p w14:paraId="64EC70E7">
            <w:pPr>
              <w:widowControl/>
              <w:adjustRightInd w:val="0"/>
              <w:spacing w:line="360" w:lineRule="auto"/>
              <w:jc w:val="center"/>
              <w:rPr>
                <w:color w:val="000000" w:themeColor="text1"/>
                <w:lang w:val="zh-CN"/>
                <w14:textFill>
                  <w14:solidFill>
                    <w14:schemeClr w14:val="tx1"/>
                  </w14:solidFill>
                </w14:textFill>
              </w:rPr>
            </w:pPr>
          </w:p>
        </w:tc>
        <w:tc>
          <w:tcPr>
            <w:tcW w:w="2070" w:type="dxa"/>
            <w:vAlign w:val="center"/>
          </w:tcPr>
          <w:p w14:paraId="64169C18">
            <w:pPr>
              <w:widowControl/>
              <w:adjustRightInd w:val="0"/>
              <w:spacing w:line="360" w:lineRule="auto"/>
              <w:jc w:val="center"/>
              <w:rPr>
                <w:color w:val="000000" w:themeColor="text1"/>
                <w:lang w:val="zh-CN"/>
                <w14:textFill>
                  <w14:solidFill>
                    <w14:schemeClr w14:val="tx1"/>
                  </w14:solidFill>
                </w14:textFill>
              </w:rPr>
            </w:pPr>
          </w:p>
        </w:tc>
        <w:tc>
          <w:tcPr>
            <w:tcW w:w="1626" w:type="dxa"/>
            <w:vAlign w:val="center"/>
          </w:tcPr>
          <w:p w14:paraId="4C45E78B">
            <w:pPr>
              <w:widowControl/>
              <w:adjustRightInd w:val="0"/>
              <w:spacing w:line="360" w:lineRule="auto"/>
              <w:jc w:val="center"/>
              <w:rPr>
                <w:color w:val="000000" w:themeColor="text1"/>
                <w:lang w:val="zh-CN"/>
                <w14:textFill>
                  <w14:solidFill>
                    <w14:schemeClr w14:val="tx1"/>
                  </w14:solidFill>
                </w14:textFill>
              </w:rPr>
            </w:pPr>
          </w:p>
        </w:tc>
        <w:tc>
          <w:tcPr>
            <w:tcW w:w="1846" w:type="dxa"/>
            <w:gridSpan w:val="2"/>
            <w:vAlign w:val="center"/>
          </w:tcPr>
          <w:p w14:paraId="62B94238">
            <w:pPr>
              <w:widowControl/>
              <w:adjustRightInd w:val="0"/>
              <w:spacing w:line="360" w:lineRule="auto"/>
              <w:jc w:val="center"/>
              <w:rPr>
                <w:color w:val="000000" w:themeColor="text1"/>
                <w:lang w:val="zh-CN"/>
                <w14:textFill>
                  <w14:solidFill>
                    <w14:schemeClr w14:val="tx1"/>
                  </w14:solidFill>
                </w14:textFill>
              </w:rPr>
            </w:pPr>
          </w:p>
        </w:tc>
        <w:tc>
          <w:tcPr>
            <w:tcW w:w="2348" w:type="dxa"/>
          </w:tcPr>
          <w:p w14:paraId="48913B22">
            <w:pPr>
              <w:widowControl/>
              <w:adjustRightInd w:val="0"/>
              <w:spacing w:line="360" w:lineRule="auto"/>
              <w:jc w:val="center"/>
              <w:rPr>
                <w:color w:val="000000" w:themeColor="text1"/>
                <w:lang w:val="zh-CN"/>
                <w14:textFill>
                  <w14:solidFill>
                    <w14:schemeClr w14:val="tx1"/>
                  </w14:solidFill>
                </w14:textFill>
              </w:rPr>
            </w:pPr>
          </w:p>
        </w:tc>
        <w:tc>
          <w:tcPr>
            <w:tcW w:w="639" w:type="dxa"/>
          </w:tcPr>
          <w:p w14:paraId="7EDC8F4F">
            <w:pPr>
              <w:widowControl/>
              <w:adjustRightInd w:val="0"/>
              <w:spacing w:line="360" w:lineRule="auto"/>
              <w:jc w:val="center"/>
              <w:rPr>
                <w:color w:val="000000" w:themeColor="text1"/>
                <w:lang w:val="zh-CN"/>
                <w14:textFill>
                  <w14:solidFill>
                    <w14:schemeClr w14:val="tx1"/>
                  </w14:solidFill>
                </w14:textFill>
              </w:rPr>
            </w:pPr>
          </w:p>
        </w:tc>
      </w:tr>
      <w:tr w14:paraId="5966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652" w:type="dxa"/>
            <w:vAlign w:val="center"/>
          </w:tcPr>
          <w:p w14:paraId="5205BA5E">
            <w:pPr>
              <w:widowControl/>
              <w:adjustRightInd w:val="0"/>
              <w:spacing w:line="360" w:lineRule="auto"/>
              <w:jc w:val="center"/>
              <w:rPr>
                <w:color w:val="000000" w:themeColor="text1"/>
                <w:lang w:val="zh-CN"/>
                <w14:textFill>
                  <w14:solidFill>
                    <w14:schemeClr w14:val="tx1"/>
                  </w14:solidFill>
                </w14:textFill>
              </w:rPr>
            </w:pPr>
          </w:p>
        </w:tc>
        <w:tc>
          <w:tcPr>
            <w:tcW w:w="1622" w:type="dxa"/>
            <w:vAlign w:val="center"/>
          </w:tcPr>
          <w:p w14:paraId="2E075360">
            <w:pPr>
              <w:widowControl/>
              <w:adjustRightInd w:val="0"/>
              <w:spacing w:line="360" w:lineRule="auto"/>
              <w:jc w:val="center"/>
              <w:rPr>
                <w:color w:val="000000" w:themeColor="text1"/>
                <w:lang w:val="zh-CN"/>
                <w14:textFill>
                  <w14:solidFill>
                    <w14:schemeClr w14:val="tx1"/>
                  </w14:solidFill>
                </w14:textFill>
              </w:rPr>
            </w:pPr>
          </w:p>
        </w:tc>
        <w:tc>
          <w:tcPr>
            <w:tcW w:w="2070" w:type="dxa"/>
            <w:vAlign w:val="center"/>
          </w:tcPr>
          <w:p w14:paraId="05FD24A6">
            <w:pPr>
              <w:widowControl/>
              <w:adjustRightInd w:val="0"/>
              <w:spacing w:line="360" w:lineRule="auto"/>
              <w:jc w:val="center"/>
              <w:rPr>
                <w:color w:val="000000" w:themeColor="text1"/>
                <w:lang w:val="zh-CN"/>
                <w14:textFill>
                  <w14:solidFill>
                    <w14:schemeClr w14:val="tx1"/>
                  </w14:solidFill>
                </w14:textFill>
              </w:rPr>
            </w:pPr>
          </w:p>
        </w:tc>
        <w:tc>
          <w:tcPr>
            <w:tcW w:w="1626" w:type="dxa"/>
            <w:vAlign w:val="center"/>
          </w:tcPr>
          <w:p w14:paraId="38A0024F">
            <w:pPr>
              <w:widowControl/>
              <w:adjustRightInd w:val="0"/>
              <w:spacing w:line="360" w:lineRule="auto"/>
              <w:jc w:val="center"/>
              <w:rPr>
                <w:color w:val="000000" w:themeColor="text1"/>
                <w:lang w:val="zh-CN"/>
                <w14:textFill>
                  <w14:solidFill>
                    <w14:schemeClr w14:val="tx1"/>
                  </w14:solidFill>
                </w14:textFill>
              </w:rPr>
            </w:pPr>
          </w:p>
        </w:tc>
        <w:tc>
          <w:tcPr>
            <w:tcW w:w="1846" w:type="dxa"/>
            <w:gridSpan w:val="2"/>
            <w:vAlign w:val="center"/>
          </w:tcPr>
          <w:p w14:paraId="0D5932FD">
            <w:pPr>
              <w:widowControl/>
              <w:adjustRightInd w:val="0"/>
              <w:spacing w:line="360" w:lineRule="auto"/>
              <w:jc w:val="center"/>
              <w:rPr>
                <w:color w:val="000000" w:themeColor="text1"/>
                <w:lang w:val="zh-CN"/>
                <w14:textFill>
                  <w14:solidFill>
                    <w14:schemeClr w14:val="tx1"/>
                  </w14:solidFill>
                </w14:textFill>
              </w:rPr>
            </w:pPr>
          </w:p>
        </w:tc>
        <w:tc>
          <w:tcPr>
            <w:tcW w:w="2348" w:type="dxa"/>
          </w:tcPr>
          <w:p w14:paraId="10109D0D">
            <w:pPr>
              <w:widowControl/>
              <w:adjustRightInd w:val="0"/>
              <w:spacing w:line="360" w:lineRule="auto"/>
              <w:jc w:val="center"/>
              <w:rPr>
                <w:color w:val="000000" w:themeColor="text1"/>
                <w:lang w:val="zh-CN"/>
                <w14:textFill>
                  <w14:solidFill>
                    <w14:schemeClr w14:val="tx1"/>
                  </w14:solidFill>
                </w14:textFill>
              </w:rPr>
            </w:pPr>
          </w:p>
        </w:tc>
        <w:tc>
          <w:tcPr>
            <w:tcW w:w="639" w:type="dxa"/>
          </w:tcPr>
          <w:p w14:paraId="42F6451F">
            <w:pPr>
              <w:widowControl/>
              <w:adjustRightInd w:val="0"/>
              <w:spacing w:line="360" w:lineRule="auto"/>
              <w:jc w:val="center"/>
              <w:rPr>
                <w:color w:val="000000" w:themeColor="text1"/>
                <w:lang w:val="zh-CN"/>
                <w14:textFill>
                  <w14:solidFill>
                    <w14:schemeClr w14:val="tx1"/>
                  </w14:solidFill>
                </w14:textFill>
              </w:rPr>
            </w:pPr>
          </w:p>
        </w:tc>
      </w:tr>
      <w:tr w14:paraId="2744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652" w:type="dxa"/>
            <w:vAlign w:val="center"/>
          </w:tcPr>
          <w:p w14:paraId="6C03ACFF">
            <w:pPr>
              <w:widowControl/>
              <w:spacing w:line="360" w:lineRule="auto"/>
              <w:rPr>
                <w:color w:val="000000" w:themeColor="text1"/>
                <w14:textFill>
                  <w14:solidFill>
                    <w14:schemeClr w14:val="tx1"/>
                  </w14:solidFill>
                </w14:textFill>
              </w:rPr>
            </w:pPr>
          </w:p>
        </w:tc>
        <w:tc>
          <w:tcPr>
            <w:tcW w:w="1622" w:type="dxa"/>
            <w:vAlign w:val="center"/>
          </w:tcPr>
          <w:p w14:paraId="5F034115">
            <w:pPr>
              <w:widowControl/>
              <w:spacing w:line="360" w:lineRule="auto"/>
              <w:rPr>
                <w:color w:val="000000" w:themeColor="text1"/>
                <w14:textFill>
                  <w14:solidFill>
                    <w14:schemeClr w14:val="tx1"/>
                  </w14:solidFill>
                </w14:textFill>
              </w:rPr>
            </w:pPr>
          </w:p>
        </w:tc>
        <w:tc>
          <w:tcPr>
            <w:tcW w:w="2070" w:type="dxa"/>
            <w:vAlign w:val="center"/>
          </w:tcPr>
          <w:p w14:paraId="63EFF88A">
            <w:pPr>
              <w:widowControl/>
              <w:spacing w:line="360" w:lineRule="auto"/>
              <w:rPr>
                <w:color w:val="000000" w:themeColor="text1"/>
                <w14:textFill>
                  <w14:solidFill>
                    <w14:schemeClr w14:val="tx1"/>
                  </w14:solidFill>
                </w14:textFill>
              </w:rPr>
            </w:pPr>
          </w:p>
        </w:tc>
        <w:tc>
          <w:tcPr>
            <w:tcW w:w="1626" w:type="dxa"/>
            <w:vAlign w:val="center"/>
          </w:tcPr>
          <w:p w14:paraId="60FE67AB">
            <w:pPr>
              <w:widowControl/>
              <w:spacing w:line="360" w:lineRule="auto"/>
              <w:rPr>
                <w:color w:val="000000" w:themeColor="text1"/>
                <w14:textFill>
                  <w14:solidFill>
                    <w14:schemeClr w14:val="tx1"/>
                  </w14:solidFill>
                </w14:textFill>
              </w:rPr>
            </w:pPr>
          </w:p>
        </w:tc>
        <w:tc>
          <w:tcPr>
            <w:tcW w:w="1846" w:type="dxa"/>
            <w:gridSpan w:val="2"/>
            <w:vAlign w:val="center"/>
          </w:tcPr>
          <w:p w14:paraId="6146A991">
            <w:pPr>
              <w:widowControl/>
              <w:spacing w:line="360" w:lineRule="auto"/>
              <w:rPr>
                <w:color w:val="000000" w:themeColor="text1"/>
                <w14:textFill>
                  <w14:solidFill>
                    <w14:schemeClr w14:val="tx1"/>
                  </w14:solidFill>
                </w14:textFill>
              </w:rPr>
            </w:pPr>
          </w:p>
        </w:tc>
        <w:tc>
          <w:tcPr>
            <w:tcW w:w="2348" w:type="dxa"/>
          </w:tcPr>
          <w:p w14:paraId="29045275">
            <w:pPr>
              <w:widowControl/>
              <w:spacing w:line="360" w:lineRule="auto"/>
              <w:rPr>
                <w:color w:val="000000" w:themeColor="text1"/>
                <w14:textFill>
                  <w14:solidFill>
                    <w14:schemeClr w14:val="tx1"/>
                  </w14:solidFill>
                </w14:textFill>
              </w:rPr>
            </w:pPr>
          </w:p>
        </w:tc>
        <w:tc>
          <w:tcPr>
            <w:tcW w:w="639" w:type="dxa"/>
          </w:tcPr>
          <w:p w14:paraId="23B4879B">
            <w:pPr>
              <w:widowControl/>
              <w:spacing w:line="360" w:lineRule="auto"/>
              <w:rPr>
                <w:color w:val="000000" w:themeColor="text1"/>
                <w14:textFill>
                  <w14:solidFill>
                    <w14:schemeClr w14:val="tx1"/>
                  </w14:solidFill>
                </w14:textFill>
              </w:rPr>
            </w:pPr>
          </w:p>
        </w:tc>
      </w:tr>
    </w:tbl>
    <w:p w14:paraId="5BA8E2D8">
      <w:pPr>
        <w:rPr>
          <w:color w:val="000000" w:themeColor="text1"/>
          <w14:textFill>
            <w14:solidFill>
              <w14:schemeClr w14:val="tx1"/>
            </w14:solidFill>
          </w14:textFill>
        </w:rPr>
      </w:pPr>
      <w:r>
        <w:rPr>
          <w:color w:val="000000" w:themeColor="text1"/>
          <w14:textFill>
            <w14:solidFill>
              <w14:schemeClr w14:val="tx1"/>
            </w14:solidFill>
          </w14:textFill>
        </w:rPr>
        <w:t>投标人名称： （盖章）</w:t>
      </w:r>
    </w:p>
    <w:p w14:paraId="07C9AD47">
      <w:pPr>
        <w:rPr>
          <w:color w:val="000000" w:themeColor="text1"/>
          <w14:textFill>
            <w14:solidFill>
              <w14:schemeClr w14:val="tx1"/>
            </w14:solidFill>
          </w14:textFill>
        </w:rPr>
      </w:pPr>
      <w:r>
        <w:rPr>
          <w:color w:val="000000" w:themeColor="text1"/>
          <w14:textFill>
            <w14:solidFill>
              <w14:schemeClr w14:val="tx1"/>
            </w14:solidFill>
          </w14:textFill>
        </w:rPr>
        <w:t xml:space="preserve"> 日 期： 年 月 日 </w:t>
      </w:r>
    </w:p>
    <w:p w14:paraId="558E5D5D">
      <w:pPr>
        <w:rPr>
          <w:color w:val="000000" w:themeColor="text1"/>
          <w14:textFill>
            <w14:solidFill>
              <w14:schemeClr w14:val="tx1"/>
            </w14:solidFill>
          </w14:textFill>
        </w:rPr>
      </w:pPr>
      <w:r>
        <w:rPr>
          <w:color w:val="000000" w:themeColor="text1"/>
          <w14:textFill>
            <w14:solidFill>
              <w14:schemeClr w14:val="tx1"/>
            </w14:solidFill>
          </w14:textFill>
        </w:rPr>
        <w:t>说明： 1、如果行、列数不够，请自行增加。</w:t>
      </w:r>
    </w:p>
    <w:p w14:paraId="4D270054">
      <w:pPr>
        <w:rPr>
          <w:color w:val="000000" w:themeColor="text1"/>
          <w14:textFill>
            <w14:solidFill>
              <w14:schemeClr w14:val="tx1"/>
            </w14:solidFill>
          </w14:textFill>
        </w:rPr>
      </w:pPr>
      <w:r>
        <w:rPr>
          <w:color w:val="000000" w:themeColor="text1"/>
          <w14:textFill>
            <w14:solidFill>
              <w14:schemeClr w14:val="tx1"/>
            </w14:solidFill>
          </w14:textFill>
        </w:rPr>
        <w:t xml:space="preserve"> 2、请投标人根据本格式要求如实填写业绩情况表，并附业绩合同复印件</w:t>
      </w:r>
    </w:p>
    <w:p w14:paraId="7FDD8441">
      <w:pPr>
        <w:spacing w:line="360" w:lineRule="auto"/>
        <w:rPr>
          <w:b/>
          <w:color w:val="000000" w:themeColor="text1"/>
          <w14:textFill>
            <w14:solidFill>
              <w14:schemeClr w14:val="tx1"/>
            </w14:solidFill>
          </w14:textFill>
        </w:rPr>
      </w:pPr>
    </w:p>
    <w:p w14:paraId="19870906">
      <w:pPr>
        <w:spacing w:line="360" w:lineRule="auto"/>
        <w:rPr>
          <w:b/>
          <w:color w:val="000000" w:themeColor="text1"/>
          <w14:textFill>
            <w14:solidFill>
              <w14:schemeClr w14:val="tx1"/>
            </w14:solidFill>
          </w14:textFill>
        </w:rPr>
      </w:pPr>
    </w:p>
    <w:p w14:paraId="6D36C2CB">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目录十一、投标需要的其他证明文件及材料</w:t>
      </w:r>
    </w:p>
    <w:p w14:paraId="223BE216">
      <w:pPr>
        <w:spacing w:line="240" w:lineRule="atLeast"/>
        <w:jc w:val="center"/>
        <w:rPr>
          <w:color w:val="000000" w:themeColor="text1"/>
          <w:sz w:val="36"/>
          <w:szCs w:val="36"/>
          <w:lang w:val="zh-CN"/>
          <w14:textFill>
            <w14:solidFill>
              <w14:schemeClr w14:val="tx1"/>
            </w14:solidFill>
          </w14:textFill>
        </w:rPr>
      </w:pPr>
      <w:r>
        <w:rPr>
          <w:rFonts w:hint="eastAsia"/>
          <w:color w:val="000000" w:themeColor="text1"/>
          <w:sz w:val="36"/>
          <w:szCs w:val="36"/>
          <w:lang w:val="zh-CN"/>
          <w14:textFill>
            <w14:solidFill>
              <w14:schemeClr w14:val="tx1"/>
            </w14:solidFill>
          </w14:textFill>
        </w:rPr>
        <w:t>投标需要的其他证明文件及材料（若有)</w:t>
      </w:r>
    </w:p>
    <w:p w14:paraId="6E3633AF">
      <w:pPr>
        <w:snapToGrid w:val="0"/>
        <w:spacing w:before="50" w:after="50" w:line="360" w:lineRule="auto"/>
        <w:rPr>
          <w:b/>
          <w:color w:val="000000" w:themeColor="text1"/>
          <w14:textFill>
            <w14:solidFill>
              <w14:schemeClr w14:val="tx1"/>
            </w14:solidFill>
          </w14:textFill>
        </w:rPr>
      </w:pPr>
    </w:p>
    <w:p w14:paraId="44785350">
      <w:pPr>
        <w:snapToGrid w:val="0"/>
        <w:spacing w:before="50" w:after="50" w:line="360" w:lineRule="auto"/>
        <w:rPr>
          <w:b/>
          <w:color w:val="000000" w:themeColor="text1"/>
          <w14:textFill>
            <w14:solidFill>
              <w14:schemeClr w14:val="tx1"/>
            </w14:solidFill>
          </w14:textFill>
        </w:rPr>
      </w:pPr>
    </w:p>
    <w:p w14:paraId="24C8ECB7">
      <w:pPr>
        <w:snapToGrid w:val="0"/>
        <w:spacing w:before="50" w:after="50"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目录十二、资格性审查响应对照表</w:t>
      </w:r>
    </w:p>
    <w:p w14:paraId="56C64AC2">
      <w:pPr>
        <w:snapToGrid w:val="0"/>
        <w:spacing w:before="50" w:after="50" w:line="360" w:lineRule="auto"/>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资格性审查响应对照表</w:t>
      </w:r>
    </w:p>
    <w:p w14:paraId="283256AF">
      <w:pPr>
        <w:snapToGrid w:val="0"/>
        <w:spacing w:before="50" w:after="5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项目名称：                                                 项目编号：      </w:t>
      </w:r>
    </w:p>
    <w:tbl>
      <w:tblPr>
        <w:tblStyle w:val="65"/>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5516"/>
        <w:gridCol w:w="1701"/>
        <w:gridCol w:w="1807"/>
      </w:tblGrid>
      <w:tr w14:paraId="472EE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54" w:type="dxa"/>
            <w:vAlign w:val="center"/>
          </w:tcPr>
          <w:p w14:paraId="54C1A9DE">
            <w:pPr>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5516" w:type="dxa"/>
            <w:vAlign w:val="center"/>
          </w:tcPr>
          <w:p w14:paraId="75374A7C">
            <w:pPr>
              <w:snapToGrid w:val="0"/>
              <w:spacing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资格性审查响应内容</w:t>
            </w:r>
          </w:p>
        </w:tc>
        <w:tc>
          <w:tcPr>
            <w:tcW w:w="1701" w:type="dxa"/>
            <w:vAlign w:val="center"/>
          </w:tcPr>
          <w:p w14:paraId="0F0563E3">
            <w:pPr>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是否响应</w:t>
            </w:r>
          </w:p>
          <w:p w14:paraId="44917849">
            <w:pPr>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（填是或者否）</w:t>
            </w:r>
          </w:p>
        </w:tc>
        <w:tc>
          <w:tcPr>
            <w:tcW w:w="1807" w:type="dxa"/>
            <w:vAlign w:val="center"/>
          </w:tcPr>
          <w:p w14:paraId="12EC12B7">
            <w:pPr>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投标文件中的</w:t>
            </w:r>
          </w:p>
          <w:p w14:paraId="4B7D1387">
            <w:pPr>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页码位置</w:t>
            </w:r>
          </w:p>
        </w:tc>
      </w:tr>
      <w:tr w14:paraId="74AA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54" w:type="dxa"/>
            <w:vAlign w:val="center"/>
          </w:tcPr>
          <w:p w14:paraId="7DC445F0">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5516" w:type="dxa"/>
            <w:vAlign w:val="center"/>
          </w:tcPr>
          <w:p w14:paraId="6319712C">
            <w:pPr>
              <w:spacing w:line="360" w:lineRule="auto"/>
              <w:rPr>
                <w:color w:val="000000" w:themeColor="text1"/>
                <w14:textFill>
                  <w14:solidFill>
                    <w14:schemeClr w14:val="tx1"/>
                  </w14:solidFill>
                </w14:textFill>
              </w:rPr>
            </w:pPr>
          </w:p>
        </w:tc>
        <w:tc>
          <w:tcPr>
            <w:tcW w:w="1701" w:type="dxa"/>
            <w:vAlign w:val="center"/>
          </w:tcPr>
          <w:p w14:paraId="3E55E051">
            <w:pPr>
              <w:spacing w:line="360" w:lineRule="auto"/>
              <w:rPr>
                <w:color w:val="000000" w:themeColor="text1"/>
                <w14:textFill>
                  <w14:solidFill>
                    <w14:schemeClr w14:val="tx1"/>
                  </w14:solidFill>
                </w14:textFill>
              </w:rPr>
            </w:pPr>
          </w:p>
        </w:tc>
        <w:tc>
          <w:tcPr>
            <w:tcW w:w="1807" w:type="dxa"/>
            <w:vAlign w:val="center"/>
          </w:tcPr>
          <w:p w14:paraId="576004F4">
            <w:pPr>
              <w:spacing w:line="360" w:lineRule="auto"/>
              <w:rPr>
                <w:color w:val="000000" w:themeColor="text1"/>
                <w14:textFill>
                  <w14:solidFill>
                    <w14:schemeClr w14:val="tx1"/>
                  </w14:solidFill>
                </w14:textFill>
              </w:rPr>
            </w:pPr>
          </w:p>
        </w:tc>
      </w:tr>
      <w:tr w14:paraId="7B8C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54" w:type="dxa"/>
            <w:vAlign w:val="center"/>
          </w:tcPr>
          <w:p w14:paraId="6C8D8E26">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5516" w:type="dxa"/>
            <w:vAlign w:val="center"/>
          </w:tcPr>
          <w:p w14:paraId="07759A8B">
            <w:pPr>
              <w:spacing w:line="360" w:lineRule="auto"/>
              <w:rPr>
                <w:color w:val="000000" w:themeColor="text1"/>
                <w14:textFill>
                  <w14:solidFill>
                    <w14:schemeClr w14:val="tx1"/>
                  </w14:solidFill>
                </w14:textFill>
              </w:rPr>
            </w:pPr>
          </w:p>
        </w:tc>
        <w:tc>
          <w:tcPr>
            <w:tcW w:w="1701" w:type="dxa"/>
            <w:vAlign w:val="center"/>
          </w:tcPr>
          <w:p w14:paraId="06169554">
            <w:pPr>
              <w:spacing w:line="360" w:lineRule="auto"/>
              <w:rPr>
                <w:color w:val="000000" w:themeColor="text1"/>
                <w14:textFill>
                  <w14:solidFill>
                    <w14:schemeClr w14:val="tx1"/>
                  </w14:solidFill>
                </w14:textFill>
              </w:rPr>
            </w:pPr>
          </w:p>
        </w:tc>
        <w:tc>
          <w:tcPr>
            <w:tcW w:w="1807" w:type="dxa"/>
            <w:vAlign w:val="center"/>
          </w:tcPr>
          <w:p w14:paraId="15670E24">
            <w:pPr>
              <w:spacing w:line="360" w:lineRule="auto"/>
              <w:rPr>
                <w:color w:val="000000" w:themeColor="text1"/>
                <w14:textFill>
                  <w14:solidFill>
                    <w14:schemeClr w14:val="tx1"/>
                  </w14:solidFill>
                </w14:textFill>
              </w:rPr>
            </w:pPr>
          </w:p>
        </w:tc>
      </w:tr>
      <w:tr w14:paraId="07C6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54" w:type="dxa"/>
            <w:vAlign w:val="center"/>
          </w:tcPr>
          <w:p w14:paraId="0F650438">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5516" w:type="dxa"/>
            <w:vAlign w:val="center"/>
          </w:tcPr>
          <w:p w14:paraId="5D39D29F">
            <w:pPr>
              <w:spacing w:line="360" w:lineRule="auto"/>
              <w:rPr>
                <w:color w:val="000000" w:themeColor="text1"/>
                <w14:textFill>
                  <w14:solidFill>
                    <w14:schemeClr w14:val="tx1"/>
                  </w14:solidFill>
                </w14:textFill>
              </w:rPr>
            </w:pPr>
          </w:p>
        </w:tc>
        <w:tc>
          <w:tcPr>
            <w:tcW w:w="1701" w:type="dxa"/>
            <w:vAlign w:val="center"/>
          </w:tcPr>
          <w:p w14:paraId="3FE01D4D">
            <w:pPr>
              <w:spacing w:line="360" w:lineRule="auto"/>
              <w:rPr>
                <w:color w:val="000000" w:themeColor="text1"/>
                <w14:textFill>
                  <w14:solidFill>
                    <w14:schemeClr w14:val="tx1"/>
                  </w14:solidFill>
                </w14:textFill>
              </w:rPr>
            </w:pPr>
          </w:p>
        </w:tc>
        <w:tc>
          <w:tcPr>
            <w:tcW w:w="1807" w:type="dxa"/>
            <w:vAlign w:val="center"/>
          </w:tcPr>
          <w:p w14:paraId="2C524189">
            <w:pPr>
              <w:spacing w:line="360" w:lineRule="auto"/>
              <w:rPr>
                <w:color w:val="000000" w:themeColor="text1"/>
                <w14:textFill>
                  <w14:solidFill>
                    <w14:schemeClr w14:val="tx1"/>
                  </w14:solidFill>
                </w14:textFill>
              </w:rPr>
            </w:pPr>
          </w:p>
        </w:tc>
      </w:tr>
      <w:tr w14:paraId="513D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54" w:type="dxa"/>
            <w:vAlign w:val="center"/>
          </w:tcPr>
          <w:p w14:paraId="7C2642AC">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516" w:type="dxa"/>
            <w:vAlign w:val="center"/>
          </w:tcPr>
          <w:p w14:paraId="36CA407B">
            <w:pPr>
              <w:snapToGrid w:val="0"/>
              <w:spacing w:line="360" w:lineRule="auto"/>
              <w:rPr>
                <w:color w:val="000000" w:themeColor="text1"/>
                <w14:textFill>
                  <w14:solidFill>
                    <w14:schemeClr w14:val="tx1"/>
                  </w14:solidFill>
                </w14:textFill>
              </w:rPr>
            </w:pPr>
          </w:p>
        </w:tc>
        <w:tc>
          <w:tcPr>
            <w:tcW w:w="1701" w:type="dxa"/>
            <w:vAlign w:val="center"/>
          </w:tcPr>
          <w:p w14:paraId="5E01437B">
            <w:pPr>
              <w:spacing w:line="360" w:lineRule="auto"/>
              <w:rPr>
                <w:color w:val="000000" w:themeColor="text1"/>
                <w14:textFill>
                  <w14:solidFill>
                    <w14:schemeClr w14:val="tx1"/>
                  </w14:solidFill>
                </w14:textFill>
              </w:rPr>
            </w:pPr>
          </w:p>
        </w:tc>
        <w:tc>
          <w:tcPr>
            <w:tcW w:w="1807" w:type="dxa"/>
            <w:vAlign w:val="center"/>
          </w:tcPr>
          <w:p w14:paraId="366FFAD7">
            <w:pPr>
              <w:spacing w:line="360" w:lineRule="auto"/>
              <w:rPr>
                <w:color w:val="000000" w:themeColor="text1"/>
                <w14:textFill>
                  <w14:solidFill>
                    <w14:schemeClr w14:val="tx1"/>
                  </w14:solidFill>
                </w14:textFill>
              </w:rPr>
            </w:pPr>
          </w:p>
        </w:tc>
      </w:tr>
      <w:tr w14:paraId="1012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54" w:type="dxa"/>
            <w:vAlign w:val="center"/>
          </w:tcPr>
          <w:p w14:paraId="02B77BC6">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516" w:type="dxa"/>
            <w:vAlign w:val="center"/>
          </w:tcPr>
          <w:p w14:paraId="4162A7DE">
            <w:pPr>
              <w:snapToGrid w:val="0"/>
              <w:spacing w:line="360" w:lineRule="auto"/>
              <w:rPr>
                <w:color w:val="000000" w:themeColor="text1"/>
                <w14:textFill>
                  <w14:solidFill>
                    <w14:schemeClr w14:val="tx1"/>
                  </w14:solidFill>
                </w14:textFill>
              </w:rPr>
            </w:pPr>
          </w:p>
        </w:tc>
        <w:tc>
          <w:tcPr>
            <w:tcW w:w="1701" w:type="dxa"/>
            <w:vAlign w:val="center"/>
          </w:tcPr>
          <w:p w14:paraId="7986698D">
            <w:pPr>
              <w:spacing w:line="360" w:lineRule="auto"/>
              <w:rPr>
                <w:color w:val="000000" w:themeColor="text1"/>
                <w14:textFill>
                  <w14:solidFill>
                    <w14:schemeClr w14:val="tx1"/>
                  </w14:solidFill>
                </w14:textFill>
              </w:rPr>
            </w:pPr>
          </w:p>
        </w:tc>
        <w:tc>
          <w:tcPr>
            <w:tcW w:w="1807" w:type="dxa"/>
            <w:vAlign w:val="center"/>
          </w:tcPr>
          <w:p w14:paraId="7BF82E6D">
            <w:pPr>
              <w:spacing w:line="360" w:lineRule="auto"/>
              <w:rPr>
                <w:color w:val="000000" w:themeColor="text1"/>
                <w14:textFill>
                  <w14:solidFill>
                    <w14:schemeClr w14:val="tx1"/>
                  </w14:solidFill>
                </w14:textFill>
              </w:rPr>
            </w:pPr>
          </w:p>
        </w:tc>
      </w:tr>
    </w:tbl>
    <w:p w14:paraId="4A86EC1C">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供应商名称：（盖章）</w:t>
      </w:r>
    </w:p>
    <w:p w14:paraId="6B3A6F36">
      <w:pPr>
        <w:widowControl/>
        <w:adjustRightInd w:val="0"/>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说明：如果行数不够，请自行增加。</w:t>
      </w:r>
    </w:p>
    <w:p w14:paraId="15E95E50">
      <w:pPr>
        <w:spacing w:line="240" w:lineRule="atLeast"/>
        <w:rPr>
          <w:b/>
          <w:color w:val="000000" w:themeColor="text1"/>
          <w14:textFill>
            <w14:solidFill>
              <w14:schemeClr w14:val="tx1"/>
            </w14:solidFill>
          </w14:textFill>
        </w:rPr>
      </w:pPr>
    </w:p>
    <w:p w14:paraId="5AEEEF20">
      <w:pPr>
        <w:spacing w:line="360" w:lineRule="auto"/>
        <w:rPr>
          <w:b/>
          <w:color w:val="000000" w:themeColor="text1"/>
          <w14:textFill>
            <w14:solidFill>
              <w14:schemeClr w14:val="tx1"/>
            </w14:solidFill>
          </w14:textFill>
        </w:rPr>
        <w:sectPr>
          <w:endnotePr>
            <w:numFmt w:val="decimal"/>
          </w:endnotePr>
          <w:pgSz w:w="11906" w:h="16838"/>
          <w:pgMar w:top="850" w:right="850" w:bottom="850" w:left="1418" w:header="340" w:footer="720" w:gutter="0"/>
          <w:cols w:space="0" w:num="1"/>
        </w:sectPr>
      </w:pPr>
    </w:p>
    <w:p w14:paraId="786221D1">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附件一、中小企业声明函格式</w:t>
      </w:r>
    </w:p>
    <w:p w14:paraId="60E2F51C">
      <w:pPr>
        <w:spacing w:line="360" w:lineRule="auto"/>
        <w:jc w:val="center"/>
        <w:rPr>
          <w:color w:val="000000" w:themeColor="text1"/>
          <w14:textFill>
            <w14:solidFill>
              <w14:schemeClr w14:val="tx1"/>
            </w14:solidFill>
          </w14:textFill>
        </w:rPr>
      </w:pPr>
      <w:bookmarkStart w:id="61" w:name="_bookmark0"/>
      <w:bookmarkEnd w:id="61"/>
      <w:r>
        <w:rPr>
          <w:rFonts w:hint="eastAsia"/>
          <w:color w:val="000000" w:themeColor="text1"/>
          <w:sz w:val="36"/>
          <w:szCs w:val="36"/>
          <w14:textFill>
            <w14:solidFill>
              <w14:schemeClr w14:val="tx1"/>
            </w14:solidFill>
          </w14:textFill>
        </w:rPr>
        <w:t>中小企业声明函（货物）</w:t>
      </w:r>
    </w:p>
    <w:p w14:paraId="6D1713F4">
      <w:pPr>
        <w:spacing w:line="360" w:lineRule="auto"/>
        <w:rPr>
          <w:color w:val="000000" w:themeColor="text1"/>
          <w14:textFill>
            <w14:solidFill>
              <w14:schemeClr w14:val="tx1"/>
            </w14:solidFill>
          </w14:textFill>
        </w:rPr>
      </w:pPr>
    </w:p>
    <w:p w14:paraId="4F2245D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（单位名称）</w:t>
      </w:r>
      <w:r>
        <w:rPr>
          <w:rFonts w:hint="eastAsia"/>
          <w:color w:val="000000" w:themeColor="text1"/>
          <w14:textFill>
            <w14:solidFill>
              <w14:schemeClr w14:val="tx1"/>
            </w14:solidFill>
          </w14:textFill>
        </w:rPr>
        <w:t>的</w:t>
      </w:r>
      <w:r>
        <w:rPr>
          <w:rFonts w:hint="eastAsia"/>
          <w:color w:val="000000" w:themeColor="text1"/>
          <w:u w:val="single"/>
          <w14:textFill>
            <w14:solidFill>
              <w14:schemeClr w14:val="tx1"/>
            </w14:solidFill>
          </w14:textFill>
        </w:rPr>
        <w:t>（项目名称）</w:t>
      </w:r>
      <w:r>
        <w:rPr>
          <w:rFonts w:hint="eastAsia"/>
          <w:color w:val="000000" w:themeColor="text1"/>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65E7772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（标的名称），属于</w:t>
      </w:r>
      <w:r>
        <w:rPr>
          <w:rFonts w:hint="eastAsia"/>
          <w:color w:val="000000" w:themeColor="text1"/>
          <w:u w:val="single"/>
          <w14:textFill>
            <w14:solidFill>
              <w14:schemeClr w14:val="tx1"/>
            </w14:solidFill>
          </w14:textFill>
        </w:rPr>
        <w:t xml:space="preserve"> 工业 </w:t>
      </w:r>
      <w:r>
        <w:rPr>
          <w:rFonts w:hint="eastAsia"/>
          <w:color w:val="000000" w:themeColor="text1"/>
          <w14:textFill>
            <w14:solidFill>
              <w14:schemeClr w14:val="tx1"/>
            </w14:solidFill>
          </w14:textFill>
        </w:rPr>
        <w:t xml:space="preserve"> （采购文件中明确的所属行业）行业；制造商为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（企业名称），从业人员</w:t>
      </w:r>
      <w:r>
        <w:rPr>
          <w:rFonts w:hint="eastAsia"/>
          <w:color w:val="000000" w:themeColor="text1"/>
          <w:u w:val="single"/>
          <w14:textFill>
            <w14:solidFill>
              <w14:schemeClr w14:val="tx1"/>
            </w14:solidFill>
          </w14:textFill>
        </w:rPr>
        <w:tab/>
      </w:r>
      <w:r>
        <w:rPr>
          <w:rFonts w:hint="eastAsia"/>
          <w:color w:val="000000" w:themeColor="text1"/>
          <w14:textFill>
            <w14:solidFill>
              <w14:schemeClr w14:val="tx1"/>
            </w14:solidFill>
          </w14:textFill>
        </w:rPr>
        <w:t>人，营业收入为</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14:textFill>
            <w14:solidFill>
              <w14:schemeClr w14:val="tx1"/>
            </w14:solidFill>
          </w14:textFill>
        </w:rPr>
        <w:t>万元，资产总额为</w:t>
      </w:r>
      <w:r>
        <w:rPr>
          <w:rFonts w:hint="eastAsia"/>
          <w:color w:val="000000" w:themeColor="text1"/>
          <w:u w:val="single"/>
          <w14:textFill>
            <w14:solidFill>
              <w14:schemeClr w14:val="tx1"/>
            </w14:solidFill>
          </w14:textFill>
        </w:rPr>
        <w:tab/>
      </w:r>
      <w:r>
        <w:rPr>
          <w:rFonts w:hint="eastAsia"/>
          <w:color w:val="000000" w:themeColor="text1"/>
          <w14:textFill>
            <w14:solidFill>
              <w14:schemeClr w14:val="tx1"/>
            </w14:solidFill>
          </w14:textFill>
        </w:rPr>
        <w:t>万元，属于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（中型企业、小型企业、微型企业）；</w:t>
      </w:r>
    </w:p>
    <w:p w14:paraId="77A5AE2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（标的名称），属于</w:t>
      </w:r>
      <w:r>
        <w:rPr>
          <w:rFonts w:hint="eastAsia"/>
          <w:color w:val="000000" w:themeColor="text1"/>
          <w:u w:val="single"/>
          <w14:textFill>
            <w14:solidFill>
              <w14:schemeClr w14:val="tx1"/>
            </w14:solidFill>
          </w14:textFill>
        </w:rPr>
        <w:t xml:space="preserve"> 工业 </w:t>
      </w:r>
      <w:r>
        <w:rPr>
          <w:rFonts w:hint="eastAsia"/>
          <w:color w:val="000000" w:themeColor="text1"/>
          <w14:textFill>
            <w14:solidFill>
              <w14:schemeClr w14:val="tx1"/>
            </w14:solidFill>
          </w14:textFill>
        </w:rPr>
        <w:t xml:space="preserve"> （采购文件中明确的所属行业）行业；制造商为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（企业名称），从业人员</w:t>
      </w:r>
      <w:r>
        <w:rPr>
          <w:rFonts w:hint="eastAsia"/>
          <w:color w:val="000000" w:themeColor="text1"/>
          <w:u w:val="single"/>
          <w14:textFill>
            <w14:solidFill>
              <w14:schemeClr w14:val="tx1"/>
            </w14:solidFill>
          </w14:textFill>
        </w:rPr>
        <w:tab/>
      </w:r>
      <w:r>
        <w:rPr>
          <w:rFonts w:hint="eastAsia"/>
          <w:color w:val="000000" w:themeColor="text1"/>
          <w14:textFill>
            <w14:solidFill>
              <w14:schemeClr w14:val="tx1"/>
            </w14:solidFill>
          </w14:textFill>
        </w:rPr>
        <w:t>人，营业收入为</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14:textFill>
            <w14:solidFill>
              <w14:schemeClr w14:val="tx1"/>
            </w14:solidFill>
          </w14:textFill>
        </w:rPr>
        <w:t>万元，资产总额为</w:t>
      </w:r>
      <w:r>
        <w:rPr>
          <w:rFonts w:hint="eastAsia"/>
          <w:color w:val="000000" w:themeColor="text1"/>
          <w:u w:val="single"/>
          <w14:textFill>
            <w14:solidFill>
              <w14:schemeClr w14:val="tx1"/>
            </w14:solidFill>
          </w14:textFill>
        </w:rPr>
        <w:tab/>
      </w:r>
      <w:r>
        <w:rPr>
          <w:rFonts w:hint="eastAsia"/>
          <w:color w:val="000000" w:themeColor="text1"/>
          <w14:textFill>
            <w14:solidFill>
              <w14:schemeClr w14:val="tx1"/>
            </w14:solidFill>
          </w14:textFill>
        </w:rPr>
        <w:t>万元，属于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（中型企业、小型企业、微型企业）；</w:t>
      </w:r>
    </w:p>
    <w:p w14:paraId="54FFFFA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p>
    <w:p w14:paraId="43B8274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0D4FD25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本企业对上述声明内容的真实性负责。如有虚假，将依法承担相应责任。</w:t>
      </w:r>
    </w:p>
    <w:p w14:paraId="174126FF">
      <w:pPr>
        <w:spacing w:line="360" w:lineRule="auto"/>
        <w:rPr>
          <w:color w:val="000000" w:themeColor="text1"/>
          <w14:textFill>
            <w14:solidFill>
              <w14:schemeClr w14:val="tx1"/>
            </w14:solidFill>
          </w14:textFill>
        </w:rPr>
      </w:pPr>
    </w:p>
    <w:p w14:paraId="37860638">
      <w:pPr>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企业名称（盖章）：</w:t>
      </w:r>
    </w:p>
    <w:p w14:paraId="46C0939E">
      <w:pPr>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p>
    <w:p w14:paraId="5E15ADD7">
      <w:pPr>
        <w:adjustRightInd w:val="0"/>
        <w:spacing w:line="440" w:lineRule="exact"/>
        <w:rPr>
          <w:b/>
          <w:bCs/>
          <w:snapToGrid w:val="0"/>
          <w:color w:val="000000" w:themeColor="text1"/>
          <w14:textFill>
            <w14:solidFill>
              <w14:schemeClr w14:val="tx1"/>
            </w14:solidFill>
          </w14:textFill>
        </w:rPr>
      </w:pPr>
    </w:p>
    <w:p w14:paraId="1043AA6A">
      <w:pPr>
        <w:adjustRightInd w:val="0"/>
        <w:spacing w:line="440" w:lineRule="exact"/>
        <w:rPr>
          <w:b/>
          <w:bCs/>
          <w:snapToGrid w:val="0"/>
          <w:color w:val="000000" w:themeColor="text1"/>
          <w14:textFill>
            <w14:solidFill>
              <w14:schemeClr w14:val="tx1"/>
            </w14:solidFill>
          </w14:textFill>
        </w:rPr>
      </w:pPr>
    </w:p>
    <w:p w14:paraId="645CBA2F">
      <w:pPr>
        <w:adjustRightInd w:val="0"/>
        <w:spacing w:line="440" w:lineRule="exact"/>
        <w:rPr>
          <w:snapToGrid w:val="0"/>
          <w:color w:val="000000" w:themeColor="text1"/>
          <w14:textFill>
            <w14:solidFill>
              <w14:schemeClr w14:val="tx1"/>
            </w14:solidFill>
          </w14:textFill>
        </w:rPr>
      </w:pPr>
      <w:r>
        <w:rPr>
          <w:rFonts w:hint="eastAsia"/>
          <w:b/>
          <w:bCs/>
          <w:snapToGrid w:val="0"/>
          <w:color w:val="000000" w:themeColor="text1"/>
          <w14:textFill>
            <w14:solidFill>
              <w14:schemeClr w14:val="tx1"/>
            </w14:solidFill>
          </w14:textFill>
        </w:rPr>
        <w:t>备注1：</w:t>
      </w:r>
      <w:r>
        <w:rPr>
          <w:rFonts w:hint="eastAsia"/>
          <w:snapToGrid w:val="0"/>
          <w:color w:val="000000" w:themeColor="text1"/>
          <w14:textFill>
            <w14:solidFill>
              <w14:schemeClr w14:val="tx1"/>
            </w14:solidFill>
          </w14:textFill>
        </w:rPr>
        <w:t>从业人员、营业收入、资产总额填报上一年度数据，无上一年度数据的新成立企业可不填报。</w:t>
      </w:r>
    </w:p>
    <w:p w14:paraId="718876D8">
      <w:pPr>
        <w:adjustRightInd w:val="0"/>
        <w:spacing w:line="440" w:lineRule="exact"/>
        <w:rPr>
          <w:snapToGrid w:val="0"/>
          <w:color w:val="000000" w:themeColor="text1"/>
          <w:sz w:val="22"/>
          <w14:textFill>
            <w14:solidFill>
              <w14:schemeClr w14:val="tx1"/>
            </w14:solidFill>
          </w14:textFill>
        </w:rPr>
      </w:pPr>
      <w:r>
        <w:rPr>
          <w:rFonts w:hint="eastAsia"/>
          <w:b/>
          <w:bCs/>
          <w:snapToGrid w:val="0"/>
          <w:color w:val="000000" w:themeColor="text1"/>
          <w:sz w:val="22"/>
          <w14:textFill>
            <w14:solidFill>
              <w14:schemeClr w14:val="tx1"/>
            </w14:solidFill>
          </w14:textFill>
        </w:rPr>
        <w:t>备注2：</w:t>
      </w:r>
      <w:r>
        <w:rPr>
          <w:rFonts w:hint="eastAsia"/>
          <w:snapToGrid w:val="0"/>
          <w:color w:val="000000" w:themeColor="text1"/>
          <w:sz w:val="22"/>
          <w14:textFill>
            <w14:solidFill>
              <w14:schemeClr w14:val="tx1"/>
            </w14:solidFill>
          </w14:textFill>
        </w:rPr>
        <w:t>依据《关于印发中小企业划型标准规定的通知》（工信部联企业〔2011〕300号 ）：</w:t>
      </w:r>
    </w:p>
    <w:p w14:paraId="638DF1F4">
      <w:pPr>
        <w:adjustRightInd w:val="0"/>
        <w:spacing w:line="440" w:lineRule="exact"/>
        <w:rPr>
          <w:snapToGrid w:val="0"/>
          <w:color w:val="000000" w:themeColor="text1"/>
          <w14:textFill>
            <w14:solidFill>
              <w14:schemeClr w14:val="tx1"/>
            </w14:solidFill>
          </w14:textFill>
        </w:rPr>
      </w:pPr>
      <w:r>
        <w:rPr>
          <w:rFonts w:hint="eastAsia"/>
          <w:b/>
          <w:bCs/>
          <w:snapToGrid w:val="0"/>
          <w:color w:val="000000" w:themeColor="text1"/>
          <w14:textFill>
            <w14:solidFill>
              <w14:schemeClr w14:val="tx1"/>
            </w14:solidFill>
          </w14:textFill>
        </w:rPr>
        <w:t>（二）工业。</w:t>
      </w:r>
      <w:r>
        <w:rPr>
          <w:rFonts w:hint="eastAsia"/>
          <w:snapToGrid w:val="0"/>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485F3A4C">
      <w:pPr>
        <w:widowControl/>
        <w:adjustRightInd w:val="0"/>
        <w:spacing w:line="240" w:lineRule="atLeast"/>
        <w:rPr>
          <w:b/>
          <w:color w:val="000000" w:themeColor="text1"/>
          <w14:textFill>
            <w14:solidFill>
              <w14:schemeClr w14:val="tx1"/>
            </w14:solidFill>
          </w14:textFill>
        </w:rPr>
      </w:pPr>
    </w:p>
    <w:p w14:paraId="7CA2D0C7">
      <w:pPr>
        <w:widowControl/>
        <w:adjustRightInd w:val="0"/>
        <w:spacing w:line="240" w:lineRule="atLeast"/>
        <w:rPr>
          <w:b/>
          <w:color w:val="000000" w:themeColor="text1"/>
          <w14:textFill>
            <w14:solidFill>
              <w14:schemeClr w14:val="tx1"/>
            </w14:solidFill>
          </w14:textFill>
        </w:rPr>
      </w:pPr>
    </w:p>
    <w:p w14:paraId="06DC6ACD">
      <w:pPr>
        <w:rPr>
          <w:b/>
          <w:color w:val="000000" w:themeColor="text1"/>
          <w14:textFill>
            <w14:solidFill>
              <w14:schemeClr w14:val="tx1"/>
            </w14:solidFill>
          </w14:textFill>
        </w:rPr>
      </w:pPr>
      <w:r>
        <w:rPr>
          <w:rFonts w:hint="eastAsia"/>
          <w:b/>
          <w:color w:val="000000" w:themeColor="text1"/>
          <w14:textFill>
            <w14:solidFill>
              <w14:schemeClr w14:val="tx1"/>
            </w14:solidFill>
          </w14:textFill>
        </w:rPr>
        <w:br w:type="page"/>
      </w:r>
    </w:p>
    <w:p w14:paraId="50164C5B">
      <w:pPr>
        <w:widowControl/>
        <w:adjustRightInd w:val="0"/>
        <w:spacing w:line="240" w:lineRule="atLeast"/>
        <w:rPr>
          <w:b/>
          <w:color w:val="000000" w:themeColor="text1"/>
          <w14:textFill>
            <w14:solidFill>
              <w14:schemeClr w14:val="tx1"/>
            </w14:solidFill>
          </w14:textFill>
        </w:rPr>
      </w:pPr>
      <w:r>
        <w:rPr>
          <w:rFonts w:hint="eastAsia"/>
          <w:b/>
          <w:color w:val="000000" w:themeColor="text1"/>
          <w14:textFill>
            <w14:solidFill>
              <w14:schemeClr w14:val="tx1"/>
            </w14:solidFill>
          </w14:textFill>
        </w:rPr>
        <w:t>附件二、关于符合本国产品标准的声明函格式</w:t>
      </w:r>
    </w:p>
    <w:p w14:paraId="78FF19BF">
      <w:pPr>
        <w:widowControl/>
        <w:adjustRightInd w:val="0"/>
        <w:spacing w:line="240" w:lineRule="atLeast"/>
        <w:rPr>
          <w:b/>
          <w:color w:val="000000" w:themeColor="text1"/>
          <w14:textFill>
            <w14:solidFill>
              <w14:schemeClr w14:val="tx1"/>
            </w14:solidFill>
          </w14:textFill>
        </w:rPr>
      </w:pPr>
    </w:p>
    <w:p w14:paraId="34124C71">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关于符合本国产品标准的声明函</w:t>
      </w:r>
    </w:p>
    <w:p w14:paraId="7F594381">
      <w:pPr>
        <w:jc w:val="center"/>
        <w:rPr>
          <w:color w:val="000000" w:themeColor="text1"/>
          <w:sz w:val="36"/>
          <w:szCs w:val="36"/>
          <w14:textFill>
            <w14:solidFill>
              <w14:schemeClr w14:val="tx1"/>
            </w14:solidFill>
          </w14:textFill>
        </w:rPr>
      </w:pPr>
    </w:p>
    <w:p w14:paraId="652DF2C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6E14DC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（产品名称1），生产厂为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（厂名），厂址为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（生产厂址）。</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（产品名称1）的中国境内生产的组件成本占比≥</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（规定比例）。</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（产品名称1）的</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（关键组件）在中国境内生产。</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（产品名称1）的</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（关键工序）在中国境内完成。</w:t>
      </w:r>
    </w:p>
    <w:p w14:paraId="315D317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（产品名称2），生产厂为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（厂名），厂址为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（生产厂址）。</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（产品名称2）的中国境内生产的组件成本占比≥</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（规定比例）。</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（产品名称2）的</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（关键组件）在中国境内生产。</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（产品名称2）的</w:t>
      </w:r>
      <w:r>
        <w:rPr>
          <w:rFonts w:hint="eastAsia"/>
          <w:color w:val="000000" w:themeColor="text1"/>
          <w:u w:val="single"/>
          <w14:textFill>
            <w14:solidFill>
              <w14:schemeClr w14:val="tx1"/>
            </w14:solidFill>
          </w14:textFill>
        </w:rPr>
        <w:t xml:space="preserve"> / </w:t>
      </w:r>
      <w:r>
        <w:rPr>
          <w:rFonts w:hint="eastAsia"/>
          <w:color w:val="000000" w:themeColor="text1"/>
          <w14:textFill>
            <w14:solidFill>
              <w14:schemeClr w14:val="tx1"/>
            </w14:solidFill>
          </w14:textFill>
        </w:rPr>
        <w:t>（关键工序）在中国境内完成。</w:t>
      </w:r>
    </w:p>
    <w:p w14:paraId="763A393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p>
    <w:p w14:paraId="21E0A37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本公司（单位）对上述声明内容的真实性负责。如有虚假，愿承担相应法律责任。</w:t>
      </w:r>
    </w:p>
    <w:p w14:paraId="01612CA5">
      <w:pPr>
        <w:spacing w:line="360" w:lineRule="auto"/>
        <w:ind w:firstLine="420" w:firstLineChars="200"/>
        <w:rPr>
          <w:color w:val="000000" w:themeColor="text1"/>
          <w14:textFill>
            <w14:solidFill>
              <w14:schemeClr w14:val="tx1"/>
            </w14:solidFill>
          </w14:textFill>
        </w:rPr>
      </w:pPr>
    </w:p>
    <w:p w14:paraId="6BC3C1D2">
      <w:pPr>
        <w:wordWrap w:val="0"/>
        <w:spacing w:line="360" w:lineRule="auto"/>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公司（单位）名称（盖章）：                    </w:t>
      </w:r>
    </w:p>
    <w:p w14:paraId="4A6E0EAC">
      <w:pPr>
        <w:wordWrap w:val="0"/>
        <w:spacing w:line="360" w:lineRule="auto"/>
        <w:ind w:firstLine="420" w:firstLineChars="200"/>
        <w:jc w:val="right"/>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                     </w:t>
      </w:r>
    </w:p>
    <w:p w14:paraId="59CA290E">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注：</w:t>
      </w:r>
    </w:p>
    <w:p w14:paraId="0F15C686">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1.产品如有型号，请在“产品名称”栏一并填写。</w:t>
      </w:r>
    </w:p>
    <w:p w14:paraId="5C61E4FA">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2.生产厂名与厂址应与生产厂营业执照载明的相关信息保持一致。</w:t>
      </w:r>
    </w:p>
    <w:p w14:paraId="1B15CFBA">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3.该产品的中国境内生产的组件成本占比相关要求实施前，“规定比例”栏可不填，下同。</w:t>
      </w:r>
    </w:p>
    <w:p w14:paraId="5F082536">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4.该产品的关键组件要求实施前，“关键组件”栏可不填，下同。</w:t>
      </w:r>
    </w:p>
    <w:p w14:paraId="4272EFF6">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5.该产品的关键工序要求实施前，“关键工序”栏可不填，下同。</w:t>
      </w:r>
    </w:p>
    <w:p w14:paraId="4631169F">
      <w:pPr>
        <w:widowControl/>
        <w:adjustRightInd w:val="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6.用斜线划除的地方无需填写。</w:t>
      </w:r>
    </w:p>
    <w:p w14:paraId="0A09A38D">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r>
    </w:p>
    <w:p w14:paraId="39A11870">
      <w:pPr>
        <w:widowControl/>
        <w:adjustRightInd w:val="0"/>
        <w:spacing w:line="240" w:lineRule="atLeast"/>
        <w:rPr>
          <w:b/>
          <w:color w:val="000000" w:themeColor="text1"/>
          <w14:textFill>
            <w14:solidFill>
              <w14:schemeClr w14:val="tx1"/>
            </w14:solidFill>
          </w14:textFill>
        </w:rPr>
      </w:pPr>
      <w:r>
        <w:rPr>
          <w:rFonts w:hint="eastAsia"/>
          <w:b/>
          <w:color w:val="000000" w:themeColor="text1"/>
          <w14:textFill>
            <w14:solidFill>
              <w14:schemeClr w14:val="tx1"/>
            </w14:solidFill>
          </w14:textFill>
        </w:rPr>
        <w:t>附件三、无重大违法记录声明格式</w:t>
      </w:r>
    </w:p>
    <w:p w14:paraId="4E298913">
      <w:pPr>
        <w:widowControl/>
        <w:adjustRightInd w:val="0"/>
        <w:spacing w:line="240" w:lineRule="atLeast"/>
        <w:rPr>
          <w:b/>
          <w:color w:val="000000" w:themeColor="text1"/>
          <w14:textFill>
            <w14:solidFill>
              <w14:schemeClr w14:val="tx1"/>
            </w14:solidFill>
          </w14:textFill>
        </w:rPr>
      </w:pPr>
    </w:p>
    <w:p w14:paraId="35F273FD">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无重大违法记录声明</w:t>
      </w:r>
    </w:p>
    <w:p w14:paraId="10619363">
      <w:pPr>
        <w:spacing w:line="360" w:lineRule="auto"/>
        <w:rPr>
          <w:color w:val="000000" w:themeColor="text1"/>
          <w14:textFill>
            <w14:solidFill>
              <w14:schemeClr w14:val="tx1"/>
            </w14:solidFill>
          </w14:textFill>
        </w:rPr>
      </w:pPr>
    </w:p>
    <w:p w14:paraId="2780A28D">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中国药科大学：</w:t>
      </w:r>
    </w:p>
    <w:p w14:paraId="1AEF33E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我单位（供应商名称）郑重声明：</w:t>
      </w:r>
    </w:p>
    <w:p w14:paraId="2300F48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参加政府采购活动前3年内在经营活动中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（在下划线上如实填写：有或没有）重大违法记录。</w:t>
      </w:r>
    </w:p>
    <w:p w14:paraId="68B9678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7E908628">
      <w:pPr>
        <w:spacing w:line="360" w:lineRule="auto"/>
        <w:rPr>
          <w:color w:val="000000" w:themeColor="text1"/>
          <w14:textFill>
            <w14:solidFill>
              <w14:schemeClr w14:val="tx1"/>
            </w14:solidFill>
          </w14:textFill>
        </w:rPr>
      </w:pPr>
    </w:p>
    <w:p w14:paraId="43DCAB31">
      <w:pPr>
        <w:spacing w:line="360" w:lineRule="auto"/>
        <w:rPr>
          <w:color w:val="000000" w:themeColor="text1"/>
          <w14:textFill>
            <w14:solidFill>
              <w14:schemeClr w14:val="tx1"/>
            </w14:solidFill>
          </w14:textFill>
        </w:rPr>
      </w:pPr>
    </w:p>
    <w:p w14:paraId="31E47B98">
      <w:pPr>
        <w:spacing w:line="360" w:lineRule="auto"/>
        <w:ind w:firstLine="4620" w:firstLineChars="2200"/>
        <w:rPr>
          <w:color w:val="000000" w:themeColor="text1"/>
          <w14:textFill>
            <w14:solidFill>
              <w14:schemeClr w14:val="tx1"/>
            </w14:solidFill>
          </w14:textFill>
        </w:rPr>
      </w:pPr>
      <w:r>
        <w:rPr>
          <w:rFonts w:hint="eastAsia"/>
          <w:color w:val="000000" w:themeColor="text1"/>
          <w14:textFill>
            <w14:solidFill>
              <w14:schemeClr w14:val="tx1"/>
            </w14:solidFill>
          </w14:textFill>
        </w:rPr>
        <w:t>声明人（公章）：</w:t>
      </w:r>
    </w:p>
    <w:p w14:paraId="2A4105FF">
      <w:pPr>
        <w:spacing w:line="360" w:lineRule="auto"/>
        <w:ind w:firstLine="4620" w:firstLineChars="2200"/>
        <w:rPr>
          <w:color w:val="000000" w:themeColor="text1"/>
          <w14:textFill>
            <w14:solidFill>
              <w14:schemeClr w14:val="tx1"/>
            </w14:solidFill>
          </w14:textFill>
        </w:rPr>
      </w:pPr>
      <w:r>
        <w:rPr>
          <w:rFonts w:hint="eastAsia"/>
          <w:color w:val="000000" w:themeColor="text1"/>
          <w14:textFill>
            <w14:solidFill>
              <w14:schemeClr w14:val="tx1"/>
            </w14:solidFill>
          </w14:textFill>
        </w:rPr>
        <w:t>日　　　　期：          年     月    日</w:t>
      </w:r>
    </w:p>
    <w:p w14:paraId="6A1A69C3">
      <w:pPr>
        <w:spacing w:line="360" w:lineRule="auto"/>
        <w:rPr>
          <w:b/>
          <w:color w:val="000000" w:themeColor="text1"/>
          <w14:textFill>
            <w14:solidFill>
              <w14:schemeClr w14:val="tx1"/>
            </w14:solidFill>
          </w14:textFill>
        </w:rPr>
        <w:sectPr>
          <w:endnotePr>
            <w:numFmt w:val="decimal"/>
          </w:endnotePr>
          <w:pgSz w:w="11906" w:h="16838"/>
          <w:pgMar w:top="850" w:right="850" w:bottom="850" w:left="1418" w:header="227" w:footer="720" w:gutter="0"/>
          <w:cols w:space="0" w:num="1"/>
        </w:sectPr>
      </w:pPr>
    </w:p>
    <w:p w14:paraId="2E827F58">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附件四、具备履行合同所必需的设备和专业技术能力的声明格式及证明材料</w:t>
      </w:r>
    </w:p>
    <w:p w14:paraId="28190AAE">
      <w:pPr>
        <w:spacing w:line="360" w:lineRule="auto"/>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具备履行合同所必需的设备和专业技术能力的声明</w:t>
      </w:r>
    </w:p>
    <w:p w14:paraId="6576524F">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中国药科大学：</w:t>
      </w:r>
    </w:p>
    <w:p w14:paraId="3A24BC35">
      <w:pPr>
        <w:spacing w:line="460" w:lineRule="exact"/>
        <w:ind w:firstLine="492"/>
        <w:rPr>
          <w:color w:val="000000" w:themeColor="text1"/>
          <w14:textFill>
            <w14:solidFill>
              <w14:schemeClr w14:val="tx1"/>
            </w14:solidFill>
          </w14:textFill>
        </w:rPr>
      </w:pPr>
      <w:r>
        <w:rPr>
          <w:rFonts w:hint="eastAsia"/>
          <w:color w:val="000000" w:themeColor="text1"/>
          <w14:textFill>
            <w14:solidFill>
              <w14:schemeClr w14:val="tx1"/>
            </w14:solidFill>
          </w14:textFill>
        </w:rPr>
        <w:t>我单位</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40CE4430">
      <w:pPr>
        <w:spacing w:line="460" w:lineRule="exact"/>
        <w:ind w:firstLine="492"/>
        <w:rPr>
          <w:color w:val="000000" w:themeColor="text1"/>
          <w14:textFill>
            <w14:solidFill>
              <w14:schemeClr w14:val="tx1"/>
            </w14:solidFill>
          </w14:textFill>
        </w:rPr>
      </w:pPr>
      <w:r>
        <w:rPr>
          <w:rFonts w:hint="eastAsia"/>
          <w:color w:val="000000" w:themeColor="text1"/>
          <w14:textFill>
            <w14:solidFill>
              <w14:schemeClr w14:val="tx1"/>
            </w14:solidFill>
          </w14:textFill>
        </w:rPr>
        <w:t>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6318AC11">
      <w:pPr>
        <w:spacing w:line="460" w:lineRule="exact"/>
        <w:ind w:firstLine="492"/>
        <w:rPr>
          <w:color w:val="000000" w:themeColor="text1"/>
          <w14:textFill>
            <w14:solidFill>
              <w14:schemeClr w14:val="tx1"/>
            </w14:solidFill>
          </w14:textFill>
        </w:rPr>
      </w:pPr>
      <w:r>
        <w:rPr>
          <w:rFonts w:hint="eastAsia"/>
          <w:color w:val="000000" w:themeColor="text1"/>
          <w14:textFill>
            <w14:solidFill>
              <w14:schemeClr w14:val="tx1"/>
            </w14:solidFill>
          </w14:textFill>
        </w:rPr>
        <w:t>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291837C0">
      <w:pPr>
        <w:spacing w:line="360" w:lineRule="auto"/>
        <w:rPr>
          <w:color w:val="000000" w:themeColor="text1"/>
          <w14:textFill>
            <w14:solidFill>
              <w14:schemeClr w14:val="tx1"/>
            </w14:solidFill>
          </w14:textFill>
        </w:rPr>
      </w:pPr>
    </w:p>
    <w:p w14:paraId="61EA11D5">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声明人：（公章）</w:t>
      </w:r>
    </w:p>
    <w:p w14:paraId="3F2D74B9">
      <w:pPr>
        <w:spacing w:line="460" w:lineRule="exact"/>
        <w:ind w:firstLine="4410" w:firstLineChars="2100"/>
        <w:rPr>
          <w:color w:val="000000" w:themeColor="text1"/>
          <w14:textFill>
            <w14:solidFill>
              <w14:schemeClr w14:val="tx1"/>
            </w14:solidFill>
          </w14:textFill>
        </w:rPr>
      </w:pPr>
      <w:r>
        <w:rPr>
          <w:rFonts w:hint="eastAsia"/>
          <w:color w:val="000000" w:themeColor="text1"/>
          <w14:textFill>
            <w14:solidFill>
              <w14:schemeClr w14:val="tx1"/>
            </w14:solidFill>
          </w14:textFill>
        </w:rPr>
        <w:t>日期：______年    月    日</w:t>
      </w:r>
    </w:p>
    <w:p w14:paraId="2B815EB8">
      <w:pPr>
        <w:spacing w:line="460" w:lineRule="exact"/>
        <w:ind w:firstLine="49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其他证明材料及文件：（如果投标人认为需要提供的话）</w:t>
      </w:r>
    </w:p>
    <w:p w14:paraId="08615052">
      <w:pPr>
        <w:spacing w:line="360" w:lineRule="auto"/>
        <w:ind w:firstLine="4638" w:firstLineChars="2200"/>
        <w:rPr>
          <w:b/>
          <w:color w:val="000000" w:themeColor="text1"/>
          <w14:textFill>
            <w14:solidFill>
              <w14:schemeClr w14:val="tx1"/>
            </w14:solidFill>
          </w14:textFill>
        </w:rPr>
      </w:pPr>
    </w:p>
    <w:p w14:paraId="1C6AC6D6">
      <w:pPr>
        <w:pStyle w:val="446"/>
        <w:spacing w:before="20"/>
        <w:ind w:left="0"/>
        <w:outlineLvl w:val="9"/>
        <w:rPr>
          <w:color w:val="000000" w:themeColor="text1"/>
          <w:sz w:val="21"/>
          <w14:textFill>
            <w14:solidFill>
              <w14:schemeClr w14:val="tx1"/>
            </w14:solidFill>
          </w14:textFill>
        </w:rPr>
      </w:pPr>
    </w:p>
    <w:p w14:paraId="54C6E793">
      <w:pPr>
        <w:pStyle w:val="446"/>
        <w:spacing w:before="20"/>
        <w:ind w:left="0"/>
        <w:outlineLvl w:val="9"/>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附件五、残疾人福利性单位声明函格式</w:t>
      </w:r>
    </w:p>
    <w:p w14:paraId="0F4AFAFB">
      <w:pPr>
        <w:pStyle w:val="21"/>
        <w:rPr>
          <w:b/>
          <w:color w:val="000000" w:themeColor="text1"/>
          <w:sz w:val="21"/>
          <w14:textFill>
            <w14:solidFill>
              <w14:schemeClr w14:val="tx1"/>
            </w14:solidFill>
          </w14:textFill>
        </w:rPr>
      </w:pPr>
    </w:p>
    <w:p w14:paraId="2CB36BE7">
      <w:pPr>
        <w:pStyle w:val="446"/>
        <w:spacing w:before="167"/>
        <w:ind w:left="0"/>
        <w:jc w:val="center"/>
        <w:outlineLvl w:val="9"/>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残疾人福利性单位声明函</w:t>
      </w:r>
    </w:p>
    <w:p w14:paraId="1B7ADC36">
      <w:pPr>
        <w:pStyle w:val="21"/>
        <w:spacing w:before="7"/>
        <w:rPr>
          <w:b/>
          <w:color w:val="000000" w:themeColor="text1"/>
          <w:sz w:val="21"/>
          <w14:textFill>
            <w14:solidFill>
              <w14:schemeClr w14:val="tx1"/>
            </w14:solidFill>
          </w14:textFill>
        </w:rPr>
      </w:pPr>
    </w:p>
    <w:p w14:paraId="0071D5B4">
      <w:pPr>
        <w:pStyle w:val="21"/>
        <w:tabs>
          <w:tab w:val="left" w:pos="3711"/>
          <w:tab w:val="left" w:pos="5151"/>
        </w:tabs>
        <w:spacing w:line="424" w:lineRule="auto"/>
        <w:ind w:right="617" w:firstLine="480"/>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本单位郑重声明</w:t>
      </w:r>
      <w:r>
        <w:rPr>
          <w:rFonts w:hint="eastAsia"/>
          <w:color w:val="000000" w:themeColor="text1"/>
          <w:spacing w:val="-27"/>
          <w:sz w:val="21"/>
          <w14:textFill>
            <w14:solidFill>
              <w14:schemeClr w14:val="tx1"/>
            </w14:solidFill>
          </w14:textFill>
        </w:rPr>
        <w:t>，</w:t>
      </w:r>
      <w:r>
        <w:rPr>
          <w:rFonts w:hint="eastAsia"/>
          <w:color w:val="000000" w:themeColor="text1"/>
          <w:sz w:val="21"/>
          <w14:textFill>
            <w14:solidFill>
              <w14:schemeClr w14:val="tx1"/>
            </w14:solidFill>
          </w14:textFill>
        </w:rPr>
        <w:t>根</w:t>
      </w:r>
      <w:r>
        <w:rPr>
          <w:rFonts w:hint="eastAsia"/>
          <w:color w:val="000000" w:themeColor="text1"/>
          <w:spacing w:val="-24"/>
          <w:sz w:val="21"/>
          <w14:textFill>
            <w14:solidFill>
              <w14:schemeClr w14:val="tx1"/>
            </w14:solidFill>
          </w14:textFill>
        </w:rPr>
        <w:t>据</w:t>
      </w:r>
      <w:r>
        <w:rPr>
          <w:rFonts w:hint="eastAsia"/>
          <w:color w:val="000000" w:themeColor="text1"/>
          <w:sz w:val="21"/>
          <w14:textFill>
            <w14:solidFill>
              <w14:schemeClr w14:val="tx1"/>
            </w14:solidFill>
          </w14:textFill>
        </w:rPr>
        <w:t>《财政部 民政部 中国残疾人联合会关于促进残疾人就业</w:t>
      </w:r>
      <w:r>
        <w:rPr>
          <w:rFonts w:hint="eastAsia"/>
          <w:color w:val="000000" w:themeColor="text1"/>
          <w:spacing w:val="-18"/>
          <w:sz w:val="21"/>
          <w14:textFill>
            <w14:solidFill>
              <w14:schemeClr w14:val="tx1"/>
            </w14:solidFill>
          </w14:textFill>
        </w:rPr>
        <w:t>政</w:t>
      </w:r>
      <w:r>
        <w:rPr>
          <w:rFonts w:hint="eastAsia"/>
          <w:color w:val="000000" w:themeColor="text1"/>
          <w:sz w:val="21"/>
          <w14:textFill>
            <w14:solidFill>
              <w14:schemeClr w14:val="tx1"/>
            </w14:solidFill>
          </w14:textFill>
        </w:rPr>
        <w:t>府采购政策的通知</w:t>
      </w:r>
      <w:r>
        <w:rPr>
          <w:rFonts w:hint="eastAsia"/>
          <w:color w:val="000000" w:themeColor="text1"/>
          <w:spacing w:val="-39"/>
          <w:sz w:val="21"/>
          <w14:textFill>
            <w14:solidFill>
              <w14:schemeClr w14:val="tx1"/>
            </w14:solidFill>
          </w14:textFill>
        </w:rPr>
        <w:t>》</w:t>
      </w:r>
      <w:r>
        <w:rPr>
          <w:rFonts w:hint="eastAsia"/>
          <w:color w:val="000000" w:themeColor="text1"/>
          <w:sz w:val="21"/>
          <w14:textFill>
            <w14:solidFill>
              <w14:schemeClr w14:val="tx1"/>
            </w14:solidFill>
          </w14:textFill>
        </w:rPr>
        <w:t>（财</w:t>
      </w:r>
      <w:r>
        <w:rPr>
          <w:rFonts w:hint="eastAsia"/>
          <w:color w:val="000000" w:themeColor="text1"/>
          <w:spacing w:val="-17"/>
          <w:sz w:val="21"/>
          <w14:textFill>
            <w14:solidFill>
              <w14:schemeClr w14:val="tx1"/>
            </w14:solidFill>
          </w14:textFill>
        </w:rPr>
        <w:t>库</w:t>
      </w:r>
      <w:r>
        <w:rPr>
          <w:rFonts w:hint="eastAsia"/>
          <w:color w:val="000000" w:themeColor="text1"/>
          <w:sz w:val="21"/>
          <w14:textFill>
            <w14:solidFill>
              <w14:schemeClr w14:val="tx1"/>
            </w14:solidFill>
          </w14:textFill>
        </w:rPr>
        <w:t>〔2017〕141号</w:t>
      </w:r>
      <w:r>
        <w:rPr>
          <w:rFonts w:hint="eastAsia"/>
          <w:color w:val="000000" w:themeColor="text1"/>
          <w:spacing w:val="-20"/>
          <w:sz w:val="21"/>
          <w14:textFill>
            <w14:solidFill>
              <w14:schemeClr w14:val="tx1"/>
            </w14:solidFill>
          </w14:textFill>
        </w:rPr>
        <w:t>）</w:t>
      </w:r>
      <w:r>
        <w:rPr>
          <w:rFonts w:hint="eastAsia"/>
          <w:color w:val="000000" w:themeColor="text1"/>
          <w:sz w:val="21"/>
          <w14:textFill>
            <w14:solidFill>
              <w14:schemeClr w14:val="tx1"/>
            </w14:solidFill>
          </w14:textFill>
        </w:rPr>
        <w:t>的规定</w:t>
      </w:r>
      <w:r>
        <w:rPr>
          <w:rFonts w:hint="eastAsia"/>
          <w:color w:val="000000" w:themeColor="text1"/>
          <w:spacing w:val="-17"/>
          <w:sz w:val="21"/>
          <w14:textFill>
            <w14:solidFill>
              <w14:schemeClr w14:val="tx1"/>
            </w14:solidFill>
          </w14:textFill>
        </w:rPr>
        <w:t>，</w:t>
      </w:r>
      <w:r>
        <w:rPr>
          <w:rFonts w:hint="eastAsia"/>
          <w:color w:val="000000" w:themeColor="text1"/>
          <w:sz w:val="21"/>
          <w14:textFill>
            <w14:solidFill>
              <w14:schemeClr w14:val="tx1"/>
            </w14:solidFill>
          </w14:textFill>
        </w:rPr>
        <w:t>本单位为符合条件的残疾人福</w:t>
      </w:r>
      <w:r>
        <w:rPr>
          <w:rFonts w:hint="eastAsia"/>
          <w:color w:val="000000" w:themeColor="text1"/>
          <w:spacing w:val="-16"/>
          <w:sz w:val="21"/>
          <w14:textFill>
            <w14:solidFill>
              <w14:schemeClr w14:val="tx1"/>
            </w14:solidFill>
          </w14:textFill>
        </w:rPr>
        <w:t>利</w:t>
      </w:r>
      <w:r>
        <w:rPr>
          <w:rFonts w:hint="eastAsia"/>
          <w:color w:val="000000" w:themeColor="text1"/>
          <w:sz w:val="21"/>
          <w14:textFill>
            <w14:solidFill>
              <w14:schemeClr w14:val="tx1"/>
            </w14:solidFill>
          </w14:textFill>
        </w:rPr>
        <w:t>性单位</w:t>
      </w:r>
      <w:r>
        <w:rPr>
          <w:rFonts w:hint="eastAsia"/>
          <w:color w:val="000000" w:themeColor="text1"/>
          <w:spacing w:val="-27"/>
          <w:sz w:val="21"/>
          <w14:textFill>
            <w14:solidFill>
              <w14:schemeClr w14:val="tx1"/>
            </w14:solidFill>
          </w14:textFill>
        </w:rPr>
        <w:t>，</w:t>
      </w:r>
      <w:r>
        <w:rPr>
          <w:rFonts w:hint="eastAsia"/>
          <w:color w:val="000000" w:themeColor="text1"/>
          <w:sz w:val="21"/>
          <w14:textFill>
            <w14:solidFill>
              <w14:schemeClr w14:val="tx1"/>
            </w14:solidFill>
          </w14:textFill>
        </w:rPr>
        <w:t>且本单位参加</w:t>
      </w:r>
      <w:r>
        <w:rPr>
          <w:rFonts w:hint="eastAsia"/>
          <w:color w:val="000000" w:themeColor="text1"/>
          <w:sz w:val="21"/>
          <w:u w:val="single"/>
          <w14:textFill>
            <w14:solidFill>
              <w14:schemeClr w14:val="tx1"/>
            </w14:solidFill>
          </w14:textFill>
        </w:rPr>
        <w:tab/>
      </w:r>
      <w:r>
        <w:rPr>
          <w:rFonts w:hint="eastAsia"/>
          <w:color w:val="000000" w:themeColor="text1"/>
          <w:sz w:val="21"/>
          <w14:textFill>
            <w14:solidFill>
              <w14:schemeClr w14:val="tx1"/>
            </w14:solidFill>
          </w14:textFill>
        </w:rPr>
        <w:t>单位的</w:t>
      </w:r>
      <w:r>
        <w:rPr>
          <w:rFonts w:hint="eastAsia"/>
          <w:color w:val="000000" w:themeColor="text1"/>
          <w:sz w:val="21"/>
          <w:u w:val="single"/>
          <w14:textFill>
            <w14:solidFill>
              <w14:schemeClr w14:val="tx1"/>
            </w14:solidFill>
          </w14:textFill>
        </w:rPr>
        <w:tab/>
      </w:r>
      <w:r>
        <w:rPr>
          <w:rFonts w:hint="eastAsia"/>
          <w:color w:val="000000" w:themeColor="text1"/>
          <w:sz w:val="21"/>
          <w14:textFill>
            <w14:solidFill>
              <w14:schemeClr w14:val="tx1"/>
            </w14:solidFill>
          </w14:textFill>
        </w:rPr>
        <w:t>项目采购活动提供本单位制造的货</w:t>
      </w:r>
      <w:r>
        <w:rPr>
          <w:rFonts w:hint="eastAsia"/>
          <w:color w:val="000000" w:themeColor="text1"/>
          <w:spacing w:val="-24"/>
          <w:sz w:val="21"/>
          <w14:textFill>
            <w14:solidFill>
              <w14:schemeClr w14:val="tx1"/>
            </w14:solidFill>
          </w14:textFill>
        </w:rPr>
        <w:t>物</w:t>
      </w:r>
      <w:r>
        <w:rPr>
          <w:rFonts w:hint="eastAsia"/>
          <w:color w:val="000000" w:themeColor="text1"/>
          <w:sz w:val="21"/>
          <w14:textFill>
            <w14:solidFill>
              <w14:schemeClr w14:val="tx1"/>
            </w14:solidFill>
          </w14:textFill>
        </w:rPr>
        <w:t>（由</w:t>
      </w:r>
      <w:r>
        <w:rPr>
          <w:rFonts w:hint="eastAsia"/>
          <w:color w:val="000000" w:themeColor="text1"/>
          <w:spacing w:val="-18"/>
          <w:sz w:val="21"/>
          <w14:textFill>
            <w14:solidFill>
              <w14:schemeClr w14:val="tx1"/>
            </w14:solidFill>
          </w14:textFill>
        </w:rPr>
        <w:t>本</w:t>
      </w:r>
      <w:r>
        <w:rPr>
          <w:rFonts w:hint="eastAsia"/>
          <w:color w:val="000000" w:themeColor="text1"/>
          <w:sz w:val="21"/>
          <w14:textFill>
            <w14:solidFill>
              <w14:schemeClr w14:val="tx1"/>
            </w14:solidFill>
          </w14:textFill>
        </w:rPr>
        <w:t>单位承担工程/提供服务），或者提供其他残疾人福利性单位制造的货物（不包括使用非残疾人福利性单位注册商标的货物）。</w:t>
      </w:r>
    </w:p>
    <w:p w14:paraId="768D5A38">
      <w:pPr>
        <w:pStyle w:val="21"/>
        <w:spacing w:before="3"/>
        <w:ind w:left="1098"/>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本单位对上述声明的真实性负责。如有虚假，将依法承担相应责任。</w:t>
      </w:r>
    </w:p>
    <w:p w14:paraId="6F725B9D">
      <w:pPr>
        <w:pStyle w:val="21"/>
        <w:tabs>
          <w:tab w:val="left" w:pos="7098"/>
        </w:tabs>
        <w:spacing w:line="422" w:lineRule="auto"/>
        <w:ind w:right="2725"/>
        <w:rPr>
          <w:color w:val="000000" w:themeColor="text1"/>
          <w:spacing w:val="-9"/>
          <w:sz w:val="21"/>
          <w14:textFill>
            <w14:solidFill>
              <w14:schemeClr w14:val="tx1"/>
            </w14:solidFill>
          </w14:textFill>
        </w:rPr>
      </w:pPr>
      <w:r>
        <w:rPr>
          <w:rFonts w:hint="eastAsia"/>
          <w:color w:val="000000" w:themeColor="text1"/>
          <w:sz w:val="21"/>
          <w14:textFill>
            <w14:solidFill>
              <w14:schemeClr w14:val="tx1"/>
            </w14:solidFill>
          </w14:textFill>
        </w:rPr>
        <w:t>单位名称（盖章</w:t>
      </w:r>
      <w:r>
        <w:rPr>
          <w:rFonts w:hint="eastAsia"/>
          <w:color w:val="000000" w:themeColor="text1"/>
          <w:spacing w:val="-9"/>
          <w:sz w:val="21"/>
          <w14:textFill>
            <w14:solidFill>
              <w14:schemeClr w14:val="tx1"/>
            </w14:solidFill>
          </w14:textFill>
        </w:rPr>
        <w:t>）：</w:t>
      </w:r>
    </w:p>
    <w:p w14:paraId="6D506CC6">
      <w:pPr>
        <w:pStyle w:val="21"/>
        <w:tabs>
          <w:tab w:val="left" w:pos="7098"/>
        </w:tabs>
        <w:spacing w:line="422" w:lineRule="auto"/>
        <w:ind w:right="2725"/>
        <w:rPr>
          <w:color w:val="000000" w:themeColor="text1"/>
          <w:spacing w:val="-17"/>
          <w:sz w:val="21"/>
          <w14:textFill>
            <w14:solidFill>
              <w14:schemeClr w14:val="tx1"/>
            </w14:solidFill>
          </w14:textFill>
        </w:rPr>
      </w:pPr>
      <w:r>
        <w:rPr>
          <w:rFonts w:hint="eastAsia"/>
          <w:color w:val="000000" w:themeColor="text1"/>
          <w:spacing w:val="-9"/>
          <w:sz w:val="21"/>
          <w14:textFill>
            <w14:solidFill>
              <w14:schemeClr w14:val="tx1"/>
            </w14:solidFill>
          </w14:textFill>
        </w:rPr>
        <w:t>日</w:t>
      </w:r>
      <w:r>
        <w:rPr>
          <w:rFonts w:hint="eastAsia"/>
          <w:color w:val="000000" w:themeColor="text1"/>
          <w:sz w:val="21"/>
          <w14:textFill>
            <w14:solidFill>
              <w14:schemeClr w14:val="tx1"/>
            </w14:solidFill>
          </w14:textFill>
        </w:rPr>
        <w:t>期</w:t>
      </w:r>
      <w:r>
        <w:rPr>
          <w:rFonts w:hint="eastAsia"/>
          <w:color w:val="000000" w:themeColor="text1"/>
          <w:spacing w:val="-17"/>
          <w:sz w:val="21"/>
          <w14:textFill>
            <w14:solidFill>
              <w14:schemeClr w14:val="tx1"/>
            </w14:solidFill>
          </w14:textFill>
        </w:rPr>
        <w:t>：</w:t>
      </w:r>
    </w:p>
    <w:p w14:paraId="0FCC36E0">
      <w:pPr>
        <w:pStyle w:val="446"/>
        <w:ind w:left="0"/>
        <w:outlineLvl w:val="9"/>
        <w:rPr>
          <w:color w:val="000000" w:themeColor="text1"/>
          <w:sz w:val="21"/>
          <w14:textFill>
            <w14:solidFill>
              <w14:schemeClr w14:val="tx1"/>
            </w14:solidFill>
          </w14:textFill>
        </w:rPr>
      </w:pPr>
    </w:p>
    <w:p w14:paraId="6E740EBF">
      <w:pPr>
        <w:pStyle w:val="446"/>
        <w:ind w:left="0"/>
        <w:outlineLvl w:val="9"/>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附件</w:t>
      </w:r>
      <w:r>
        <w:rPr>
          <w:rFonts w:hint="eastAsia"/>
          <w:color w:val="000000" w:themeColor="text1"/>
          <w:sz w:val="21"/>
          <w:lang w:val="en-US"/>
          <w14:textFill>
            <w14:solidFill>
              <w14:schemeClr w14:val="tx1"/>
            </w14:solidFill>
          </w14:textFill>
        </w:rPr>
        <w:t>六</w:t>
      </w:r>
      <w:r>
        <w:rPr>
          <w:rFonts w:hint="eastAsia"/>
          <w:color w:val="000000" w:themeColor="text1"/>
          <w:sz w:val="21"/>
          <w14:textFill>
            <w14:solidFill>
              <w14:schemeClr w14:val="tx1"/>
            </w14:solidFill>
          </w14:textFill>
        </w:rPr>
        <w:t>、属于监狱企业的证明文件</w:t>
      </w:r>
    </w:p>
    <w:p w14:paraId="174D4B57">
      <w:pPr>
        <w:pStyle w:val="21"/>
        <w:rPr>
          <w:b/>
          <w:color w:val="000000" w:themeColor="text1"/>
          <w:sz w:val="21"/>
          <w14:textFill>
            <w14:solidFill>
              <w14:schemeClr w14:val="tx1"/>
            </w14:solidFill>
          </w14:textFill>
        </w:rPr>
      </w:pPr>
    </w:p>
    <w:p w14:paraId="1D3B5FF6">
      <w:pPr>
        <w:pStyle w:val="21"/>
        <w:spacing w:before="165" w:line="424" w:lineRule="auto"/>
        <w:ind w:right="554" w:firstLine="480"/>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提供由省级以上监狱管理局、戒毒管理局(含新疆生产建设兵团)出具的属于监狱企业的证明文件。</w:t>
      </w:r>
    </w:p>
    <w:p w14:paraId="1F86EE19">
      <w:pPr>
        <w:rPr>
          <w:rFonts w:asciiTheme="minorEastAsia" w:hAnsiTheme="minorEastAsia" w:eastAsiaTheme="minorEastAsia"/>
          <w:color w:val="000000" w:themeColor="text1"/>
          <w:kern w:val="2"/>
          <w:szCs w:val="20"/>
          <w14:textFill>
            <w14:solidFill>
              <w14:schemeClr w14:val="tx1"/>
            </w14:solidFill>
          </w14:textFill>
        </w:rPr>
      </w:pPr>
      <w:r>
        <w:rPr>
          <w:rFonts w:asciiTheme="minorEastAsia" w:hAnsiTheme="minorEastAsia" w:eastAsiaTheme="minorEastAsia"/>
          <w:color w:val="000000" w:themeColor="text1"/>
          <w:kern w:val="2"/>
          <w:szCs w:val="20"/>
          <w14:textFill>
            <w14:solidFill>
              <w14:schemeClr w14:val="tx1"/>
            </w14:solidFill>
          </w14:textFill>
        </w:rPr>
        <w:br w:type="page"/>
      </w:r>
    </w:p>
    <w:p w14:paraId="06A9B21B">
      <w:pPr>
        <w:pStyle w:val="446"/>
        <w:spacing w:before="20"/>
        <w:ind w:left="0"/>
        <w:outlineLvl w:val="9"/>
        <w:rPr>
          <w:rFonts w:asciiTheme="minorEastAsia" w:hAnsiTheme="minorEastAsia" w:eastAsiaTheme="minorEastAsia"/>
          <w:color w:val="000000" w:themeColor="text1"/>
          <w:kern w:val="2"/>
          <w:sz w:val="21"/>
          <w:szCs w:val="20"/>
          <w14:textFill>
            <w14:solidFill>
              <w14:schemeClr w14:val="tx1"/>
            </w14:solidFill>
          </w14:textFill>
        </w:rPr>
      </w:pPr>
      <w:r>
        <w:rPr>
          <w:rFonts w:asciiTheme="minorEastAsia" w:hAnsiTheme="minorEastAsia" w:eastAsiaTheme="minorEastAsia"/>
          <w:color w:val="000000" w:themeColor="text1"/>
          <w:kern w:val="2"/>
          <w:sz w:val="21"/>
          <w:szCs w:val="20"/>
          <w14:textFill>
            <w14:solidFill>
              <w14:schemeClr w14:val="tx1"/>
            </w14:solidFill>
          </w14:textFill>
        </w:rPr>
        <w:t>附件</w:t>
      </w:r>
      <w:r>
        <w:rPr>
          <w:rFonts w:hint="eastAsia" w:asciiTheme="minorEastAsia" w:hAnsiTheme="minorEastAsia" w:eastAsiaTheme="minorEastAsia"/>
          <w:color w:val="000000" w:themeColor="text1"/>
          <w:kern w:val="2"/>
          <w:sz w:val="21"/>
          <w:szCs w:val="20"/>
          <w14:textFill>
            <w14:solidFill>
              <w14:schemeClr w14:val="tx1"/>
            </w14:solidFill>
          </w14:textFill>
        </w:rPr>
        <w:t>七</w:t>
      </w:r>
      <w:r>
        <w:rPr>
          <w:rFonts w:asciiTheme="minorEastAsia" w:hAnsiTheme="minorEastAsia" w:eastAsiaTheme="minorEastAsia"/>
          <w:color w:val="000000" w:themeColor="text1"/>
          <w:kern w:val="2"/>
          <w:sz w:val="21"/>
          <w:szCs w:val="20"/>
          <w14:textFill>
            <w14:solidFill>
              <w14:schemeClr w14:val="tx1"/>
            </w14:solidFill>
          </w14:textFill>
        </w:rPr>
        <w:t>、投标单位廉政承诺书</w:t>
      </w:r>
    </w:p>
    <w:p w14:paraId="274053A2">
      <w:pPr>
        <w:spacing w:line="360" w:lineRule="auto"/>
        <w:ind w:firstLine="643" w:firstLineChars="200"/>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投标单位廉政承诺书</w:t>
      </w:r>
    </w:p>
    <w:p w14:paraId="507C014C">
      <w:pPr>
        <w:spacing w:line="360" w:lineRule="auto"/>
        <w:ind w:firstLine="480" w:firstLineChars="200"/>
        <w:jc w:val="center"/>
        <w:rPr>
          <w:color w:val="000000" w:themeColor="text1"/>
          <w:sz w:val="24"/>
          <w14:textFill>
            <w14:solidFill>
              <w14:schemeClr w14:val="tx1"/>
            </w14:solidFill>
          </w14:textFill>
        </w:rPr>
      </w:pPr>
    </w:p>
    <w:p w14:paraId="32DBE0E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为充分体现公开、公平、公正、诚实信用原则，维护招标采购环节秩序，本单位承诺在参与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项目投标过程中无任何违法、违规、违纪行为，自觉接受监督。承诺如下：</w:t>
      </w:r>
    </w:p>
    <w:p w14:paraId="2D50EB4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1、不以不正当手段向招标人谋取资格预审及投标的不正当照顾。</w:t>
      </w:r>
    </w:p>
    <w:p w14:paraId="7C12569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2、不使用不正当手段妨碍、排挤其他投标单位。</w:t>
      </w:r>
    </w:p>
    <w:p w14:paraId="3A42384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3、严格按照招标文件规定的方式进行投标，不隐瞒本单位任何真实情况。不以其他人名义投标或以其他方式弄虚作假，骗取中标。</w:t>
      </w:r>
    </w:p>
    <w:p w14:paraId="4F0CDF5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4、不与其他投标人相互串标，不联合其他单位进行围标。</w:t>
      </w:r>
    </w:p>
    <w:p w14:paraId="5432EB2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49E46C2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6、一旦发现招标相关人员在招标过程中有不廉洁行为，立即向招标方举报。</w:t>
      </w:r>
    </w:p>
    <w:p w14:paraId="07E60DF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7、中标后及时与招标人按招投标文件签订合同，不订立背离合同实质性内容的协议。</w:t>
      </w:r>
    </w:p>
    <w:p w14:paraId="34459FC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8、自愿将本承诺作为投标文件及合同的附件，具有同等法律效力。</w:t>
      </w:r>
    </w:p>
    <w:p w14:paraId="1D7879B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0E4E6244">
      <w:pPr>
        <w:spacing w:line="360" w:lineRule="auto"/>
        <w:ind w:firstLine="420" w:firstLineChars="200"/>
        <w:rPr>
          <w:color w:val="000000" w:themeColor="text1"/>
          <w14:textFill>
            <w14:solidFill>
              <w14:schemeClr w14:val="tx1"/>
            </w14:solidFill>
          </w14:textFill>
        </w:rPr>
      </w:pPr>
    </w:p>
    <w:p w14:paraId="5817A9A6">
      <w:pPr>
        <w:spacing w:line="360" w:lineRule="auto"/>
        <w:ind w:firstLine="4410" w:firstLineChars="2100"/>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法定代表人（签名）：</w:t>
      </w:r>
    </w:p>
    <w:p w14:paraId="7A2262C6">
      <w:pPr>
        <w:spacing w:line="360" w:lineRule="auto"/>
        <w:ind w:firstLine="4410" w:firstLineChars="2100"/>
        <w:rPr>
          <w:color w:val="000000" w:themeColor="text1"/>
          <w14:textFill>
            <w14:solidFill>
              <w14:schemeClr w14:val="tx1"/>
            </w14:solidFill>
          </w14:textFill>
        </w:rPr>
      </w:pPr>
      <w:r>
        <w:rPr>
          <w:rFonts w:hint="eastAsia"/>
          <w:color w:val="000000" w:themeColor="text1"/>
          <w14:textFill>
            <w14:solidFill>
              <w14:schemeClr w14:val="tx1"/>
            </w14:solidFill>
          </w14:textFill>
        </w:rPr>
        <w:t>单位盖章：</w:t>
      </w:r>
    </w:p>
    <w:p w14:paraId="661D4AD6">
      <w:pPr>
        <w:spacing w:line="360" w:lineRule="auto"/>
        <w:ind w:firstLine="4410" w:firstLineChars="2100"/>
        <w:rPr>
          <w:color w:val="000000" w:themeColor="text1"/>
          <w14:textFill>
            <w14:solidFill>
              <w14:schemeClr w14:val="tx1"/>
            </w14:solidFill>
          </w14:textFill>
        </w:rPr>
        <w:sectPr>
          <w:pgSz w:w="11906" w:h="16838"/>
          <w:pgMar w:top="850" w:right="850" w:bottom="850" w:left="1417" w:header="340" w:footer="624" w:gutter="0"/>
          <w:cols w:space="720" w:num="1"/>
          <w:docGrid w:type="lines" w:linePitch="312" w:charSpace="0"/>
        </w:sectPr>
      </w:pPr>
      <w:r>
        <w:rPr>
          <w:rFonts w:hint="eastAsia"/>
          <w:color w:val="000000" w:themeColor="text1"/>
          <w14:textFill>
            <w14:solidFill>
              <w14:schemeClr w14:val="tx1"/>
            </w14:solidFill>
          </w14:textFill>
        </w:rPr>
        <w:t>承诺日期：   年  月  日</w:t>
      </w:r>
    </w:p>
    <w:p w14:paraId="4BB9ABE9">
      <w:pPr>
        <w:pStyle w:val="446"/>
        <w:spacing w:before="20"/>
        <w:ind w:left="0" w:right="-2478" w:rightChars="-1180"/>
        <w:outlineLvl w:val="9"/>
        <w:rPr>
          <w:rFonts w:asciiTheme="minorEastAsia" w:hAnsiTheme="minorEastAsia" w:eastAsiaTheme="minorEastAsia"/>
          <w:color w:val="000000" w:themeColor="text1"/>
          <w:kern w:val="2"/>
          <w:sz w:val="21"/>
          <w:szCs w:val="20"/>
          <w14:textFill>
            <w14:solidFill>
              <w14:schemeClr w14:val="tx1"/>
            </w14:solidFill>
          </w14:textFill>
        </w:rPr>
      </w:pPr>
      <w:bookmarkStart w:id="62" w:name="_Toc30576"/>
      <w:r>
        <w:rPr>
          <w:rFonts w:asciiTheme="minorEastAsia" w:hAnsiTheme="minorEastAsia" w:eastAsiaTheme="minorEastAsia"/>
          <w:color w:val="000000" w:themeColor="text1"/>
          <w:kern w:val="2"/>
          <w:sz w:val="21"/>
          <w:szCs w:val="20"/>
          <w14:textFill>
            <w14:solidFill>
              <w14:schemeClr w14:val="tx1"/>
            </w14:solidFill>
          </w14:textFill>
        </w:rPr>
        <w:t>附件</w:t>
      </w:r>
      <w:r>
        <w:rPr>
          <w:rFonts w:hint="eastAsia" w:asciiTheme="minorEastAsia" w:hAnsiTheme="minorEastAsia" w:eastAsiaTheme="minorEastAsia"/>
          <w:color w:val="000000" w:themeColor="text1"/>
          <w:kern w:val="2"/>
          <w:sz w:val="21"/>
          <w:szCs w:val="20"/>
          <w:lang w:val="en-US"/>
          <w14:textFill>
            <w14:solidFill>
              <w14:schemeClr w14:val="tx1"/>
            </w14:solidFill>
          </w14:textFill>
        </w:rPr>
        <w:t>八</w:t>
      </w:r>
      <w:r>
        <w:rPr>
          <w:rFonts w:asciiTheme="minorEastAsia" w:hAnsiTheme="minorEastAsia" w:eastAsiaTheme="minorEastAsia"/>
          <w:color w:val="000000" w:themeColor="text1"/>
          <w:kern w:val="2"/>
          <w:sz w:val="21"/>
          <w:szCs w:val="20"/>
          <w14:textFill>
            <w14:solidFill>
              <w14:schemeClr w14:val="tx1"/>
            </w14:solidFill>
          </w14:textFill>
        </w:rPr>
        <w:t>、</w:t>
      </w:r>
      <w:r>
        <w:rPr>
          <w:rFonts w:hint="eastAsia"/>
          <w:color w:val="000000" w:themeColor="text1"/>
          <w14:textFill>
            <w14:solidFill>
              <w14:schemeClr w14:val="tx1"/>
            </w14:solidFill>
          </w14:textFill>
        </w:rPr>
        <w:t>承诺书</w:t>
      </w:r>
      <w:bookmarkEnd w:id="62"/>
    </w:p>
    <w:p w14:paraId="01BAE4C2">
      <w:pPr>
        <w:widowControl/>
        <w:jc w:val="center"/>
        <w:rPr>
          <w:rFonts w:asciiTheme="minorEastAsia" w:hAnsiTheme="minorEastAsia" w:eastAsiaTheme="minorEastAsia"/>
          <w:color w:val="000000" w:themeColor="text1"/>
          <w14:textFill>
            <w14:solidFill>
              <w14:schemeClr w14:val="tx1"/>
            </w14:solidFill>
          </w14:textFill>
        </w:rPr>
      </w:pPr>
    </w:p>
    <w:p w14:paraId="47C3FE30">
      <w:pPr>
        <w:pStyle w:val="59"/>
        <w:spacing w:before="73" w:after="73" w:line="320" w:lineRule="exact"/>
        <w:rPr>
          <w:color w:val="000000" w:themeColor="text1"/>
          <w:sz w:val="21"/>
          <w:lang w:val="zh-CN"/>
          <w14:textFill>
            <w14:solidFill>
              <w14:schemeClr w14:val="tx1"/>
            </w14:solidFill>
          </w14:textFill>
        </w:rPr>
      </w:pPr>
      <w:r>
        <w:rPr>
          <w:rFonts w:hint="eastAsia"/>
          <w:color w:val="000000" w:themeColor="text1"/>
          <w:sz w:val="21"/>
          <w14:textFill>
            <w14:solidFill>
              <w14:schemeClr w14:val="tx1"/>
            </w14:solidFill>
          </w14:textFill>
        </w:rPr>
        <w:t>本单位（公司名称）</w:t>
      </w:r>
      <w:r>
        <w:rPr>
          <w:rFonts w:hint="eastAsia"/>
          <w:color w:val="000000" w:themeColor="text1"/>
          <w:sz w:val="21"/>
          <w:u w:val="single"/>
          <w14:textFill>
            <w14:solidFill>
              <w14:schemeClr w14:val="tx1"/>
            </w14:solidFill>
          </w14:textFill>
        </w:rPr>
        <w:tab/>
      </w:r>
      <w:r>
        <w:rPr>
          <w:rFonts w:hint="eastAsia"/>
          <w:color w:val="000000" w:themeColor="text1"/>
          <w:sz w:val="21"/>
          <w:u w:val="single"/>
          <w14:textFill>
            <w14:solidFill>
              <w14:schemeClr w14:val="tx1"/>
            </w14:solidFill>
          </w14:textFill>
        </w:rPr>
        <w:t xml:space="preserve">          </w:t>
      </w:r>
      <w:r>
        <w:rPr>
          <w:rFonts w:hint="eastAsia"/>
          <w:color w:val="000000" w:themeColor="text1"/>
          <w:sz w:val="21"/>
          <w14:textFill>
            <w14:solidFill>
              <w14:schemeClr w14:val="tx1"/>
            </w14:solidFill>
          </w14:textFill>
        </w:rPr>
        <w:t>郑重承诺对于 （项目名称）</w:t>
      </w:r>
      <w:r>
        <w:rPr>
          <w:rFonts w:hint="eastAsia"/>
          <w:color w:val="000000" w:themeColor="text1"/>
          <w:sz w:val="21"/>
          <w:u w:val="single"/>
          <w14:textFill>
            <w14:solidFill>
              <w14:schemeClr w14:val="tx1"/>
            </w14:solidFill>
          </w14:textFill>
        </w:rPr>
        <w:tab/>
      </w:r>
      <w:r>
        <w:rPr>
          <w:rFonts w:hint="eastAsia"/>
          <w:color w:val="000000" w:themeColor="text1"/>
          <w:sz w:val="21"/>
          <w:u w:val="single"/>
          <w14:textFill>
            <w14:solidFill>
              <w14:schemeClr w14:val="tx1"/>
            </w14:solidFill>
          </w14:textFill>
        </w:rPr>
        <w:t xml:space="preserve">          </w:t>
      </w:r>
      <w:r>
        <w:rPr>
          <w:rFonts w:hint="eastAsia"/>
          <w:color w:val="000000" w:themeColor="text1"/>
          <w:sz w:val="21"/>
          <w14:textFill>
            <w14:solidFill>
              <w14:schemeClr w14:val="tx1"/>
            </w14:solidFill>
          </w14:textFill>
        </w:rPr>
        <w:t xml:space="preserve"> 采购活动</w:t>
      </w:r>
      <w:r>
        <w:rPr>
          <w:rFonts w:hint="eastAsia"/>
          <w:color w:val="000000" w:themeColor="text1"/>
          <w:sz w:val="21"/>
          <w:lang w:val="zh-CN"/>
          <w14:textFill>
            <w14:solidFill>
              <w14:schemeClr w14:val="tx1"/>
            </w14:solidFill>
          </w14:textFill>
        </w:rPr>
        <w:t>：</w:t>
      </w:r>
    </w:p>
    <w:p w14:paraId="6A4F1C3F">
      <w:pPr>
        <w:pStyle w:val="59"/>
        <w:numPr>
          <w:ilvl w:val="0"/>
          <w:numId w:val="8"/>
        </w:numPr>
        <w:spacing w:before="73" w:after="73" w:line="320" w:lineRule="exact"/>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在参加本次政府采购活动不存在与参加本项目的其他供应商单位负责人为同一人或者存在直接控股、管理关系情形。</w:t>
      </w:r>
    </w:p>
    <w:p w14:paraId="329BE8A1">
      <w:pPr>
        <w:pStyle w:val="59"/>
        <w:spacing w:before="73" w:after="73" w:line="320" w:lineRule="exact"/>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（2）我单位没有为采购项目提供整体设计、规范编制或者项目管理、监理、检测等服务。</w:t>
      </w:r>
    </w:p>
    <w:p w14:paraId="2E32341F">
      <w:pPr>
        <w:pStyle w:val="59"/>
        <w:spacing w:before="73" w:after="73" w:line="320" w:lineRule="exact"/>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（3）我单位未被列入失信被执行人、重大税收违法失信主体、政府采购严重违法失信行为记录名单中。</w:t>
      </w:r>
    </w:p>
    <w:p w14:paraId="0F84CE91">
      <w:pPr>
        <w:pStyle w:val="84"/>
        <w:rPr>
          <w:rFonts w:ascii="宋体" w:hAnsi="宋体"/>
          <w:color w:val="000000" w:themeColor="text1"/>
          <w:sz w:val="21"/>
          <w:szCs w:val="21"/>
          <w14:textFill>
            <w14:solidFill>
              <w14:schemeClr w14:val="tx1"/>
            </w14:solidFill>
          </w14:textFill>
        </w:rPr>
      </w:pPr>
    </w:p>
    <w:p w14:paraId="0BC46780">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声明人：（公章）</w:t>
      </w:r>
    </w:p>
    <w:p w14:paraId="2C7EF1D1">
      <w:pPr>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日期：______年月日</w:t>
      </w:r>
    </w:p>
    <w:p w14:paraId="444CB2B0">
      <w:pPr>
        <w:spacing w:line="460" w:lineRule="exact"/>
        <w:rPr>
          <w:color w:val="000000" w:themeColor="text1"/>
          <w14:textFill>
            <w14:solidFill>
              <w14:schemeClr w14:val="tx1"/>
            </w14:solidFill>
          </w14:textFill>
        </w:rPr>
      </w:pPr>
    </w:p>
    <w:p w14:paraId="75F614A8">
      <w:pPr>
        <w:spacing w:line="460" w:lineRule="exact"/>
        <w:rPr>
          <w:color w:val="000000" w:themeColor="text1"/>
          <w14:textFill>
            <w14:solidFill>
              <w14:schemeClr w14:val="tx1"/>
            </w14:solidFill>
          </w14:textFill>
        </w:rPr>
      </w:pPr>
    </w:p>
    <w:sectPr>
      <w:pgSz w:w="11906" w:h="16838"/>
      <w:pgMar w:top="850" w:right="850" w:bottom="850" w:left="1417" w:header="340" w:footer="62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5DE307F-E757-4578-A43F-DD8D4CBF4F9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方正大黑简体">
    <w:altName w:val="黑体"/>
    <w:panose1 w:val="02000000000000000000"/>
    <w:charset w:val="86"/>
    <w:family w:val="script"/>
    <w:pitch w:val="default"/>
    <w:sig w:usb0="00000000" w:usb1="00000000" w:usb2="00000012" w:usb3="00000000" w:csb0="00040001" w:csb1="00000000"/>
  </w:font>
  <w:font w:name="汉仪雅酷黑简">
    <w:altName w:val="黑体"/>
    <w:panose1 w:val="00020600040101010101"/>
    <w:charset w:val="86"/>
    <w:family w:val="auto"/>
    <w:pitch w:val="default"/>
    <w:sig w:usb0="00000000" w:usb1="00000000" w:usb2="00000016" w:usb3="00000000" w:csb0="0004009F" w:csb1="DFD7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80F3C52" w:usb2="00000016" w:usb3="00000000" w:csb0="0004001F" w:csb1="00000000"/>
    <w:embedRegular r:id="rId2" w:fontKey="{64C6AF54-ABC8-43C3-AFF6-C127825653EC}"/>
  </w:font>
  <w:font w:name="Tahoma">
    <w:panose1 w:val="020B0604030504040204"/>
    <w:charset w:val="00"/>
    <w:family w:val="swiss"/>
    <w:pitch w:val="default"/>
    <w:sig w:usb0="E1002EFF" w:usb1="C000605B" w:usb2="00000029" w:usb3="00000000" w:csb0="200101FF" w:csb1="20280000"/>
  </w:font>
  <w:font w:name="汉仪大黑简">
    <w:altName w:val="黑体"/>
    <w:panose1 w:val="02010600000101010101"/>
    <w:charset w:val="86"/>
    <w:family w:val="auto"/>
    <w:pitch w:val="default"/>
    <w:sig w:usb0="00000000" w:usb1="00000000" w:usb2="00000002" w:usb3="00000000" w:csb0="00040000" w:csb1="00000000"/>
  </w:font>
  <w:font w:name="Verdana">
    <w:panose1 w:val="020B0604030504040204"/>
    <w:charset w:val="00"/>
    <w:family w:val="swiss"/>
    <w:pitch w:val="default"/>
    <w:sig w:usb0="A1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华文楷体">
    <w:altName w:val="楷体_GB2312"/>
    <w:panose1 w:val="02010600040101010101"/>
    <w:charset w:val="86"/>
    <w:family w:val="auto"/>
    <w:pitch w:val="default"/>
    <w:sig w:usb0="00000000" w:usb1="00000000" w:usb2="00000016" w:usb3="00000000" w:csb0="6006009F" w:csb1="DFD7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Arial Black">
    <w:panose1 w:val="020B0A04020102020204"/>
    <w:charset w:val="00"/>
    <w:family w:val="swiss"/>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embedRegular r:id="rId3" w:fontKey="{C60D7F92-D285-4C14-B8AA-27488FCE1563}"/>
  </w:font>
  <w:font w:name="方正仿宋_GBK">
    <w:panose1 w:val="03000509000000000000"/>
    <w:charset w:val="86"/>
    <w:family w:val="auto"/>
    <w:pitch w:val="default"/>
    <w:sig w:usb0="00000001" w:usb1="080E0000" w:usb2="00000000" w:usb3="00000000" w:csb0="00040000" w:csb1="00000000"/>
    <w:embedRegular r:id="rId4" w:fontKey="{442DF182-8B5C-44DE-A66E-347A62D8A36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F18DC">
    <w:pPr>
      <w:pStyle w:val="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6" name="文本框 7"/>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14:paraId="36D2059E">
                          <w:pPr>
                            <w:pStyle w:val="41"/>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7"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7eqt9IAAAAEAQAADwAAAAAAAAABACAAAAAi&#10;AAAAZHJzL2Rvd25yZXYueG1sUEsBAhQAFAAAAAgAh07iQFJBP2EQAgAAEAQAAA4AAAAAAAAAAQAg&#10;AAAAIQEAAGRycy9lMm9Eb2MueG1sUEsFBgAAAAAGAAYAWQEAAKMFAAAAAA==&#10;">
              <v:fill on="f" focussize="0,0"/>
              <v:stroke on="f"/>
              <v:imagedata o:title=""/>
              <o:lock v:ext="edit" aspectratio="f"/>
              <v:textbox inset="0mm,0mm,0mm,0mm" style="mso-fit-shape-to-text:t;">
                <w:txbxContent>
                  <w:p w14:paraId="36D2059E">
                    <w:pPr>
                      <w:pStyle w:val="41"/>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EA702">
    <w:pPr>
      <w:pStyle w:val="41"/>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15035" cy="147955"/>
              <wp:effectExtent l="0" t="0" r="0" b="0"/>
              <wp:wrapNone/>
              <wp:docPr id="11" name="文本框 1028"/>
              <wp:cNvGraphicFramePr/>
              <a:graphic xmlns:a="http://schemas.openxmlformats.org/drawingml/2006/main">
                <a:graphicData uri="http://schemas.microsoft.com/office/word/2010/wordprocessingShape">
                  <wps:wsp>
                    <wps:cNvSpPr>
                      <a:spLocks noChangeArrowheads="1"/>
                    </wps:cNvSpPr>
                    <wps:spPr>
                      <a:xfrm>
                        <a:off x="0" y="0"/>
                        <a:ext cx="915035" cy="147955"/>
                      </a:xfrm>
                      <a:prstGeom prst="rect">
                        <a:avLst/>
                      </a:prstGeom>
                      <a:noFill/>
                      <a:ln>
                        <a:noFill/>
                      </a:ln>
                      <a:effectLst/>
                    </wps:spPr>
                    <wps:txbx>
                      <w:txbxContent>
                        <w:p w14:paraId="7F5C6000">
                          <w:pPr>
                            <w:pStyle w:val="41"/>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wrap="none" lIns="0" tIns="0" rIns="0" bIns="0">
                      <a:spAutoFit/>
                    </wps:bodyPr>
                  </wps:wsp>
                </a:graphicData>
              </a:graphic>
            </wp:anchor>
          </w:drawing>
        </mc:Choice>
        <mc:Fallback>
          <w:pict>
            <v:rect id="文本框 1028" o:spid="_x0000_s1026" o:spt="1" style="position:absolute;left:0pt;margin-top:0pt;height:11.65pt;width:72.05pt;mso-position-horizontal:center;mso-position-horizontal-relative:margin;mso-wrap-style:none;z-index:251661312;mso-width-relative:page;mso-height-relative:page;" filled="f" stroked="f" coordsize="21600,21600" o:gfxdata="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G/0B50gAAAAQBAAAPAAAA&#10;AAAAAAEAIAAAACIAAABkcnMvZG93bnJldi54bWxQSwECFAAUAAAACACHTuJAJaPXyuIBAADDAwAA&#10;DgAAAAAAAAABACAAAAAhAQAAZHJzL2Uyb0RvYy54bWxQSwUGAAAAAAYABgBZAQAAdQUAAAAA&#10;">
              <v:fill on="f" focussize="0,0"/>
              <v:stroke on="f"/>
              <v:imagedata o:title=""/>
              <o:lock v:ext="edit" aspectratio="f"/>
              <v:textbox inset="0mm,0mm,0mm,0mm" style="mso-fit-shape-to-text:t;">
                <w:txbxContent>
                  <w:p w14:paraId="7F5C6000">
                    <w:pPr>
                      <w:pStyle w:val="41"/>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F5255">
    <w:pPr>
      <w:pStyle w:val="41"/>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028"/>
              <wp:cNvGraphicFramePr/>
              <a:graphic xmlns:a="http://schemas.openxmlformats.org/drawingml/2006/main">
                <a:graphicData uri="http://schemas.microsoft.com/office/word/2010/wordprocessingShape">
                  <wps:wsp>
                    <wps:cNvSpPr>
                      <a:spLocks noChangeArrowheads="1"/>
                    </wps:cNvSpPr>
                    <wps:spPr>
                      <a:xfrm>
                        <a:off x="0" y="0"/>
                        <a:ext cx="972185" cy="147955"/>
                      </a:xfrm>
                      <a:prstGeom prst="rect">
                        <a:avLst/>
                      </a:prstGeom>
                      <a:noFill/>
                      <a:ln>
                        <a:noFill/>
                      </a:ln>
                      <a:effectLst/>
                    </wps:spPr>
                    <wps:txbx>
                      <w:txbxContent>
                        <w:p w14:paraId="7CD9A9CC">
                          <w:pPr>
                            <w:pStyle w:val="4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none" lIns="0" tIns="0" rIns="0" bIns="0" anchor="t" anchorCtr="0" upright="1">
                      <a:spAutoFit/>
                    </wps:bodyPr>
                  </wps:wsp>
                </a:graphicData>
              </a:graphic>
            </wp:anchor>
          </w:drawing>
        </mc:Choice>
        <mc:Fallback>
          <w:pict>
            <v:rect id="文本框 1028" o:spid="_x0000_s1026" o:spt="1" style="position:absolute;left:0pt;margin-top:0pt;height:11.65pt;width:76.55pt;mso-position-horizontal:center;mso-position-horizontal-relative:margin;mso-wrap-style:none;z-index:251662336;mso-width-relative:page;mso-height-relative:page;" filled="f" stroked="f" coordsize="21600,21600" o:gfxdata="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8dVOHtIAAAAEAQAADwAAAAAAAAABACAAAAAiAAAAZHJzL2Rvd25yZXYu&#10;eG1sUEsBAhQAFAAAAAgAh07iQNw2/l0BAgAA+wMAAA4AAAAAAAAAAQAgAAAAIQEAAGRycy9lMm9E&#10;b2MueG1sUEsFBgAAAAAGAAYAWQEAAJQFAAAAAA==&#10;">
              <v:fill on="f" focussize="0,0"/>
              <v:stroke on="f"/>
              <v:imagedata o:title=""/>
              <o:lock v:ext="edit" aspectratio="f"/>
              <v:textbox inset="0mm,0mm,0mm,0mm" style="mso-fit-shape-to-text:t;">
                <w:txbxContent>
                  <w:p w14:paraId="7CD9A9CC">
                    <w:pPr>
                      <w:pStyle w:val="4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72F9A">
    <w:pPr>
      <w:pStyle w:val="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0F9FF62C">
                          <w:pPr>
                            <w:pStyle w:val="41"/>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0F9FF62C">
                    <w:pPr>
                      <w:pStyle w:val="41"/>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0C156">
    <w:pPr>
      <w:pStyle w:val="43"/>
      <w:pBdr>
        <w:bottom w:val="none" w:color="auto" w:sz="0" w:space="1"/>
      </w:pBdr>
      <w:jc w:val="both"/>
    </w:pPr>
    <w:r>
      <w:drawing>
        <wp:inline distT="0" distB="0" distL="114300" distR="114300">
          <wp:extent cx="1378585" cy="239395"/>
          <wp:effectExtent l="0" t="0" r="5715" b="1905"/>
          <wp:docPr id="4"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icPr>
                <pic:blipFill>
                  <a:blip r:embed="rId1"/>
                  <a:stretch>
                    <a:fillRect/>
                  </a:stretch>
                </pic:blipFill>
                <pic:spPr>
                  <a:xfrm>
                    <a:off x="0" y="0"/>
                    <a:ext cx="1378585" cy="239395"/>
                  </a:xfrm>
                  <a:prstGeom prst="rect">
                    <a:avLst/>
                  </a:prstGeom>
                  <a:noFill/>
                  <a:ln>
                    <a:noFill/>
                  </a:ln>
                </pic:spPr>
              </pic:pic>
            </a:graphicData>
          </a:graphic>
        </wp:inline>
      </w:drawing>
    </w:r>
    <w:r>
      <w:rPr>
        <w:rFonts w:hint="eastAsia"/>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DC3D2">
    <w:pPr>
      <w:pStyle w:val="43"/>
      <w:pBdr>
        <w:bottom w:val="none" w:color="auto" w:sz="0" w:space="1"/>
      </w:pBdr>
      <w:jc w:val="left"/>
    </w:pPr>
    <w:r>
      <w:drawing>
        <wp:inline distT="0" distB="0" distL="0" distR="0">
          <wp:extent cx="1371600" cy="239395"/>
          <wp:effectExtent l="0" t="0" r="0" b="0"/>
          <wp:docPr id="3"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71600" cy="239395"/>
                  </a:xfrm>
                  <a:prstGeom prst="rect">
                    <a:avLst/>
                  </a:prstGeom>
                  <a:noFill/>
                  <a:ln>
                    <a:noFill/>
                  </a:ln>
                </pic:spPr>
              </pic:pic>
            </a:graphicData>
          </a:graphic>
        </wp:inline>
      </w:drawing>
    </w:r>
    <w:r>
      <w:rPr>
        <w:rFonts w:hint="eastAsia"/>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E7CBC">
    <w:pPr>
      <w:pStyle w:val="43"/>
      <w:pBdr>
        <w:bottom w:val="none" w:color="auto" w:sz="0" w:space="1"/>
      </w:pBdr>
      <w:jc w:val="left"/>
    </w:pPr>
    <w:r>
      <w:drawing>
        <wp:inline distT="0" distB="0" distL="0" distR="0">
          <wp:extent cx="1371600" cy="239395"/>
          <wp:effectExtent l="0" t="0" r="0" b="0"/>
          <wp:docPr id="1"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71600" cy="239395"/>
                  </a:xfrm>
                  <a:prstGeom prst="rect">
                    <a:avLst/>
                  </a:prstGeom>
                  <a:noFill/>
                  <a:ln>
                    <a:noFill/>
                  </a:ln>
                </pic:spPr>
              </pic:pic>
            </a:graphicData>
          </a:graphic>
        </wp:inline>
      </w:drawing>
    </w:r>
    <w:r>
      <w:rPr>
        <w:rFonts w:hint="eastAsia"/>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AE2DF1"/>
    <w:multiLevelType w:val="singleLevel"/>
    <w:tmpl w:val="89AE2DF1"/>
    <w:lvl w:ilvl="0" w:tentative="0">
      <w:start w:val="2"/>
      <w:numFmt w:val="chineseCounting"/>
      <w:suff w:val="nothing"/>
      <w:lvlText w:val="%1、"/>
      <w:lvlJc w:val="left"/>
      <w:rPr>
        <w:rFonts w:hint="eastAsia"/>
      </w:rPr>
    </w:lvl>
  </w:abstractNum>
  <w:abstractNum w:abstractNumId="1">
    <w:nsid w:val="9233396A"/>
    <w:multiLevelType w:val="singleLevel"/>
    <w:tmpl w:val="9233396A"/>
    <w:lvl w:ilvl="0" w:tentative="0">
      <w:start w:val="1"/>
      <w:numFmt w:val="decimal"/>
      <w:lvlText w:val="%1."/>
      <w:lvlJc w:val="left"/>
      <w:pPr>
        <w:tabs>
          <w:tab w:val="left" w:pos="312"/>
        </w:tabs>
      </w:pPr>
    </w:lvl>
  </w:abstractNum>
  <w:abstractNum w:abstractNumId="2">
    <w:nsid w:val="FE53F9B8"/>
    <w:multiLevelType w:val="singleLevel"/>
    <w:tmpl w:val="FE53F9B8"/>
    <w:lvl w:ilvl="0" w:tentative="0">
      <w:start w:val="5"/>
      <w:numFmt w:val="chineseCounting"/>
      <w:suff w:val="space"/>
      <w:lvlText w:val="第%1章"/>
      <w:lvlJc w:val="left"/>
      <w:rPr>
        <w:rFonts w:hint="eastAsia"/>
      </w:rPr>
    </w:lvl>
  </w:abstractNum>
  <w:abstractNum w:abstractNumId="3">
    <w:nsid w:val="003822BF"/>
    <w:multiLevelType w:val="multilevel"/>
    <w:tmpl w:val="003822BF"/>
    <w:lvl w:ilvl="0" w:tentative="0">
      <w:start w:val="1"/>
      <w:numFmt w:val="japaneseCounting"/>
      <w:lvlText w:val="%1、"/>
      <w:lvlJc w:val="left"/>
      <w:pPr>
        <w:tabs>
          <w:tab w:val="left" w:pos="2138"/>
        </w:tabs>
        <w:ind w:left="2400" w:hanging="720"/>
      </w:pPr>
      <w:rPr>
        <w:rFonts w:hint="eastAsia"/>
        <w:sz w:val="28"/>
        <w:szCs w:val="28"/>
      </w:rPr>
    </w:lvl>
    <w:lvl w:ilvl="1" w:tentative="0">
      <w:start w:val="1"/>
      <w:numFmt w:val="lowerLetter"/>
      <w:lvlText w:val="%2)"/>
      <w:lvlJc w:val="left"/>
      <w:pPr>
        <w:tabs>
          <w:tab w:val="left" w:pos="2400"/>
        </w:tabs>
        <w:ind w:left="2662" w:hanging="420"/>
      </w:pPr>
    </w:lvl>
    <w:lvl w:ilvl="2" w:tentative="0">
      <w:start w:val="1"/>
      <w:numFmt w:val="lowerRoman"/>
      <w:lvlText w:val="%3."/>
      <w:lvlJc w:val="right"/>
      <w:pPr>
        <w:tabs>
          <w:tab w:val="left" w:pos="2820"/>
        </w:tabs>
        <w:ind w:left="3082" w:hanging="420"/>
      </w:pPr>
    </w:lvl>
    <w:lvl w:ilvl="3" w:tentative="0">
      <w:start w:val="1"/>
      <w:numFmt w:val="decimal"/>
      <w:lvlText w:val="%4."/>
      <w:lvlJc w:val="left"/>
      <w:pPr>
        <w:tabs>
          <w:tab w:val="left" w:pos="3240"/>
        </w:tabs>
        <w:ind w:left="3502" w:hanging="420"/>
      </w:pPr>
    </w:lvl>
    <w:lvl w:ilvl="4" w:tentative="0">
      <w:start w:val="1"/>
      <w:numFmt w:val="lowerLetter"/>
      <w:lvlText w:val="%5)"/>
      <w:lvlJc w:val="left"/>
      <w:pPr>
        <w:tabs>
          <w:tab w:val="left" w:pos="3660"/>
        </w:tabs>
        <w:ind w:left="3922" w:hanging="420"/>
      </w:pPr>
    </w:lvl>
    <w:lvl w:ilvl="5" w:tentative="0">
      <w:start w:val="1"/>
      <w:numFmt w:val="lowerRoman"/>
      <w:lvlText w:val="%6."/>
      <w:lvlJc w:val="right"/>
      <w:pPr>
        <w:tabs>
          <w:tab w:val="left" w:pos="4080"/>
        </w:tabs>
        <w:ind w:left="4342" w:hanging="420"/>
      </w:pPr>
    </w:lvl>
    <w:lvl w:ilvl="6" w:tentative="0">
      <w:start w:val="1"/>
      <w:numFmt w:val="decimal"/>
      <w:lvlText w:val="%7."/>
      <w:lvlJc w:val="left"/>
      <w:pPr>
        <w:tabs>
          <w:tab w:val="left" w:pos="4500"/>
        </w:tabs>
        <w:ind w:left="4762" w:hanging="420"/>
      </w:pPr>
    </w:lvl>
    <w:lvl w:ilvl="7" w:tentative="0">
      <w:start w:val="1"/>
      <w:numFmt w:val="lowerLetter"/>
      <w:lvlText w:val="%8)"/>
      <w:lvlJc w:val="left"/>
      <w:pPr>
        <w:tabs>
          <w:tab w:val="left" w:pos="4920"/>
        </w:tabs>
        <w:ind w:left="5182" w:hanging="420"/>
      </w:pPr>
    </w:lvl>
    <w:lvl w:ilvl="8" w:tentative="0">
      <w:start w:val="1"/>
      <w:numFmt w:val="lowerRoman"/>
      <w:lvlText w:val="%9."/>
      <w:lvlJc w:val="right"/>
      <w:pPr>
        <w:tabs>
          <w:tab w:val="left" w:pos="5340"/>
        </w:tabs>
        <w:ind w:left="5602" w:hanging="420"/>
      </w:pPr>
    </w:lvl>
  </w:abstractNum>
  <w:abstractNum w:abstractNumId="4">
    <w:nsid w:val="12D4B248"/>
    <w:multiLevelType w:val="singleLevel"/>
    <w:tmpl w:val="12D4B248"/>
    <w:lvl w:ilvl="0" w:tentative="0">
      <w:start w:val="1"/>
      <w:numFmt w:val="decimal"/>
      <w:suff w:val="nothing"/>
      <w:lvlText w:val="（%1）"/>
      <w:lvlJc w:val="left"/>
    </w:lvl>
  </w:abstractNum>
  <w:abstractNum w:abstractNumId="5">
    <w:nsid w:val="1A8A8119"/>
    <w:multiLevelType w:val="singleLevel"/>
    <w:tmpl w:val="1A8A8119"/>
    <w:lvl w:ilvl="0" w:tentative="0">
      <w:start w:val="9"/>
      <w:numFmt w:val="decimal"/>
      <w:suff w:val="nothing"/>
      <w:lvlText w:val="%1、"/>
      <w:lvlJc w:val="left"/>
    </w:lvl>
  </w:abstractNum>
  <w:abstractNum w:abstractNumId="6">
    <w:nsid w:val="33FE64BC"/>
    <w:multiLevelType w:val="singleLevel"/>
    <w:tmpl w:val="33FE64BC"/>
    <w:lvl w:ilvl="0" w:tentative="0">
      <w:start w:val="1"/>
      <w:numFmt w:val="decimal"/>
      <w:lvlText w:val="%1."/>
      <w:lvlJc w:val="left"/>
      <w:pPr>
        <w:tabs>
          <w:tab w:val="left" w:pos="312"/>
        </w:tabs>
      </w:pPr>
    </w:lvl>
  </w:abstractNum>
  <w:abstractNum w:abstractNumId="7">
    <w:nsid w:val="3CFFEEF0"/>
    <w:multiLevelType w:val="singleLevel"/>
    <w:tmpl w:val="3CFFEEF0"/>
    <w:lvl w:ilvl="0" w:tentative="0">
      <w:start w:val="1"/>
      <w:numFmt w:val="decimal"/>
      <w:lvlText w:val="%1."/>
      <w:lvlJc w:val="left"/>
      <w:pPr>
        <w:tabs>
          <w:tab w:val="left" w:pos="312"/>
        </w:tabs>
      </w:pPr>
    </w:lvl>
  </w:abstractNum>
  <w:num w:numId="1">
    <w:abstractNumId w:val="0"/>
  </w:num>
  <w:num w:numId="2">
    <w:abstractNumId w:val="5"/>
  </w:num>
  <w:num w:numId="3">
    <w:abstractNumId w:val="1"/>
  </w:num>
  <w:num w:numId="4">
    <w:abstractNumId w:val="6"/>
  </w:num>
  <w:num w:numId="5">
    <w:abstractNumId w:val="7"/>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hideSpellingErrors/>
  <w:documentProtection w:enforcement="0"/>
  <w:defaultTabStop w:val="420"/>
  <w:doNotHyphenateCaps/>
  <w:drawingGridVerticalSpacing w:val="156"/>
  <w:noPunctuationKerning w:val="1"/>
  <w:characterSpacingControl w:val="compressPunctuation"/>
  <w:doNotValidateAgainstSchema/>
  <w:doNotDemarcateInvalidXml/>
  <w:endnotePr>
    <w:numFmt w:val="decimal"/>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wM2E0OTM1MTNmYjdhZDYzZTk0ZmY4ODg5YjlmZWEifQ=="/>
    <w:docVar w:name="KGWebUrl" w:val="http://jszfcg.jscz.gov.cn/jszc/gateWay/joffice/office?access_token=5fc8ce99-9f73-4400-b286-190ce6cf4f7d"/>
  </w:docVars>
  <w:rsids>
    <w:rsidRoot w:val="006563A5"/>
    <w:rsid w:val="000025DD"/>
    <w:rsid w:val="000035AC"/>
    <w:rsid w:val="000036E7"/>
    <w:rsid w:val="00005064"/>
    <w:rsid w:val="00005CBD"/>
    <w:rsid w:val="000076B9"/>
    <w:rsid w:val="00011122"/>
    <w:rsid w:val="00012E3B"/>
    <w:rsid w:val="00014367"/>
    <w:rsid w:val="00016E23"/>
    <w:rsid w:val="000225E8"/>
    <w:rsid w:val="00024121"/>
    <w:rsid w:val="00024E21"/>
    <w:rsid w:val="00025DDA"/>
    <w:rsid w:val="00027013"/>
    <w:rsid w:val="0002764A"/>
    <w:rsid w:val="00027A2A"/>
    <w:rsid w:val="00031487"/>
    <w:rsid w:val="00034625"/>
    <w:rsid w:val="000354C8"/>
    <w:rsid w:val="00037051"/>
    <w:rsid w:val="000428DA"/>
    <w:rsid w:val="000431B2"/>
    <w:rsid w:val="00050E3B"/>
    <w:rsid w:val="00050E45"/>
    <w:rsid w:val="00054025"/>
    <w:rsid w:val="00057D6D"/>
    <w:rsid w:val="0006097E"/>
    <w:rsid w:val="00062733"/>
    <w:rsid w:val="00062C59"/>
    <w:rsid w:val="00063448"/>
    <w:rsid w:val="000634A0"/>
    <w:rsid w:val="00063E5C"/>
    <w:rsid w:val="000705E0"/>
    <w:rsid w:val="00071BF2"/>
    <w:rsid w:val="0007308F"/>
    <w:rsid w:val="00074341"/>
    <w:rsid w:val="000776A2"/>
    <w:rsid w:val="00084422"/>
    <w:rsid w:val="00094E48"/>
    <w:rsid w:val="000A59D8"/>
    <w:rsid w:val="000A6875"/>
    <w:rsid w:val="000A7E68"/>
    <w:rsid w:val="000B1A66"/>
    <w:rsid w:val="000B1ADD"/>
    <w:rsid w:val="000B2338"/>
    <w:rsid w:val="000B2B0D"/>
    <w:rsid w:val="000B4298"/>
    <w:rsid w:val="000B5296"/>
    <w:rsid w:val="000B5C97"/>
    <w:rsid w:val="000B6E6E"/>
    <w:rsid w:val="000B7000"/>
    <w:rsid w:val="000C1E80"/>
    <w:rsid w:val="000C28EF"/>
    <w:rsid w:val="000C4CB8"/>
    <w:rsid w:val="000C6DC2"/>
    <w:rsid w:val="000D292E"/>
    <w:rsid w:val="000D3846"/>
    <w:rsid w:val="000D3E5F"/>
    <w:rsid w:val="000D4C0C"/>
    <w:rsid w:val="000D4FCD"/>
    <w:rsid w:val="000D7AC6"/>
    <w:rsid w:val="000D7C2B"/>
    <w:rsid w:val="000E0479"/>
    <w:rsid w:val="000E048E"/>
    <w:rsid w:val="000E1C62"/>
    <w:rsid w:val="000E4A7B"/>
    <w:rsid w:val="000F0EB1"/>
    <w:rsid w:val="000F141C"/>
    <w:rsid w:val="000F2E9B"/>
    <w:rsid w:val="000F6D3D"/>
    <w:rsid w:val="000F7A31"/>
    <w:rsid w:val="00100D38"/>
    <w:rsid w:val="001015F6"/>
    <w:rsid w:val="00101646"/>
    <w:rsid w:val="0010252C"/>
    <w:rsid w:val="00104434"/>
    <w:rsid w:val="00111264"/>
    <w:rsid w:val="001121CF"/>
    <w:rsid w:val="00112770"/>
    <w:rsid w:val="00112A75"/>
    <w:rsid w:val="00114381"/>
    <w:rsid w:val="001207A8"/>
    <w:rsid w:val="001211FE"/>
    <w:rsid w:val="0012147F"/>
    <w:rsid w:val="00121C82"/>
    <w:rsid w:val="0012291C"/>
    <w:rsid w:val="00130352"/>
    <w:rsid w:val="00130B37"/>
    <w:rsid w:val="00132CB8"/>
    <w:rsid w:val="00135812"/>
    <w:rsid w:val="00141431"/>
    <w:rsid w:val="00143C2C"/>
    <w:rsid w:val="00146527"/>
    <w:rsid w:val="0014661F"/>
    <w:rsid w:val="00146980"/>
    <w:rsid w:val="00150DD9"/>
    <w:rsid w:val="00151FEB"/>
    <w:rsid w:val="00152FB8"/>
    <w:rsid w:val="00154788"/>
    <w:rsid w:val="00154D21"/>
    <w:rsid w:val="00161CBD"/>
    <w:rsid w:val="00161FC9"/>
    <w:rsid w:val="00164E99"/>
    <w:rsid w:val="00165F60"/>
    <w:rsid w:val="001677BF"/>
    <w:rsid w:val="00167C27"/>
    <w:rsid w:val="001701AF"/>
    <w:rsid w:val="00170E0D"/>
    <w:rsid w:val="001724BD"/>
    <w:rsid w:val="00172B90"/>
    <w:rsid w:val="0017627B"/>
    <w:rsid w:val="0018005F"/>
    <w:rsid w:val="001806E4"/>
    <w:rsid w:val="001838D9"/>
    <w:rsid w:val="00184DFB"/>
    <w:rsid w:val="00185449"/>
    <w:rsid w:val="00186831"/>
    <w:rsid w:val="001870CA"/>
    <w:rsid w:val="00187FFB"/>
    <w:rsid w:val="001903BC"/>
    <w:rsid w:val="0019312E"/>
    <w:rsid w:val="00193C22"/>
    <w:rsid w:val="0019644A"/>
    <w:rsid w:val="00196806"/>
    <w:rsid w:val="0019693F"/>
    <w:rsid w:val="001A0060"/>
    <w:rsid w:val="001A0460"/>
    <w:rsid w:val="001A10D5"/>
    <w:rsid w:val="001A1319"/>
    <w:rsid w:val="001A1878"/>
    <w:rsid w:val="001A24C8"/>
    <w:rsid w:val="001A2546"/>
    <w:rsid w:val="001A29D4"/>
    <w:rsid w:val="001A55CA"/>
    <w:rsid w:val="001A6EB3"/>
    <w:rsid w:val="001A6F0B"/>
    <w:rsid w:val="001B3D71"/>
    <w:rsid w:val="001B4750"/>
    <w:rsid w:val="001B4B7D"/>
    <w:rsid w:val="001B51AE"/>
    <w:rsid w:val="001B7D4B"/>
    <w:rsid w:val="001C2D2B"/>
    <w:rsid w:val="001C3E77"/>
    <w:rsid w:val="001C4A34"/>
    <w:rsid w:val="001C5FE2"/>
    <w:rsid w:val="001D12CA"/>
    <w:rsid w:val="001D6E42"/>
    <w:rsid w:val="001E0190"/>
    <w:rsid w:val="001E33A3"/>
    <w:rsid w:val="001E4AAF"/>
    <w:rsid w:val="001E78B2"/>
    <w:rsid w:val="001E7EE5"/>
    <w:rsid w:val="001F1A1C"/>
    <w:rsid w:val="001F6EA6"/>
    <w:rsid w:val="001F6F15"/>
    <w:rsid w:val="001F74FF"/>
    <w:rsid w:val="002008D3"/>
    <w:rsid w:val="002020E4"/>
    <w:rsid w:val="00204112"/>
    <w:rsid w:val="0020491F"/>
    <w:rsid w:val="00204F3F"/>
    <w:rsid w:val="002065CF"/>
    <w:rsid w:val="002079A4"/>
    <w:rsid w:val="002100CE"/>
    <w:rsid w:val="0021100D"/>
    <w:rsid w:val="00212406"/>
    <w:rsid w:val="0021411D"/>
    <w:rsid w:val="0021428E"/>
    <w:rsid w:val="00214F1D"/>
    <w:rsid w:val="0021511D"/>
    <w:rsid w:val="00216A21"/>
    <w:rsid w:val="0022107F"/>
    <w:rsid w:val="00225E86"/>
    <w:rsid w:val="00227F7F"/>
    <w:rsid w:val="00230681"/>
    <w:rsid w:val="002314AE"/>
    <w:rsid w:val="00231A8B"/>
    <w:rsid w:val="00231C33"/>
    <w:rsid w:val="00231E2D"/>
    <w:rsid w:val="00235DE8"/>
    <w:rsid w:val="0023650C"/>
    <w:rsid w:val="00236E45"/>
    <w:rsid w:val="00237A3D"/>
    <w:rsid w:val="00240A26"/>
    <w:rsid w:val="002428F6"/>
    <w:rsid w:val="00244480"/>
    <w:rsid w:val="002447D7"/>
    <w:rsid w:val="00246CA3"/>
    <w:rsid w:val="00250623"/>
    <w:rsid w:val="002509CB"/>
    <w:rsid w:val="00251156"/>
    <w:rsid w:val="00252B13"/>
    <w:rsid w:val="002530C1"/>
    <w:rsid w:val="002542B3"/>
    <w:rsid w:val="002564E5"/>
    <w:rsid w:val="0025747F"/>
    <w:rsid w:val="00260998"/>
    <w:rsid w:val="002623EE"/>
    <w:rsid w:val="00262E65"/>
    <w:rsid w:val="00263850"/>
    <w:rsid w:val="002677A3"/>
    <w:rsid w:val="00273E03"/>
    <w:rsid w:val="00275D66"/>
    <w:rsid w:val="0027673A"/>
    <w:rsid w:val="002770D5"/>
    <w:rsid w:val="002774FA"/>
    <w:rsid w:val="00277C3A"/>
    <w:rsid w:val="0028220B"/>
    <w:rsid w:val="00292084"/>
    <w:rsid w:val="00292B7F"/>
    <w:rsid w:val="0029329C"/>
    <w:rsid w:val="002945D4"/>
    <w:rsid w:val="00294C83"/>
    <w:rsid w:val="00296C46"/>
    <w:rsid w:val="00296E50"/>
    <w:rsid w:val="00297484"/>
    <w:rsid w:val="002A13D1"/>
    <w:rsid w:val="002B1E26"/>
    <w:rsid w:val="002B21D7"/>
    <w:rsid w:val="002B30EF"/>
    <w:rsid w:val="002B5F12"/>
    <w:rsid w:val="002C003A"/>
    <w:rsid w:val="002C0799"/>
    <w:rsid w:val="002C183D"/>
    <w:rsid w:val="002C1D7F"/>
    <w:rsid w:val="002C1DD9"/>
    <w:rsid w:val="002C340E"/>
    <w:rsid w:val="002C3695"/>
    <w:rsid w:val="002C4094"/>
    <w:rsid w:val="002C45D5"/>
    <w:rsid w:val="002C45FE"/>
    <w:rsid w:val="002C5ACD"/>
    <w:rsid w:val="002C6C66"/>
    <w:rsid w:val="002D0340"/>
    <w:rsid w:val="002D146D"/>
    <w:rsid w:val="002D1E8F"/>
    <w:rsid w:val="002D520E"/>
    <w:rsid w:val="002E04CC"/>
    <w:rsid w:val="002E0A05"/>
    <w:rsid w:val="002E1B7C"/>
    <w:rsid w:val="002E2B90"/>
    <w:rsid w:val="002E2BB7"/>
    <w:rsid w:val="002E46E8"/>
    <w:rsid w:val="002E48A8"/>
    <w:rsid w:val="002E4E65"/>
    <w:rsid w:val="002E60E3"/>
    <w:rsid w:val="002F0E1F"/>
    <w:rsid w:val="002F3001"/>
    <w:rsid w:val="002F3904"/>
    <w:rsid w:val="002F55E0"/>
    <w:rsid w:val="0030132A"/>
    <w:rsid w:val="00301AED"/>
    <w:rsid w:val="00301D03"/>
    <w:rsid w:val="003034E9"/>
    <w:rsid w:val="003046BF"/>
    <w:rsid w:val="0030686F"/>
    <w:rsid w:val="003068F8"/>
    <w:rsid w:val="00311C45"/>
    <w:rsid w:val="00311CAC"/>
    <w:rsid w:val="003157FC"/>
    <w:rsid w:val="003168B1"/>
    <w:rsid w:val="00317290"/>
    <w:rsid w:val="00317575"/>
    <w:rsid w:val="00320EE8"/>
    <w:rsid w:val="00320EEB"/>
    <w:rsid w:val="0032499D"/>
    <w:rsid w:val="003251A8"/>
    <w:rsid w:val="00331685"/>
    <w:rsid w:val="0033199E"/>
    <w:rsid w:val="00331ADF"/>
    <w:rsid w:val="003456F7"/>
    <w:rsid w:val="0035265A"/>
    <w:rsid w:val="003537AC"/>
    <w:rsid w:val="003550AC"/>
    <w:rsid w:val="0035575F"/>
    <w:rsid w:val="00356F9D"/>
    <w:rsid w:val="00357D50"/>
    <w:rsid w:val="00360460"/>
    <w:rsid w:val="00360E4D"/>
    <w:rsid w:val="00361025"/>
    <w:rsid w:val="0036178D"/>
    <w:rsid w:val="00370D41"/>
    <w:rsid w:val="00371EF5"/>
    <w:rsid w:val="00372141"/>
    <w:rsid w:val="003725B9"/>
    <w:rsid w:val="00375DB4"/>
    <w:rsid w:val="00377F0C"/>
    <w:rsid w:val="00382F8D"/>
    <w:rsid w:val="0038423A"/>
    <w:rsid w:val="00384B9C"/>
    <w:rsid w:val="0038585A"/>
    <w:rsid w:val="0038593A"/>
    <w:rsid w:val="00385B87"/>
    <w:rsid w:val="00386864"/>
    <w:rsid w:val="00386ACA"/>
    <w:rsid w:val="00390210"/>
    <w:rsid w:val="00392309"/>
    <w:rsid w:val="0039295A"/>
    <w:rsid w:val="0039492B"/>
    <w:rsid w:val="00395E68"/>
    <w:rsid w:val="003975B8"/>
    <w:rsid w:val="003A12C2"/>
    <w:rsid w:val="003A2179"/>
    <w:rsid w:val="003A2546"/>
    <w:rsid w:val="003A31A9"/>
    <w:rsid w:val="003A46B2"/>
    <w:rsid w:val="003A5404"/>
    <w:rsid w:val="003A6D41"/>
    <w:rsid w:val="003B0836"/>
    <w:rsid w:val="003B27F2"/>
    <w:rsid w:val="003B2FD1"/>
    <w:rsid w:val="003B500D"/>
    <w:rsid w:val="003C1DCA"/>
    <w:rsid w:val="003C2F21"/>
    <w:rsid w:val="003C33D0"/>
    <w:rsid w:val="003C454F"/>
    <w:rsid w:val="003C468C"/>
    <w:rsid w:val="003C4869"/>
    <w:rsid w:val="003C60C8"/>
    <w:rsid w:val="003D0D10"/>
    <w:rsid w:val="003D0EAA"/>
    <w:rsid w:val="003D10DF"/>
    <w:rsid w:val="003D5144"/>
    <w:rsid w:val="003E5D0A"/>
    <w:rsid w:val="003E6883"/>
    <w:rsid w:val="003F0DCE"/>
    <w:rsid w:val="003F2D57"/>
    <w:rsid w:val="003F3C49"/>
    <w:rsid w:val="003F3E44"/>
    <w:rsid w:val="003F417C"/>
    <w:rsid w:val="003F57ED"/>
    <w:rsid w:val="003F6DE9"/>
    <w:rsid w:val="00400D4A"/>
    <w:rsid w:val="00402783"/>
    <w:rsid w:val="00402F18"/>
    <w:rsid w:val="00404BE8"/>
    <w:rsid w:val="00410ADF"/>
    <w:rsid w:val="00413859"/>
    <w:rsid w:val="00415317"/>
    <w:rsid w:val="00416F4D"/>
    <w:rsid w:val="004171F1"/>
    <w:rsid w:val="00417F9F"/>
    <w:rsid w:val="00420099"/>
    <w:rsid w:val="0042164E"/>
    <w:rsid w:val="00421955"/>
    <w:rsid w:val="004236BA"/>
    <w:rsid w:val="00423C6D"/>
    <w:rsid w:val="00424C84"/>
    <w:rsid w:val="00425969"/>
    <w:rsid w:val="004304A2"/>
    <w:rsid w:val="00430AC8"/>
    <w:rsid w:val="00430C82"/>
    <w:rsid w:val="004314E3"/>
    <w:rsid w:val="00431B75"/>
    <w:rsid w:val="00432461"/>
    <w:rsid w:val="00432525"/>
    <w:rsid w:val="00434EFA"/>
    <w:rsid w:val="00436059"/>
    <w:rsid w:val="00437287"/>
    <w:rsid w:val="00441785"/>
    <w:rsid w:val="00443DD2"/>
    <w:rsid w:val="00444716"/>
    <w:rsid w:val="00444BC0"/>
    <w:rsid w:val="004456A0"/>
    <w:rsid w:val="00446013"/>
    <w:rsid w:val="00446798"/>
    <w:rsid w:val="0044694E"/>
    <w:rsid w:val="00450611"/>
    <w:rsid w:val="004508BA"/>
    <w:rsid w:val="00451F6E"/>
    <w:rsid w:val="004552EE"/>
    <w:rsid w:val="004562FA"/>
    <w:rsid w:val="0046085E"/>
    <w:rsid w:val="00472D47"/>
    <w:rsid w:val="004730DF"/>
    <w:rsid w:val="00477F84"/>
    <w:rsid w:val="00484947"/>
    <w:rsid w:val="00484A30"/>
    <w:rsid w:val="00485B04"/>
    <w:rsid w:val="00487278"/>
    <w:rsid w:val="00493E3D"/>
    <w:rsid w:val="00494E6C"/>
    <w:rsid w:val="004972C4"/>
    <w:rsid w:val="00497BBF"/>
    <w:rsid w:val="004A13DF"/>
    <w:rsid w:val="004A1FCE"/>
    <w:rsid w:val="004A54B1"/>
    <w:rsid w:val="004A59E0"/>
    <w:rsid w:val="004A67CA"/>
    <w:rsid w:val="004A6C31"/>
    <w:rsid w:val="004B0989"/>
    <w:rsid w:val="004B18E3"/>
    <w:rsid w:val="004B34E2"/>
    <w:rsid w:val="004B68D3"/>
    <w:rsid w:val="004B6E3F"/>
    <w:rsid w:val="004B7000"/>
    <w:rsid w:val="004C0C07"/>
    <w:rsid w:val="004C1D29"/>
    <w:rsid w:val="004C1D41"/>
    <w:rsid w:val="004C3204"/>
    <w:rsid w:val="004D06B7"/>
    <w:rsid w:val="004D0D6E"/>
    <w:rsid w:val="004D1CBD"/>
    <w:rsid w:val="004D2F05"/>
    <w:rsid w:val="004D3392"/>
    <w:rsid w:val="004D3728"/>
    <w:rsid w:val="004D47C0"/>
    <w:rsid w:val="004D5611"/>
    <w:rsid w:val="004E32E0"/>
    <w:rsid w:val="004E36BC"/>
    <w:rsid w:val="004E4F35"/>
    <w:rsid w:val="004E6DBC"/>
    <w:rsid w:val="004E7EEA"/>
    <w:rsid w:val="004F1604"/>
    <w:rsid w:val="004F4709"/>
    <w:rsid w:val="004F4C8D"/>
    <w:rsid w:val="004F548B"/>
    <w:rsid w:val="005008AF"/>
    <w:rsid w:val="00502E6E"/>
    <w:rsid w:val="0050372E"/>
    <w:rsid w:val="00503A5C"/>
    <w:rsid w:val="005055DC"/>
    <w:rsid w:val="00506263"/>
    <w:rsid w:val="00506626"/>
    <w:rsid w:val="00507655"/>
    <w:rsid w:val="00507672"/>
    <w:rsid w:val="00510C27"/>
    <w:rsid w:val="00511A1C"/>
    <w:rsid w:val="005120A1"/>
    <w:rsid w:val="0051238B"/>
    <w:rsid w:val="005131A9"/>
    <w:rsid w:val="00513AF5"/>
    <w:rsid w:val="00515056"/>
    <w:rsid w:val="00515E34"/>
    <w:rsid w:val="00516B59"/>
    <w:rsid w:val="00523C72"/>
    <w:rsid w:val="00523E29"/>
    <w:rsid w:val="00524184"/>
    <w:rsid w:val="00526F8A"/>
    <w:rsid w:val="005305E9"/>
    <w:rsid w:val="005316BD"/>
    <w:rsid w:val="00535C0B"/>
    <w:rsid w:val="00536455"/>
    <w:rsid w:val="00536A7B"/>
    <w:rsid w:val="00537A02"/>
    <w:rsid w:val="0055010F"/>
    <w:rsid w:val="005506D0"/>
    <w:rsid w:val="00552403"/>
    <w:rsid w:val="00554804"/>
    <w:rsid w:val="005564CB"/>
    <w:rsid w:val="00556E53"/>
    <w:rsid w:val="00561392"/>
    <w:rsid w:val="00561A42"/>
    <w:rsid w:val="00562B79"/>
    <w:rsid w:val="005669DA"/>
    <w:rsid w:val="005711FC"/>
    <w:rsid w:val="00574546"/>
    <w:rsid w:val="00581F9F"/>
    <w:rsid w:val="00582A84"/>
    <w:rsid w:val="00582DE8"/>
    <w:rsid w:val="00584094"/>
    <w:rsid w:val="00585D1F"/>
    <w:rsid w:val="00587955"/>
    <w:rsid w:val="00587B96"/>
    <w:rsid w:val="0059468B"/>
    <w:rsid w:val="0059472A"/>
    <w:rsid w:val="00597F8E"/>
    <w:rsid w:val="005A1675"/>
    <w:rsid w:val="005A5231"/>
    <w:rsid w:val="005B1565"/>
    <w:rsid w:val="005B1B8E"/>
    <w:rsid w:val="005C62B2"/>
    <w:rsid w:val="005C79C4"/>
    <w:rsid w:val="005D0380"/>
    <w:rsid w:val="005D163E"/>
    <w:rsid w:val="005D1A38"/>
    <w:rsid w:val="005D1B65"/>
    <w:rsid w:val="005D1F38"/>
    <w:rsid w:val="005D2325"/>
    <w:rsid w:val="005D2C1A"/>
    <w:rsid w:val="005D3335"/>
    <w:rsid w:val="005D5367"/>
    <w:rsid w:val="005E43FD"/>
    <w:rsid w:val="005E4BB2"/>
    <w:rsid w:val="005E51D2"/>
    <w:rsid w:val="005E6601"/>
    <w:rsid w:val="005F1385"/>
    <w:rsid w:val="005F22F8"/>
    <w:rsid w:val="005F27CD"/>
    <w:rsid w:val="005F2E74"/>
    <w:rsid w:val="005F3B2E"/>
    <w:rsid w:val="005F46C7"/>
    <w:rsid w:val="005F551E"/>
    <w:rsid w:val="005F6D2E"/>
    <w:rsid w:val="005F7351"/>
    <w:rsid w:val="00600376"/>
    <w:rsid w:val="00602C87"/>
    <w:rsid w:val="00602D12"/>
    <w:rsid w:val="0060553B"/>
    <w:rsid w:val="006058AB"/>
    <w:rsid w:val="00607376"/>
    <w:rsid w:val="006075CD"/>
    <w:rsid w:val="006078C1"/>
    <w:rsid w:val="00607D5A"/>
    <w:rsid w:val="00607E0A"/>
    <w:rsid w:val="00620A9C"/>
    <w:rsid w:val="00621943"/>
    <w:rsid w:val="006229D3"/>
    <w:rsid w:val="00624567"/>
    <w:rsid w:val="00624F88"/>
    <w:rsid w:val="006266F6"/>
    <w:rsid w:val="00627A16"/>
    <w:rsid w:val="006303BA"/>
    <w:rsid w:val="00631616"/>
    <w:rsid w:val="006316FD"/>
    <w:rsid w:val="006319E4"/>
    <w:rsid w:val="00632472"/>
    <w:rsid w:val="00636BE3"/>
    <w:rsid w:val="0064013D"/>
    <w:rsid w:val="006420E2"/>
    <w:rsid w:val="00643066"/>
    <w:rsid w:val="006440E5"/>
    <w:rsid w:val="00644829"/>
    <w:rsid w:val="00644BBC"/>
    <w:rsid w:val="00645D85"/>
    <w:rsid w:val="00647A9A"/>
    <w:rsid w:val="006500F5"/>
    <w:rsid w:val="0065581D"/>
    <w:rsid w:val="006563A5"/>
    <w:rsid w:val="006563BF"/>
    <w:rsid w:val="0065681F"/>
    <w:rsid w:val="0066179D"/>
    <w:rsid w:val="00661815"/>
    <w:rsid w:val="0066545D"/>
    <w:rsid w:val="00666FBD"/>
    <w:rsid w:val="006674C2"/>
    <w:rsid w:val="00670883"/>
    <w:rsid w:val="006710BE"/>
    <w:rsid w:val="00672B84"/>
    <w:rsid w:val="00674CB0"/>
    <w:rsid w:val="00674E4C"/>
    <w:rsid w:val="00677119"/>
    <w:rsid w:val="0067735D"/>
    <w:rsid w:val="00682C00"/>
    <w:rsid w:val="00685369"/>
    <w:rsid w:val="00693766"/>
    <w:rsid w:val="00695427"/>
    <w:rsid w:val="0069614E"/>
    <w:rsid w:val="006A053C"/>
    <w:rsid w:val="006A6CAC"/>
    <w:rsid w:val="006B0F3A"/>
    <w:rsid w:val="006B1AC1"/>
    <w:rsid w:val="006B43FB"/>
    <w:rsid w:val="006B4EB0"/>
    <w:rsid w:val="006B5940"/>
    <w:rsid w:val="006B5E0E"/>
    <w:rsid w:val="006C0104"/>
    <w:rsid w:val="006C41DD"/>
    <w:rsid w:val="006C51C5"/>
    <w:rsid w:val="006D0207"/>
    <w:rsid w:val="006D04B8"/>
    <w:rsid w:val="006D12BE"/>
    <w:rsid w:val="006D3F8A"/>
    <w:rsid w:val="006D4C62"/>
    <w:rsid w:val="006E1144"/>
    <w:rsid w:val="006E4E20"/>
    <w:rsid w:val="006E5A0B"/>
    <w:rsid w:val="006E7221"/>
    <w:rsid w:val="006E772E"/>
    <w:rsid w:val="006F0C43"/>
    <w:rsid w:val="006F20F4"/>
    <w:rsid w:val="006F388B"/>
    <w:rsid w:val="006F3AE9"/>
    <w:rsid w:val="006F3C11"/>
    <w:rsid w:val="006F50D9"/>
    <w:rsid w:val="00701B30"/>
    <w:rsid w:val="00702706"/>
    <w:rsid w:val="00704EA9"/>
    <w:rsid w:val="00706047"/>
    <w:rsid w:val="007110A8"/>
    <w:rsid w:val="00712003"/>
    <w:rsid w:val="00713879"/>
    <w:rsid w:val="00720088"/>
    <w:rsid w:val="007200AE"/>
    <w:rsid w:val="00720138"/>
    <w:rsid w:val="0072050F"/>
    <w:rsid w:val="00720927"/>
    <w:rsid w:val="00720A69"/>
    <w:rsid w:val="00720C86"/>
    <w:rsid w:val="00722799"/>
    <w:rsid w:val="00726831"/>
    <w:rsid w:val="0073014C"/>
    <w:rsid w:val="00731889"/>
    <w:rsid w:val="0073515C"/>
    <w:rsid w:val="007354A7"/>
    <w:rsid w:val="00736E10"/>
    <w:rsid w:val="007374B9"/>
    <w:rsid w:val="007376AA"/>
    <w:rsid w:val="00737B98"/>
    <w:rsid w:val="00740C91"/>
    <w:rsid w:val="007413A5"/>
    <w:rsid w:val="00746240"/>
    <w:rsid w:val="007506A9"/>
    <w:rsid w:val="00752DF7"/>
    <w:rsid w:val="007542EE"/>
    <w:rsid w:val="0075577A"/>
    <w:rsid w:val="00763709"/>
    <w:rsid w:val="00763F66"/>
    <w:rsid w:val="007651A9"/>
    <w:rsid w:val="007659A3"/>
    <w:rsid w:val="00765B26"/>
    <w:rsid w:val="00766237"/>
    <w:rsid w:val="00770F83"/>
    <w:rsid w:val="0077325D"/>
    <w:rsid w:val="00773285"/>
    <w:rsid w:val="00773433"/>
    <w:rsid w:val="0077387A"/>
    <w:rsid w:val="00775B09"/>
    <w:rsid w:val="0077626C"/>
    <w:rsid w:val="0077729C"/>
    <w:rsid w:val="00781A8C"/>
    <w:rsid w:val="0078406B"/>
    <w:rsid w:val="00784C42"/>
    <w:rsid w:val="007854EC"/>
    <w:rsid w:val="007867D8"/>
    <w:rsid w:val="00787218"/>
    <w:rsid w:val="00787306"/>
    <w:rsid w:val="00787FD6"/>
    <w:rsid w:val="0079148A"/>
    <w:rsid w:val="00791CDE"/>
    <w:rsid w:val="007941AF"/>
    <w:rsid w:val="00794ABC"/>
    <w:rsid w:val="007968ED"/>
    <w:rsid w:val="00796999"/>
    <w:rsid w:val="007A4143"/>
    <w:rsid w:val="007A5051"/>
    <w:rsid w:val="007A527E"/>
    <w:rsid w:val="007B057A"/>
    <w:rsid w:val="007B300E"/>
    <w:rsid w:val="007B30C4"/>
    <w:rsid w:val="007B4B64"/>
    <w:rsid w:val="007B72C7"/>
    <w:rsid w:val="007C00EC"/>
    <w:rsid w:val="007C2A3D"/>
    <w:rsid w:val="007C349B"/>
    <w:rsid w:val="007C383A"/>
    <w:rsid w:val="007C42E4"/>
    <w:rsid w:val="007C79E2"/>
    <w:rsid w:val="007D0A13"/>
    <w:rsid w:val="007D26E1"/>
    <w:rsid w:val="007D562C"/>
    <w:rsid w:val="007D5C4A"/>
    <w:rsid w:val="007E14CD"/>
    <w:rsid w:val="007E14FD"/>
    <w:rsid w:val="007E24E7"/>
    <w:rsid w:val="007E6B35"/>
    <w:rsid w:val="007F0262"/>
    <w:rsid w:val="007F0C9A"/>
    <w:rsid w:val="007F1F5D"/>
    <w:rsid w:val="007F4036"/>
    <w:rsid w:val="007F5B7C"/>
    <w:rsid w:val="007F5E92"/>
    <w:rsid w:val="008001DA"/>
    <w:rsid w:val="00800762"/>
    <w:rsid w:val="00802BAE"/>
    <w:rsid w:val="00802EAF"/>
    <w:rsid w:val="00803F45"/>
    <w:rsid w:val="008051EC"/>
    <w:rsid w:val="00805FF3"/>
    <w:rsid w:val="0081343A"/>
    <w:rsid w:val="00813D2B"/>
    <w:rsid w:val="00816409"/>
    <w:rsid w:val="008168F5"/>
    <w:rsid w:val="00817FB5"/>
    <w:rsid w:val="00821429"/>
    <w:rsid w:val="00824403"/>
    <w:rsid w:val="0083181E"/>
    <w:rsid w:val="00837A24"/>
    <w:rsid w:val="0084445A"/>
    <w:rsid w:val="00845945"/>
    <w:rsid w:val="00846B58"/>
    <w:rsid w:val="00846C1B"/>
    <w:rsid w:val="00846ED3"/>
    <w:rsid w:val="00853448"/>
    <w:rsid w:val="0085706B"/>
    <w:rsid w:val="00863E19"/>
    <w:rsid w:val="00865A6E"/>
    <w:rsid w:val="008669D6"/>
    <w:rsid w:val="00870D0D"/>
    <w:rsid w:val="008725CD"/>
    <w:rsid w:val="00873F2A"/>
    <w:rsid w:val="0087417E"/>
    <w:rsid w:val="00874565"/>
    <w:rsid w:val="00874CD0"/>
    <w:rsid w:val="00877A7F"/>
    <w:rsid w:val="008825E3"/>
    <w:rsid w:val="00883ED8"/>
    <w:rsid w:val="0088465B"/>
    <w:rsid w:val="00891917"/>
    <w:rsid w:val="00891D96"/>
    <w:rsid w:val="00892DD2"/>
    <w:rsid w:val="0089339A"/>
    <w:rsid w:val="00893E23"/>
    <w:rsid w:val="00894E38"/>
    <w:rsid w:val="00896871"/>
    <w:rsid w:val="00897162"/>
    <w:rsid w:val="008A1010"/>
    <w:rsid w:val="008A3319"/>
    <w:rsid w:val="008A35DA"/>
    <w:rsid w:val="008A3F3E"/>
    <w:rsid w:val="008A6C44"/>
    <w:rsid w:val="008B1125"/>
    <w:rsid w:val="008B1170"/>
    <w:rsid w:val="008B16F0"/>
    <w:rsid w:val="008B2F1E"/>
    <w:rsid w:val="008B5C5C"/>
    <w:rsid w:val="008B62AD"/>
    <w:rsid w:val="008B77E0"/>
    <w:rsid w:val="008C0C87"/>
    <w:rsid w:val="008C3882"/>
    <w:rsid w:val="008D0695"/>
    <w:rsid w:val="008D1532"/>
    <w:rsid w:val="008D34AF"/>
    <w:rsid w:val="008E0555"/>
    <w:rsid w:val="008E0CC7"/>
    <w:rsid w:val="008E6374"/>
    <w:rsid w:val="008F1127"/>
    <w:rsid w:val="008F1B4D"/>
    <w:rsid w:val="008F21B3"/>
    <w:rsid w:val="00900920"/>
    <w:rsid w:val="009038E2"/>
    <w:rsid w:val="00904A78"/>
    <w:rsid w:val="00905D1E"/>
    <w:rsid w:val="00906B61"/>
    <w:rsid w:val="009078F4"/>
    <w:rsid w:val="00907B45"/>
    <w:rsid w:val="00912E82"/>
    <w:rsid w:val="00913E75"/>
    <w:rsid w:val="009153A3"/>
    <w:rsid w:val="00921FC1"/>
    <w:rsid w:val="00922D1A"/>
    <w:rsid w:val="0092470A"/>
    <w:rsid w:val="0092530B"/>
    <w:rsid w:val="00927868"/>
    <w:rsid w:val="00932820"/>
    <w:rsid w:val="0093400C"/>
    <w:rsid w:val="00934678"/>
    <w:rsid w:val="00937124"/>
    <w:rsid w:val="0093734F"/>
    <w:rsid w:val="0094248D"/>
    <w:rsid w:val="00942551"/>
    <w:rsid w:val="00943157"/>
    <w:rsid w:val="00950240"/>
    <w:rsid w:val="00950420"/>
    <w:rsid w:val="0095091D"/>
    <w:rsid w:val="009516ED"/>
    <w:rsid w:val="00951FEE"/>
    <w:rsid w:val="0095398F"/>
    <w:rsid w:val="00953ED8"/>
    <w:rsid w:val="009540F4"/>
    <w:rsid w:val="00954D84"/>
    <w:rsid w:val="00957D84"/>
    <w:rsid w:val="00960DBE"/>
    <w:rsid w:val="00961553"/>
    <w:rsid w:val="009635B7"/>
    <w:rsid w:val="0096740F"/>
    <w:rsid w:val="00967A6C"/>
    <w:rsid w:val="00970AC9"/>
    <w:rsid w:val="00970D17"/>
    <w:rsid w:val="00970FD3"/>
    <w:rsid w:val="00973526"/>
    <w:rsid w:val="00974894"/>
    <w:rsid w:val="009773EA"/>
    <w:rsid w:val="0098041A"/>
    <w:rsid w:val="00980D81"/>
    <w:rsid w:val="009832DA"/>
    <w:rsid w:val="00983428"/>
    <w:rsid w:val="00983F55"/>
    <w:rsid w:val="0098447B"/>
    <w:rsid w:val="00984DDA"/>
    <w:rsid w:val="00985796"/>
    <w:rsid w:val="00985BE1"/>
    <w:rsid w:val="00991ADF"/>
    <w:rsid w:val="00995BB1"/>
    <w:rsid w:val="009A0A40"/>
    <w:rsid w:val="009A4961"/>
    <w:rsid w:val="009A543E"/>
    <w:rsid w:val="009A69C8"/>
    <w:rsid w:val="009A7DDB"/>
    <w:rsid w:val="009B04BA"/>
    <w:rsid w:val="009B0C4C"/>
    <w:rsid w:val="009B0D80"/>
    <w:rsid w:val="009B133E"/>
    <w:rsid w:val="009B1B1E"/>
    <w:rsid w:val="009B34B4"/>
    <w:rsid w:val="009B3505"/>
    <w:rsid w:val="009B579A"/>
    <w:rsid w:val="009C05CD"/>
    <w:rsid w:val="009C296F"/>
    <w:rsid w:val="009C3144"/>
    <w:rsid w:val="009C52B8"/>
    <w:rsid w:val="009C78FE"/>
    <w:rsid w:val="009D0020"/>
    <w:rsid w:val="009D3C52"/>
    <w:rsid w:val="009D63A4"/>
    <w:rsid w:val="009E248B"/>
    <w:rsid w:val="009E5060"/>
    <w:rsid w:val="009E6204"/>
    <w:rsid w:val="009F466B"/>
    <w:rsid w:val="009F5576"/>
    <w:rsid w:val="00A003AB"/>
    <w:rsid w:val="00A010F2"/>
    <w:rsid w:val="00A041E7"/>
    <w:rsid w:val="00A04D01"/>
    <w:rsid w:val="00A055C4"/>
    <w:rsid w:val="00A0574F"/>
    <w:rsid w:val="00A05E6E"/>
    <w:rsid w:val="00A06C20"/>
    <w:rsid w:val="00A06C5B"/>
    <w:rsid w:val="00A06CAD"/>
    <w:rsid w:val="00A14817"/>
    <w:rsid w:val="00A15557"/>
    <w:rsid w:val="00A157A0"/>
    <w:rsid w:val="00A16468"/>
    <w:rsid w:val="00A164CF"/>
    <w:rsid w:val="00A2120A"/>
    <w:rsid w:val="00A2336E"/>
    <w:rsid w:val="00A24C8E"/>
    <w:rsid w:val="00A33D49"/>
    <w:rsid w:val="00A3708D"/>
    <w:rsid w:val="00A37B34"/>
    <w:rsid w:val="00A42FB3"/>
    <w:rsid w:val="00A4757F"/>
    <w:rsid w:val="00A51645"/>
    <w:rsid w:val="00A53114"/>
    <w:rsid w:val="00A53823"/>
    <w:rsid w:val="00A56062"/>
    <w:rsid w:val="00A569B4"/>
    <w:rsid w:val="00A5754D"/>
    <w:rsid w:val="00A600A4"/>
    <w:rsid w:val="00A60BBD"/>
    <w:rsid w:val="00A60E18"/>
    <w:rsid w:val="00A6372A"/>
    <w:rsid w:val="00A64731"/>
    <w:rsid w:val="00A6653B"/>
    <w:rsid w:val="00A66554"/>
    <w:rsid w:val="00A747BC"/>
    <w:rsid w:val="00A75179"/>
    <w:rsid w:val="00A76752"/>
    <w:rsid w:val="00A800C2"/>
    <w:rsid w:val="00A82932"/>
    <w:rsid w:val="00A82DCD"/>
    <w:rsid w:val="00A82FF8"/>
    <w:rsid w:val="00A835EE"/>
    <w:rsid w:val="00A853FB"/>
    <w:rsid w:val="00A92823"/>
    <w:rsid w:val="00A92D70"/>
    <w:rsid w:val="00A935C1"/>
    <w:rsid w:val="00A95DA4"/>
    <w:rsid w:val="00A965D0"/>
    <w:rsid w:val="00AA0642"/>
    <w:rsid w:val="00AA3063"/>
    <w:rsid w:val="00AA4935"/>
    <w:rsid w:val="00AA5613"/>
    <w:rsid w:val="00AB0AF5"/>
    <w:rsid w:val="00AB2C65"/>
    <w:rsid w:val="00AC11FB"/>
    <w:rsid w:val="00AC1CBC"/>
    <w:rsid w:val="00AC1D34"/>
    <w:rsid w:val="00AC4B73"/>
    <w:rsid w:val="00AD114F"/>
    <w:rsid w:val="00AD2863"/>
    <w:rsid w:val="00AD32AF"/>
    <w:rsid w:val="00AD43CA"/>
    <w:rsid w:val="00AD48AE"/>
    <w:rsid w:val="00AD62C6"/>
    <w:rsid w:val="00AD693E"/>
    <w:rsid w:val="00AE1194"/>
    <w:rsid w:val="00AE14F4"/>
    <w:rsid w:val="00AE1D04"/>
    <w:rsid w:val="00AE2C27"/>
    <w:rsid w:val="00AE4DA3"/>
    <w:rsid w:val="00AE77E7"/>
    <w:rsid w:val="00AF0386"/>
    <w:rsid w:val="00AF0931"/>
    <w:rsid w:val="00AF1451"/>
    <w:rsid w:val="00AF392E"/>
    <w:rsid w:val="00AF4A2F"/>
    <w:rsid w:val="00AF5D52"/>
    <w:rsid w:val="00AF70B9"/>
    <w:rsid w:val="00B00CF0"/>
    <w:rsid w:val="00B00E71"/>
    <w:rsid w:val="00B02B4B"/>
    <w:rsid w:val="00B04090"/>
    <w:rsid w:val="00B07787"/>
    <w:rsid w:val="00B11579"/>
    <w:rsid w:val="00B122EF"/>
    <w:rsid w:val="00B12348"/>
    <w:rsid w:val="00B15FA0"/>
    <w:rsid w:val="00B2076A"/>
    <w:rsid w:val="00B2104B"/>
    <w:rsid w:val="00B2216E"/>
    <w:rsid w:val="00B23651"/>
    <w:rsid w:val="00B24670"/>
    <w:rsid w:val="00B26592"/>
    <w:rsid w:val="00B30004"/>
    <w:rsid w:val="00B30854"/>
    <w:rsid w:val="00B30F90"/>
    <w:rsid w:val="00B3127B"/>
    <w:rsid w:val="00B332BC"/>
    <w:rsid w:val="00B33505"/>
    <w:rsid w:val="00B343FC"/>
    <w:rsid w:val="00B346DF"/>
    <w:rsid w:val="00B34E20"/>
    <w:rsid w:val="00B3735E"/>
    <w:rsid w:val="00B37913"/>
    <w:rsid w:val="00B408F9"/>
    <w:rsid w:val="00B417E6"/>
    <w:rsid w:val="00B41AF5"/>
    <w:rsid w:val="00B431E9"/>
    <w:rsid w:val="00B44594"/>
    <w:rsid w:val="00B45241"/>
    <w:rsid w:val="00B47E94"/>
    <w:rsid w:val="00B50525"/>
    <w:rsid w:val="00B5080A"/>
    <w:rsid w:val="00B51446"/>
    <w:rsid w:val="00B51795"/>
    <w:rsid w:val="00B5193B"/>
    <w:rsid w:val="00B52432"/>
    <w:rsid w:val="00B54582"/>
    <w:rsid w:val="00B54D3A"/>
    <w:rsid w:val="00B55976"/>
    <w:rsid w:val="00B60D22"/>
    <w:rsid w:val="00B618AA"/>
    <w:rsid w:val="00B61F02"/>
    <w:rsid w:val="00B62C88"/>
    <w:rsid w:val="00B62DC6"/>
    <w:rsid w:val="00B63003"/>
    <w:rsid w:val="00B6553F"/>
    <w:rsid w:val="00B6734A"/>
    <w:rsid w:val="00B67648"/>
    <w:rsid w:val="00B73088"/>
    <w:rsid w:val="00B765A4"/>
    <w:rsid w:val="00B76F8E"/>
    <w:rsid w:val="00B77249"/>
    <w:rsid w:val="00B7750D"/>
    <w:rsid w:val="00B80D50"/>
    <w:rsid w:val="00B85593"/>
    <w:rsid w:val="00B86557"/>
    <w:rsid w:val="00B87489"/>
    <w:rsid w:val="00B9024B"/>
    <w:rsid w:val="00B9063C"/>
    <w:rsid w:val="00B91FFD"/>
    <w:rsid w:val="00B9278C"/>
    <w:rsid w:val="00B929A7"/>
    <w:rsid w:val="00B92B5E"/>
    <w:rsid w:val="00B94728"/>
    <w:rsid w:val="00B94C1E"/>
    <w:rsid w:val="00B96213"/>
    <w:rsid w:val="00BA15AA"/>
    <w:rsid w:val="00BA206F"/>
    <w:rsid w:val="00BA59C3"/>
    <w:rsid w:val="00BA6B8F"/>
    <w:rsid w:val="00BA6E54"/>
    <w:rsid w:val="00BA7D49"/>
    <w:rsid w:val="00BB0489"/>
    <w:rsid w:val="00BB1DCB"/>
    <w:rsid w:val="00BB354F"/>
    <w:rsid w:val="00BB3D93"/>
    <w:rsid w:val="00BB5319"/>
    <w:rsid w:val="00BB5B42"/>
    <w:rsid w:val="00BB60D8"/>
    <w:rsid w:val="00BC27C2"/>
    <w:rsid w:val="00BC3BE8"/>
    <w:rsid w:val="00BC648A"/>
    <w:rsid w:val="00BC735F"/>
    <w:rsid w:val="00BC754C"/>
    <w:rsid w:val="00BD5064"/>
    <w:rsid w:val="00BD5BBB"/>
    <w:rsid w:val="00BD7EC5"/>
    <w:rsid w:val="00BE00EB"/>
    <w:rsid w:val="00BE12D4"/>
    <w:rsid w:val="00BE1835"/>
    <w:rsid w:val="00BE1839"/>
    <w:rsid w:val="00BE2690"/>
    <w:rsid w:val="00BE3249"/>
    <w:rsid w:val="00BE380F"/>
    <w:rsid w:val="00BE4ECF"/>
    <w:rsid w:val="00BE79A5"/>
    <w:rsid w:val="00BF15B8"/>
    <w:rsid w:val="00BF1687"/>
    <w:rsid w:val="00BF22C1"/>
    <w:rsid w:val="00BF7525"/>
    <w:rsid w:val="00BF7E50"/>
    <w:rsid w:val="00C00803"/>
    <w:rsid w:val="00C00C77"/>
    <w:rsid w:val="00C01479"/>
    <w:rsid w:val="00C0166F"/>
    <w:rsid w:val="00C02381"/>
    <w:rsid w:val="00C0388F"/>
    <w:rsid w:val="00C0399B"/>
    <w:rsid w:val="00C04B75"/>
    <w:rsid w:val="00C05C1A"/>
    <w:rsid w:val="00C05E51"/>
    <w:rsid w:val="00C12340"/>
    <w:rsid w:val="00C12618"/>
    <w:rsid w:val="00C14DB9"/>
    <w:rsid w:val="00C20C3B"/>
    <w:rsid w:val="00C21049"/>
    <w:rsid w:val="00C21C62"/>
    <w:rsid w:val="00C227F3"/>
    <w:rsid w:val="00C24F8B"/>
    <w:rsid w:val="00C27C79"/>
    <w:rsid w:val="00C30C52"/>
    <w:rsid w:val="00C327B5"/>
    <w:rsid w:val="00C34E5E"/>
    <w:rsid w:val="00C45CBA"/>
    <w:rsid w:val="00C5131D"/>
    <w:rsid w:val="00C52A08"/>
    <w:rsid w:val="00C53AE5"/>
    <w:rsid w:val="00C54641"/>
    <w:rsid w:val="00C5481F"/>
    <w:rsid w:val="00C573B0"/>
    <w:rsid w:val="00C60448"/>
    <w:rsid w:val="00C61FFB"/>
    <w:rsid w:val="00C62ECA"/>
    <w:rsid w:val="00C63F16"/>
    <w:rsid w:val="00C67C45"/>
    <w:rsid w:val="00C70F79"/>
    <w:rsid w:val="00C71259"/>
    <w:rsid w:val="00C71ADB"/>
    <w:rsid w:val="00C73707"/>
    <w:rsid w:val="00C738B6"/>
    <w:rsid w:val="00C73AEA"/>
    <w:rsid w:val="00C753CC"/>
    <w:rsid w:val="00C80152"/>
    <w:rsid w:val="00C806AF"/>
    <w:rsid w:val="00C82CD9"/>
    <w:rsid w:val="00C86726"/>
    <w:rsid w:val="00C86FA1"/>
    <w:rsid w:val="00C936B1"/>
    <w:rsid w:val="00C9418C"/>
    <w:rsid w:val="00C94379"/>
    <w:rsid w:val="00C94A7D"/>
    <w:rsid w:val="00C957BB"/>
    <w:rsid w:val="00C96240"/>
    <w:rsid w:val="00C96C0A"/>
    <w:rsid w:val="00C96E46"/>
    <w:rsid w:val="00CA255A"/>
    <w:rsid w:val="00CA31FD"/>
    <w:rsid w:val="00CB063D"/>
    <w:rsid w:val="00CB06CB"/>
    <w:rsid w:val="00CB0BE7"/>
    <w:rsid w:val="00CB0FF3"/>
    <w:rsid w:val="00CB1131"/>
    <w:rsid w:val="00CB3EFD"/>
    <w:rsid w:val="00CB563A"/>
    <w:rsid w:val="00CB5B80"/>
    <w:rsid w:val="00CB5C17"/>
    <w:rsid w:val="00CB5CCC"/>
    <w:rsid w:val="00CB74D4"/>
    <w:rsid w:val="00CC10E9"/>
    <w:rsid w:val="00CC15E8"/>
    <w:rsid w:val="00CC36FA"/>
    <w:rsid w:val="00CC45A3"/>
    <w:rsid w:val="00CC4A3F"/>
    <w:rsid w:val="00CC5EF6"/>
    <w:rsid w:val="00CC6466"/>
    <w:rsid w:val="00CD610B"/>
    <w:rsid w:val="00CE0B73"/>
    <w:rsid w:val="00CE18F9"/>
    <w:rsid w:val="00CE1DAB"/>
    <w:rsid w:val="00CE2EF7"/>
    <w:rsid w:val="00CE4167"/>
    <w:rsid w:val="00CE416A"/>
    <w:rsid w:val="00CE6AD0"/>
    <w:rsid w:val="00CF0693"/>
    <w:rsid w:val="00CF202E"/>
    <w:rsid w:val="00CF2378"/>
    <w:rsid w:val="00CF3E55"/>
    <w:rsid w:val="00CF572A"/>
    <w:rsid w:val="00D019F0"/>
    <w:rsid w:val="00D01E49"/>
    <w:rsid w:val="00D03560"/>
    <w:rsid w:val="00D043B2"/>
    <w:rsid w:val="00D0561C"/>
    <w:rsid w:val="00D0572B"/>
    <w:rsid w:val="00D05759"/>
    <w:rsid w:val="00D0759B"/>
    <w:rsid w:val="00D07E92"/>
    <w:rsid w:val="00D134B8"/>
    <w:rsid w:val="00D13995"/>
    <w:rsid w:val="00D16F07"/>
    <w:rsid w:val="00D20164"/>
    <w:rsid w:val="00D2195A"/>
    <w:rsid w:val="00D23794"/>
    <w:rsid w:val="00D23CDD"/>
    <w:rsid w:val="00D242BF"/>
    <w:rsid w:val="00D2433D"/>
    <w:rsid w:val="00D25E95"/>
    <w:rsid w:val="00D30151"/>
    <w:rsid w:val="00D30F54"/>
    <w:rsid w:val="00D37E97"/>
    <w:rsid w:val="00D40FA5"/>
    <w:rsid w:val="00D41069"/>
    <w:rsid w:val="00D46AF0"/>
    <w:rsid w:val="00D47AFC"/>
    <w:rsid w:val="00D50354"/>
    <w:rsid w:val="00D50BD3"/>
    <w:rsid w:val="00D51B6E"/>
    <w:rsid w:val="00D5240E"/>
    <w:rsid w:val="00D55C01"/>
    <w:rsid w:val="00D5690F"/>
    <w:rsid w:val="00D57DF4"/>
    <w:rsid w:val="00D6189A"/>
    <w:rsid w:val="00D6259D"/>
    <w:rsid w:val="00D62856"/>
    <w:rsid w:val="00D62B4E"/>
    <w:rsid w:val="00D62E42"/>
    <w:rsid w:val="00D637DC"/>
    <w:rsid w:val="00D655E4"/>
    <w:rsid w:val="00D66443"/>
    <w:rsid w:val="00D665F5"/>
    <w:rsid w:val="00D6738D"/>
    <w:rsid w:val="00D70016"/>
    <w:rsid w:val="00D7083F"/>
    <w:rsid w:val="00D71BCA"/>
    <w:rsid w:val="00D7383C"/>
    <w:rsid w:val="00D74F8A"/>
    <w:rsid w:val="00D80CA1"/>
    <w:rsid w:val="00D81640"/>
    <w:rsid w:val="00D858FD"/>
    <w:rsid w:val="00D86D41"/>
    <w:rsid w:val="00D877C1"/>
    <w:rsid w:val="00D93055"/>
    <w:rsid w:val="00D952F6"/>
    <w:rsid w:val="00D96D69"/>
    <w:rsid w:val="00DA4133"/>
    <w:rsid w:val="00DA6A28"/>
    <w:rsid w:val="00DA751C"/>
    <w:rsid w:val="00DB479F"/>
    <w:rsid w:val="00DB6E8E"/>
    <w:rsid w:val="00DC2E07"/>
    <w:rsid w:val="00DC3024"/>
    <w:rsid w:val="00DC373A"/>
    <w:rsid w:val="00DC4BF4"/>
    <w:rsid w:val="00DC4D60"/>
    <w:rsid w:val="00DC72E8"/>
    <w:rsid w:val="00DC796B"/>
    <w:rsid w:val="00DD1E61"/>
    <w:rsid w:val="00DD2D72"/>
    <w:rsid w:val="00DE5728"/>
    <w:rsid w:val="00DF1AB9"/>
    <w:rsid w:val="00DF296F"/>
    <w:rsid w:val="00DF52C0"/>
    <w:rsid w:val="00DF5B20"/>
    <w:rsid w:val="00DF67ED"/>
    <w:rsid w:val="00E0019F"/>
    <w:rsid w:val="00E04A15"/>
    <w:rsid w:val="00E056F4"/>
    <w:rsid w:val="00E058A5"/>
    <w:rsid w:val="00E1030E"/>
    <w:rsid w:val="00E10626"/>
    <w:rsid w:val="00E11B52"/>
    <w:rsid w:val="00E12474"/>
    <w:rsid w:val="00E125FF"/>
    <w:rsid w:val="00E13356"/>
    <w:rsid w:val="00E143B0"/>
    <w:rsid w:val="00E20AAA"/>
    <w:rsid w:val="00E22941"/>
    <w:rsid w:val="00E22BC8"/>
    <w:rsid w:val="00E23C8B"/>
    <w:rsid w:val="00E27B22"/>
    <w:rsid w:val="00E27E46"/>
    <w:rsid w:val="00E31C1D"/>
    <w:rsid w:val="00E32D5A"/>
    <w:rsid w:val="00E40D00"/>
    <w:rsid w:val="00E4504A"/>
    <w:rsid w:val="00E46432"/>
    <w:rsid w:val="00E46536"/>
    <w:rsid w:val="00E474DB"/>
    <w:rsid w:val="00E478A6"/>
    <w:rsid w:val="00E52922"/>
    <w:rsid w:val="00E559D0"/>
    <w:rsid w:val="00E5753F"/>
    <w:rsid w:val="00E633B8"/>
    <w:rsid w:val="00E64625"/>
    <w:rsid w:val="00E64C77"/>
    <w:rsid w:val="00E65C2D"/>
    <w:rsid w:val="00E672FA"/>
    <w:rsid w:val="00E7078C"/>
    <w:rsid w:val="00E723AF"/>
    <w:rsid w:val="00E76AD8"/>
    <w:rsid w:val="00E76F84"/>
    <w:rsid w:val="00E8045C"/>
    <w:rsid w:val="00E81B75"/>
    <w:rsid w:val="00E8603C"/>
    <w:rsid w:val="00E8623C"/>
    <w:rsid w:val="00E86A91"/>
    <w:rsid w:val="00E87E21"/>
    <w:rsid w:val="00E91926"/>
    <w:rsid w:val="00EA2059"/>
    <w:rsid w:val="00EA2A42"/>
    <w:rsid w:val="00EA370D"/>
    <w:rsid w:val="00EB076E"/>
    <w:rsid w:val="00EB11CE"/>
    <w:rsid w:val="00EB1DD6"/>
    <w:rsid w:val="00EB1FB9"/>
    <w:rsid w:val="00EB2ABC"/>
    <w:rsid w:val="00EB4308"/>
    <w:rsid w:val="00EB6178"/>
    <w:rsid w:val="00EC4C88"/>
    <w:rsid w:val="00EC7988"/>
    <w:rsid w:val="00ED474D"/>
    <w:rsid w:val="00ED552C"/>
    <w:rsid w:val="00ED5DA5"/>
    <w:rsid w:val="00ED6221"/>
    <w:rsid w:val="00ED7E99"/>
    <w:rsid w:val="00EE1E45"/>
    <w:rsid w:val="00EE2FB0"/>
    <w:rsid w:val="00EE3A98"/>
    <w:rsid w:val="00EF16C6"/>
    <w:rsid w:val="00EF48BB"/>
    <w:rsid w:val="00EF61C6"/>
    <w:rsid w:val="00EF7710"/>
    <w:rsid w:val="00F0023B"/>
    <w:rsid w:val="00F029C7"/>
    <w:rsid w:val="00F02D8B"/>
    <w:rsid w:val="00F033F6"/>
    <w:rsid w:val="00F0355D"/>
    <w:rsid w:val="00F0563C"/>
    <w:rsid w:val="00F10D59"/>
    <w:rsid w:val="00F11929"/>
    <w:rsid w:val="00F13481"/>
    <w:rsid w:val="00F14732"/>
    <w:rsid w:val="00F15F70"/>
    <w:rsid w:val="00F16534"/>
    <w:rsid w:val="00F16800"/>
    <w:rsid w:val="00F170B9"/>
    <w:rsid w:val="00F17CD5"/>
    <w:rsid w:val="00F23360"/>
    <w:rsid w:val="00F254D8"/>
    <w:rsid w:val="00F26259"/>
    <w:rsid w:val="00F2639F"/>
    <w:rsid w:val="00F26B39"/>
    <w:rsid w:val="00F27A49"/>
    <w:rsid w:val="00F3093A"/>
    <w:rsid w:val="00F33942"/>
    <w:rsid w:val="00F3444A"/>
    <w:rsid w:val="00F403E8"/>
    <w:rsid w:val="00F42FA8"/>
    <w:rsid w:val="00F431ED"/>
    <w:rsid w:val="00F443FA"/>
    <w:rsid w:val="00F44B53"/>
    <w:rsid w:val="00F47231"/>
    <w:rsid w:val="00F47F4E"/>
    <w:rsid w:val="00F52E8B"/>
    <w:rsid w:val="00F54218"/>
    <w:rsid w:val="00F54872"/>
    <w:rsid w:val="00F56DD9"/>
    <w:rsid w:val="00F619A4"/>
    <w:rsid w:val="00F64BAC"/>
    <w:rsid w:val="00F661F9"/>
    <w:rsid w:val="00F67A6B"/>
    <w:rsid w:val="00F7380E"/>
    <w:rsid w:val="00F75ABF"/>
    <w:rsid w:val="00F75CB9"/>
    <w:rsid w:val="00F767E1"/>
    <w:rsid w:val="00F76CDB"/>
    <w:rsid w:val="00F76EF8"/>
    <w:rsid w:val="00F80C15"/>
    <w:rsid w:val="00F8617C"/>
    <w:rsid w:val="00F87638"/>
    <w:rsid w:val="00F91E3A"/>
    <w:rsid w:val="00F94335"/>
    <w:rsid w:val="00F9507B"/>
    <w:rsid w:val="00F95B31"/>
    <w:rsid w:val="00F95E57"/>
    <w:rsid w:val="00F9669E"/>
    <w:rsid w:val="00F96D54"/>
    <w:rsid w:val="00FA28F1"/>
    <w:rsid w:val="00FA4965"/>
    <w:rsid w:val="00FA57E2"/>
    <w:rsid w:val="00FA72A6"/>
    <w:rsid w:val="00FA7434"/>
    <w:rsid w:val="00FA79B7"/>
    <w:rsid w:val="00FB7484"/>
    <w:rsid w:val="00FC2455"/>
    <w:rsid w:val="00FC35C9"/>
    <w:rsid w:val="00FC3624"/>
    <w:rsid w:val="00FC3EFD"/>
    <w:rsid w:val="00FC4FB3"/>
    <w:rsid w:val="00FD1218"/>
    <w:rsid w:val="00FD13CF"/>
    <w:rsid w:val="00FD2F01"/>
    <w:rsid w:val="00FD68E8"/>
    <w:rsid w:val="00FD6DC1"/>
    <w:rsid w:val="00FD6DC6"/>
    <w:rsid w:val="00FE40B7"/>
    <w:rsid w:val="00FE612E"/>
    <w:rsid w:val="00FF08E4"/>
    <w:rsid w:val="00FF0F11"/>
    <w:rsid w:val="00FF2363"/>
    <w:rsid w:val="00FF39EB"/>
    <w:rsid w:val="00FF524C"/>
    <w:rsid w:val="00FF791F"/>
    <w:rsid w:val="010333FC"/>
    <w:rsid w:val="011E0D65"/>
    <w:rsid w:val="012810B4"/>
    <w:rsid w:val="014D4677"/>
    <w:rsid w:val="015974C0"/>
    <w:rsid w:val="015B6354"/>
    <w:rsid w:val="01795DC8"/>
    <w:rsid w:val="019A4593"/>
    <w:rsid w:val="01A050EF"/>
    <w:rsid w:val="01A517C0"/>
    <w:rsid w:val="01B02C2F"/>
    <w:rsid w:val="01B87689"/>
    <w:rsid w:val="01BB3CD7"/>
    <w:rsid w:val="01C71790"/>
    <w:rsid w:val="01D6466C"/>
    <w:rsid w:val="01DD1E9F"/>
    <w:rsid w:val="01EC0334"/>
    <w:rsid w:val="020C66EF"/>
    <w:rsid w:val="023851C2"/>
    <w:rsid w:val="025D08EA"/>
    <w:rsid w:val="02721E6A"/>
    <w:rsid w:val="027412F0"/>
    <w:rsid w:val="02856FA3"/>
    <w:rsid w:val="028820E3"/>
    <w:rsid w:val="028D144C"/>
    <w:rsid w:val="029137FA"/>
    <w:rsid w:val="02B96468"/>
    <w:rsid w:val="02FA613C"/>
    <w:rsid w:val="03046C36"/>
    <w:rsid w:val="03084CFA"/>
    <w:rsid w:val="030F7ED2"/>
    <w:rsid w:val="031307CC"/>
    <w:rsid w:val="03280AEE"/>
    <w:rsid w:val="03361A8D"/>
    <w:rsid w:val="034360AB"/>
    <w:rsid w:val="034B6332"/>
    <w:rsid w:val="035B5C0C"/>
    <w:rsid w:val="03AE1E47"/>
    <w:rsid w:val="03BE44FB"/>
    <w:rsid w:val="03C35558"/>
    <w:rsid w:val="03C4237C"/>
    <w:rsid w:val="03DA15F7"/>
    <w:rsid w:val="03DE0DE5"/>
    <w:rsid w:val="03E110D8"/>
    <w:rsid w:val="03F16CFC"/>
    <w:rsid w:val="03FB03BA"/>
    <w:rsid w:val="04131BA8"/>
    <w:rsid w:val="04143D6A"/>
    <w:rsid w:val="041B68AD"/>
    <w:rsid w:val="042266A0"/>
    <w:rsid w:val="042662DA"/>
    <w:rsid w:val="0428517E"/>
    <w:rsid w:val="04346C61"/>
    <w:rsid w:val="04420A97"/>
    <w:rsid w:val="044B4D3F"/>
    <w:rsid w:val="044D2E58"/>
    <w:rsid w:val="04510922"/>
    <w:rsid w:val="04652D59"/>
    <w:rsid w:val="04727A0B"/>
    <w:rsid w:val="047D2ACD"/>
    <w:rsid w:val="048317A3"/>
    <w:rsid w:val="04994F9B"/>
    <w:rsid w:val="04A5148F"/>
    <w:rsid w:val="04AA38CE"/>
    <w:rsid w:val="04AF4D93"/>
    <w:rsid w:val="04BF763A"/>
    <w:rsid w:val="04DA7FFD"/>
    <w:rsid w:val="04F67304"/>
    <w:rsid w:val="050C1FF9"/>
    <w:rsid w:val="05134296"/>
    <w:rsid w:val="052633D9"/>
    <w:rsid w:val="052A4761"/>
    <w:rsid w:val="0539563E"/>
    <w:rsid w:val="0542367D"/>
    <w:rsid w:val="05634469"/>
    <w:rsid w:val="056F1060"/>
    <w:rsid w:val="05790336"/>
    <w:rsid w:val="05880374"/>
    <w:rsid w:val="05946D18"/>
    <w:rsid w:val="05997E8B"/>
    <w:rsid w:val="05AC4062"/>
    <w:rsid w:val="05BB4074"/>
    <w:rsid w:val="05D53D77"/>
    <w:rsid w:val="05EA4B41"/>
    <w:rsid w:val="05F454A7"/>
    <w:rsid w:val="060346D9"/>
    <w:rsid w:val="060379FA"/>
    <w:rsid w:val="06187AE7"/>
    <w:rsid w:val="06417E9D"/>
    <w:rsid w:val="065F10D4"/>
    <w:rsid w:val="06652B20"/>
    <w:rsid w:val="06654211"/>
    <w:rsid w:val="0677352A"/>
    <w:rsid w:val="06A50AB1"/>
    <w:rsid w:val="06C7048C"/>
    <w:rsid w:val="06D07FF4"/>
    <w:rsid w:val="06D47866"/>
    <w:rsid w:val="06E80823"/>
    <w:rsid w:val="06ED45D7"/>
    <w:rsid w:val="070E6657"/>
    <w:rsid w:val="07101279"/>
    <w:rsid w:val="07312B46"/>
    <w:rsid w:val="07464042"/>
    <w:rsid w:val="07576256"/>
    <w:rsid w:val="07602A03"/>
    <w:rsid w:val="07666493"/>
    <w:rsid w:val="07693277"/>
    <w:rsid w:val="076A6065"/>
    <w:rsid w:val="077A12B8"/>
    <w:rsid w:val="07862691"/>
    <w:rsid w:val="07886409"/>
    <w:rsid w:val="07890F47"/>
    <w:rsid w:val="078E42CD"/>
    <w:rsid w:val="079E1E28"/>
    <w:rsid w:val="07AB0486"/>
    <w:rsid w:val="07B63602"/>
    <w:rsid w:val="07C66226"/>
    <w:rsid w:val="07CF3892"/>
    <w:rsid w:val="07ED6552"/>
    <w:rsid w:val="08033CE1"/>
    <w:rsid w:val="08292405"/>
    <w:rsid w:val="08332819"/>
    <w:rsid w:val="083421A6"/>
    <w:rsid w:val="083D5643"/>
    <w:rsid w:val="08437E8F"/>
    <w:rsid w:val="08670714"/>
    <w:rsid w:val="08730E67"/>
    <w:rsid w:val="088521A5"/>
    <w:rsid w:val="088B3764"/>
    <w:rsid w:val="089237F8"/>
    <w:rsid w:val="08994D56"/>
    <w:rsid w:val="08B1373D"/>
    <w:rsid w:val="08C160AA"/>
    <w:rsid w:val="08C3745F"/>
    <w:rsid w:val="08E362FD"/>
    <w:rsid w:val="09016473"/>
    <w:rsid w:val="09320D22"/>
    <w:rsid w:val="0942143F"/>
    <w:rsid w:val="094D1147"/>
    <w:rsid w:val="09684EB6"/>
    <w:rsid w:val="09886B94"/>
    <w:rsid w:val="099C263F"/>
    <w:rsid w:val="09A60DC8"/>
    <w:rsid w:val="09D41DD9"/>
    <w:rsid w:val="0A0F696E"/>
    <w:rsid w:val="0A125676"/>
    <w:rsid w:val="0A2068DC"/>
    <w:rsid w:val="0A312042"/>
    <w:rsid w:val="0A3E1358"/>
    <w:rsid w:val="0A4A7557"/>
    <w:rsid w:val="0A5E1104"/>
    <w:rsid w:val="0A6B5B46"/>
    <w:rsid w:val="0A724D8E"/>
    <w:rsid w:val="0A8D5675"/>
    <w:rsid w:val="0A9F4195"/>
    <w:rsid w:val="0AC23260"/>
    <w:rsid w:val="0ACA55D0"/>
    <w:rsid w:val="0ACA7F55"/>
    <w:rsid w:val="0AD432AC"/>
    <w:rsid w:val="0AF84BE6"/>
    <w:rsid w:val="0AFA2EAC"/>
    <w:rsid w:val="0B0E4E77"/>
    <w:rsid w:val="0B183F48"/>
    <w:rsid w:val="0B215587"/>
    <w:rsid w:val="0B381467"/>
    <w:rsid w:val="0B521208"/>
    <w:rsid w:val="0B5D1D94"/>
    <w:rsid w:val="0B6916C8"/>
    <w:rsid w:val="0B6D6E6B"/>
    <w:rsid w:val="0B8415DD"/>
    <w:rsid w:val="0BA1493B"/>
    <w:rsid w:val="0BA27192"/>
    <w:rsid w:val="0BA96561"/>
    <w:rsid w:val="0BAB4DBC"/>
    <w:rsid w:val="0BC31082"/>
    <w:rsid w:val="0BC55E7E"/>
    <w:rsid w:val="0BCF78E8"/>
    <w:rsid w:val="0BDA187E"/>
    <w:rsid w:val="0BE57787"/>
    <w:rsid w:val="0BF561D3"/>
    <w:rsid w:val="0C1C289E"/>
    <w:rsid w:val="0C201306"/>
    <w:rsid w:val="0C4D5BF8"/>
    <w:rsid w:val="0C655C90"/>
    <w:rsid w:val="0C74719F"/>
    <w:rsid w:val="0CC87775"/>
    <w:rsid w:val="0CD36378"/>
    <w:rsid w:val="0CE14CDF"/>
    <w:rsid w:val="0CEA02AD"/>
    <w:rsid w:val="0D091D9A"/>
    <w:rsid w:val="0D3F57BC"/>
    <w:rsid w:val="0D4D6BBA"/>
    <w:rsid w:val="0D5F374B"/>
    <w:rsid w:val="0D631741"/>
    <w:rsid w:val="0D7F49E6"/>
    <w:rsid w:val="0DB55A7E"/>
    <w:rsid w:val="0DCC024E"/>
    <w:rsid w:val="0DCE5541"/>
    <w:rsid w:val="0DE10274"/>
    <w:rsid w:val="0DE70E9A"/>
    <w:rsid w:val="0DED1AE4"/>
    <w:rsid w:val="0DFA02FC"/>
    <w:rsid w:val="0E085C6F"/>
    <w:rsid w:val="0E296B84"/>
    <w:rsid w:val="0E2D7D0A"/>
    <w:rsid w:val="0E3302DF"/>
    <w:rsid w:val="0E4658D7"/>
    <w:rsid w:val="0E471862"/>
    <w:rsid w:val="0E4B0190"/>
    <w:rsid w:val="0E56572D"/>
    <w:rsid w:val="0E572EC1"/>
    <w:rsid w:val="0E5E4367"/>
    <w:rsid w:val="0E5E7EC3"/>
    <w:rsid w:val="0E6B25E0"/>
    <w:rsid w:val="0E770F85"/>
    <w:rsid w:val="0EA10511"/>
    <w:rsid w:val="0EA5096C"/>
    <w:rsid w:val="0EB9159E"/>
    <w:rsid w:val="0EBB3568"/>
    <w:rsid w:val="0ECD702E"/>
    <w:rsid w:val="0ED14FD9"/>
    <w:rsid w:val="0EF11D3F"/>
    <w:rsid w:val="0F1113DA"/>
    <w:rsid w:val="0F1C2F5E"/>
    <w:rsid w:val="0F1C777A"/>
    <w:rsid w:val="0F2B249C"/>
    <w:rsid w:val="0F384BB8"/>
    <w:rsid w:val="0F3D0BC5"/>
    <w:rsid w:val="0F5B4403"/>
    <w:rsid w:val="0F6A6B8F"/>
    <w:rsid w:val="0F8E5086"/>
    <w:rsid w:val="0FA34139"/>
    <w:rsid w:val="0FB139B7"/>
    <w:rsid w:val="0FBE245E"/>
    <w:rsid w:val="0FD247DD"/>
    <w:rsid w:val="0FE20680"/>
    <w:rsid w:val="0FE97C61"/>
    <w:rsid w:val="0FF04052"/>
    <w:rsid w:val="100D1BA1"/>
    <w:rsid w:val="10101691"/>
    <w:rsid w:val="1017657C"/>
    <w:rsid w:val="10321608"/>
    <w:rsid w:val="103F5AD3"/>
    <w:rsid w:val="10423742"/>
    <w:rsid w:val="10680AFF"/>
    <w:rsid w:val="109A07AC"/>
    <w:rsid w:val="10B355EE"/>
    <w:rsid w:val="10B7591C"/>
    <w:rsid w:val="10C20B75"/>
    <w:rsid w:val="10C36704"/>
    <w:rsid w:val="10CF3261"/>
    <w:rsid w:val="10F16DCD"/>
    <w:rsid w:val="1110186D"/>
    <w:rsid w:val="11101AD3"/>
    <w:rsid w:val="11116E6A"/>
    <w:rsid w:val="111B3927"/>
    <w:rsid w:val="112C24FB"/>
    <w:rsid w:val="113910B3"/>
    <w:rsid w:val="11435423"/>
    <w:rsid w:val="11580205"/>
    <w:rsid w:val="11641C95"/>
    <w:rsid w:val="118916FB"/>
    <w:rsid w:val="119500A0"/>
    <w:rsid w:val="119618E8"/>
    <w:rsid w:val="11CB41A1"/>
    <w:rsid w:val="11DA4164"/>
    <w:rsid w:val="11E06E41"/>
    <w:rsid w:val="11FD5C45"/>
    <w:rsid w:val="12067203"/>
    <w:rsid w:val="120C3962"/>
    <w:rsid w:val="12135F22"/>
    <w:rsid w:val="12251739"/>
    <w:rsid w:val="123F1DBA"/>
    <w:rsid w:val="12416D7A"/>
    <w:rsid w:val="12837AAD"/>
    <w:rsid w:val="12922832"/>
    <w:rsid w:val="12981ADA"/>
    <w:rsid w:val="12B3355C"/>
    <w:rsid w:val="12B502CE"/>
    <w:rsid w:val="12B61F29"/>
    <w:rsid w:val="12E070F9"/>
    <w:rsid w:val="12EC1060"/>
    <w:rsid w:val="12EC1DC3"/>
    <w:rsid w:val="12F60AE4"/>
    <w:rsid w:val="12FB7ED2"/>
    <w:rsid w:val="1300281C"/>
    <w:rsid w:val="130D1BB6"/>
    <w:rsid w:val="1323348A"/>
    <w:rsid w:val="13464132"/>
    <w:rsid w:val="136B50CE"/>
    <w:rsid w:val="13873A19"/>
    <w:rsid w:val="138F0B1F"/>
    <w:rsid w:val="139027E6"/>
    <w:rsid w:val="13A97E33"/>
    <w:rsid w:val="13D36C5E"/>
    <w:rsid w:val="13D92264"/>
    <w:rsid w:val="1414715D"/>
    <w:rsid w:val="144D623B"/>
    <w:rsid w:val="144E4536"/>
    <w:rsid w:val="14581EAD"/>
    <w:rsid w:val="146079CF"/>
    <w:rsid w:val="1461070D"/>
    <w:rsid w:val="146124BC"/>
    <w:rsid w:val="147F2942"/>
    <w:rsid w:val="149C19AD"/>
    <w:rsid w:val="14A5684C"/>
    <w:rsid w:val="14B3356A"/>
    <w:rsid w:val="14B44CE1"/>
    <w:rsid w:val="14DF019D"/>
    <w:rsid w:val="14E60C13"/>
    <w:rsid w:val="151C7F48"/>
    <w:rsid w:val="15204B3E"/>
    <w:rsid w:val="153D4CD7"/>
    <w:rsid w:val="1543289A"/>
    <w:rsid w:val="15487EBE"/>
    <w:rsid w:val="154F4A0A"/>
    <w:rsid w:val="15884194"/>
    <w:rsid w:val="15CA15FD"/>
    <w:rsid w:val="15D129F6"/>
    <w:rsid w:val="15EE4223"/>
    <w:rsid w:val="161C2B3E"/>
    <w:rsid w:val="163B4FE0"/>
    <w:rsid w:val="16467FF0"/>
    <w:rsid w:val="164C7363"/>
    <w:rsid w:val="16832BBD"/>
    <w:rsid w:val="168463C2"/>
    <w:rsid w:val="169C5436"/>
    <w:rsid w:val="16C12B14"/>
    <w:rsid w:val="16C504A5"/>
    <w:rsid w:val="16D30C62"/>
    <w:rsid w:val="16D80CA6"/>
    <w:rsid w:val="16EA1B43"/>
    <w:rsid w:val="16F55F2B"/>
    <w:rsid w:val="16F80B54"/>
    <w:rsid w:val="1702117C"/>
    <w:rsid w:val="174D1894"/>
    <w:rsid w:val="17982698"/>
    <w:rsid w:val="180D49CF"/>
    <w:rsid w:val="18185587"/>
    <w:rsid w:val="18291542"/>
    <w:rsid w:val="183425B0"/>
    <w:rsid w:val="185514AE"/>
    <w:rsid w:val="1867233F"/>
    <w:rsid w:val="188369DA"/>
    <w:rsid w:val="188C387F"/>
    <w:rsid w:val="18910E95"/>
    <w:rsid w:val="18B35E31"/>
    <w:rsid w:val="18B52DD6"/>
    <w:rsid w:val="18B96638"/>
    <w:rsid w:val="18D505C8"/>
    <w:rsid w:val="19151CCD"/>
    <w:rsid w:val="191A0ECD"/>
    <w:rsid w:val="192D118D"/>
    <w:rsid w:val="192F4E51"/>
    <w:rsid w:val="1932174C"/>
    <w:rsid w:val="193B571E"/>
    <w:rsid w:val="194F0094"/>
    <w:rsid w:val="195E3189"/>
    <w:rsid w:val="19BB5C07"/>
    <w:rsid w:val="19BD5A39"/>
    <w:rsid w:val="19CE55BC"/>
    <w:rsid w:val="19D514FF"/>
    <w:rsid w:val="19E73B3D"/>
    <w:rsid w:val="19FB7430"/>
    <w:rsid w:val="1A1104E0"/>
    <w:rsid w:val="1A182C90"/>
    <w:rsid w:val="1A187067"/>
    <w:rsid w:val="1A2308F8"/>
    <w:rsid w:val="1A2C356C"/>
    <w:rsid w:val="1A2E3993"/>
    <w:rsid w:val="1A4E34E2"/>
    <w:rsid w:val="1A5F070E"/>
    <w:rsid w:val="1A5F749D"/>
    <w:rsid w:val="1A6525DA"/>
    <w:rsid w:val="1A7F6E72"/>
    <w:rsid w:val="1A91517D"/>
    <w:rsid w:val="1A967104"/>
    <w:rsid w:val="1A9E3D13"/>
    <w:rsid w:val="1AE75815"/>
    <w:rsid w:val="1B0B1236"/>
    <w:rsid w:val="1B140288"/>
    <w:rsid w:val="1B1D1AEC"/>
    <w:rsid w:val="1B2608AE"/>
    <w:rsid w:val="1B3A18A4"/>
    <w:rsid w:val="1B50646C"/>
    <w:rsid w:val="1B542D7A"/>
    <w:rsid w:val="1B6D5BEA"/>
    <w:rsid w:val="1B730CD0"/>
    <w:rsid w:val="1B794D83"/>
    <w:rsid w:val="1B7F3647"/>
    <w:rsid w:val="1B8E72E5"/>
    <w:rsid w:val="1BB630ED"/>
    <w:rsid w:val="1BB77098"/>
    <w:rsid w:val="1BBA565A"/>
    <w:rsid w:val="1BC4209C"/>
    <w:rsid w:val="1BE20386"/>
    <w:rsid w:val="1BEB4BF7"/>
    <w:rsid w:val="1BF260EF"/>
    <w:rsid w:val="1C0B5BED"/>
    <w:rsid w:val="1C330BE1"/>
    <w:rsid w:val="1C43089F"/>
    <w:rsid w:val="1C4A2F62"/>
    <w:rsid w:val="1C5226D1"/>
    <w:rsid w:val="1C5E0883"/>
    <w:rsid w:val="1C6F7FCB"/>
    <w:rsid w:val="1C730FDE"/>
    <w:rsid w:val="1CA93E55"/>
    <w:rsid w:val="1CB65C58"/>
    <w:rsid w:val="1CB87339"/>
    <w:rsid w:val="1CBA4E5F"/>
    <w:rsid w:val="1CD001DE"/>
    <w:rsid w:val="1CEB5018"/>
    <w:rsid w:val="1CF00880"/>
    <w:rsid w:val="1CF3211F"/>
    <w:rsid w:val="1CF322CF"/>
    <w:rsid w:val="1D1244E9"/>
    <w:rsid w:val="1D2159E0"/>
    <w:rsid w:val="1D27443E"/>
    <w:rsid w:val="1D2870CE"/>
    <w:rsid w:val="1D2B7B0B"/>
    <w:rsid w:val="1D374E5A"/>
    <w:rsid w:val="1D6152DA"/>
    <w:rsid w:val="1D70339F"/>
    <w:rsid w:val="1D7457CA"/>
    <w:rsid w:val="1D7768AC"/>
    <w:rsid w:val="1D886D0B"/>
    <w:rsid w:val="1DA63635"/>
    <w:rsid w:val="1DC45D7E"/>
    <w:rsid w:val="1DC97EE6"/>
    <w:rsid w:val="1DD72635"/>
    <w:rsid w:val="1DE26168"/>
    <w:rsid w:val="1DED7867"/>
    <w:rsid w:val="1DF42572"/>
    <w:rsid w:val="1DFB572F"/>
    <w:rsid w:val="1E067C30"/>
    <w:rsid w:val="1E106AEE"/>
    <w:rsid w:val="1E185370"/>
    <w:rsid w:val="1E1E31CB"/>
    <w:rsid w:val="1E2A3EA1"/>
    <w:rsid w:val="1E3B3D7D"/>
    <w:rsid w:val="1E3E2DF7"/>
    <w:rsid w:val="1E3F43BD"/>
    <w:rsid w:val="1E4C3FC7"/>
    <w:rsid w:val="1E5D6DF0"/>
    <w:rsid w:val="1E661B47"/>
    <w:rsid w:val="1E7828DC"/>
    <w:rsid w:val="1E7F010E"/>
    <w:rsid w:val="1E870D71"/>
    <w:rsid w:val="1E9810B6"/>
    <w:rsid w:val="1EC2089E"/>
    <w:rsid w:val="1EC2624D"/>
    <w:rsid w:val="1EE00215"/>
    <w:rsid w:val="1F1B602C"/>
    <w:rsid w:val="1F1D3483"/>
    <w:rsid w:val="1F3667FB"/>
    <w:rsid w:val="1F72502E"/>
    <w:rsid w:val="1F782A2C"/>
    <w:rsid w:val="1F867203"/>
    <w:rsid w:val="1F947BE9"/>
    <w:rsid w:val="1FB02549"/>
    <w:rsid w:val="1FC85FB0"/>
    <w:rsid w:val="1FD565CD"/>
    <w:rsid w:val="200C0B9F"/>
    <w:rsid w:val="20126D60"/>
    <w:rsid w:val="203D68E5"/>
    <w:rsid w:val="2051671D"/>
    <w:rsid w:val="20633D45"/>
    <w:rsid w:val="207003FC"/>
    <w:rsid w:val="2071073D"/>
    <w:rsid w:val="20804172"/>
    <w:rsid w:val="208732AA"/>
    <w:rsid w:val="208949B0"/>
    <w:rsid w:val="208F53EE"/>
    <w:rsid w:val="20B32221"/>
    <w:rsid w:val="20D90E52"/>
    <w:rsid w:val="20DA06E7"/>
    <w:rsid w:val="20DE00D5"/>
    <w:rsid w:val="20E46E6E"/>
    <w:rsid w:val="20FB5952"/>
    <w:rsid w:val="21221D28"/>
    <w:rsid w:val="21262AC3"/>
    <w:rsid w:val="21352D57"/>
    <w:rsid w:val="213A1D83"/>
    <w:rsid w:val="213F1DD6"/>
    <w:rsid w:val="21415B4F"/>
    <w:rsid w:val="216A649F"/>
    <w:rsid w:val="21C4592A"/>
    <w:rsid w:val="21D4038B"/>
    <w:rsid w:val="21D564D2"/>
    <w:rsid w:val="21E3075C"/>
    <w:rsid w:val="21E31C15"/>
    <w:rsid w:val="21EC6D8D"/>
    <w:rsid w:val="22096A8B"/>
    <w:rsid w:val="221624EC"/>
    <w:rsid w:val="226A2E83"/>
    <w:rsid w:val="229C0B63"/>
    <w:rsid w:val="22B10AB2"/>
    <w:rsid w:val="22B343FA"/>
    <w:rsid w:val="22C42984"/>
    <w:rsid w:val="22D31972"/>
    <w:rsid w:val="22D61F95"/>
    <w:rsid w:val="22F3547F"/>
    <w:rsid w:val="231550B2"/>
    <w:rsid w:val="231E29E7"/>
    <w:rsid w:val="23256904"/>
    <w:rsid w:val="236D4C13"/>
    <w:rsid w:val="236E5993"/>
    <w:rsid w:val="23720D16"/>
    <w:rsid w:val="23745791"/>
    <w:rsid w:val="23843AD1"/>
    <w:rsid w:val="23A36CEF"/>
    <w:rsid w:val="23C67F36"/>
    <w:rsid w:val="23D609FB"/>
    <w:rsid w:val="23E46C65"/>
    <w:rsid w:val="23EE70D9"/>
    <w:rsid w:val="24094C07"/>
    <w:rsid w:val="242332EA"/>
    <w:rsid w:val="242479A1"/>
    <w:rsid w:val="242500FD"/>
    <w:rsid w:val="243661E3"/>
    <w:rsid w:val="24431BDE"/>
    <w:rsid w:val="24504F9A"/>
    <w:rsid w:val="24506E1F"/>
    <w:rsid w:val="24584972"/>
    <w:rsid w:val="246A0F18"/>
    <w:rsid w:val="247E7042"/>
    <w:rsid w:val="24BB4C9A"/>
    <w:rsid w:val="24C42ACE"/>
    <w:rsid w:val="24D11354"/>
    <w:rsid w:val="24D171E9"/>
    <w:rsid w:val="24DE13BC"/>
    <w:rsid w:val="24F11F1E"/>
    <w:rsid w:val="25084A80"/>
    <w:rsid w:val="2509465B"/>
    <w:rsid w:val="250E4686"/>
    <w:rsid w:val="252829E6"/>
    <w:rsid w:val="252C0484"/>
    <w:rsid w:val="2556149D"/>
    <w:rsid w:val="2557686D"/>
    <w:rsid w:val="255F4D7C"/>
    <w:rsid w:val="25994CA7"/>
    <w:rsid w:val="25AE752B"/>
    <w:rsid w:val="25AF5888"/>
    <w:rsid w:val="25AF6EEA"/>
    <w:rsid w:val="25BA0D33"/>
    <w:rsid w:val="25BF7042"/>
    <w:rsid w:val="25DD680B"/>
    <w:rsid w:val="25DE25EE"/>
    <w:rsid w:val="25F0369F"/>
    <w:rsid w:val="25F9400B"/>
    <w:rsid w:val="2605003F"/>
    <w:rsid w:val="260A79B2"/>
    <w:rsid w:val="260E1D77"/>
    <w:rsid w:val="261914F8"/>
    <w:rsid w:val="261971F5"/>
    <w:rsid w:val="261F5290"/>
    <w:rsid w:val="262168C1"/>
    <w:rsid w:val="26274DB1"/>
    <w:rsid w:val="26335B7D"/>
    <w:rsid w:val="26371942"/>
    <w:rsid w:val="263B00A0"/>
    <w:rsid w:val="263F16B0"/>
    <w:rsid w:val="265005E2"/>
    <w:rsid w:val="26587F6E"/>
    <w:rsid w:val="266D0376"/>
    <w:rsid w:val="26712A32"/>
    <w:rsid w:val="26946721"/>
    <w:rsid w:val="26BE44A3"/>
    <w:rsid w:val="26CC305D"/>
    <w:rsid w:val="26D726CD"/>
    <w:rsid w:val="26DD4C0B"/>
    <w:rsid w:val="26E25338"/>
    <w:rsid w:val="27201279"/>
    <w:rsid w:val="273B6A0D"/>
    <w:rsid w:val="2741247C"/>
    <w:rsid w:val="27462CCA"/>
    <w:rsid w:val="276C4FA7"/>
    <w:rsid w:val="277025E4"/>
    <w:rsid w:val="2790145B"/>
    <w:rsid w:val="279C29FA"/>
    <w:rsid w:val="27CF5BD5"/>
    <w:rsid w:val="27D60703"/>
    <w:rsid w:val="27E93B91"/>
    <w:rsid w:val="27EB2370"/>
    <w:rsid w:val="27F37477"/>
    <w:rsid w:val="27F868B5"/>
    <w:rsid w:val="28087EBE"/>
    <w:rsid w:val="282B09BF"/>
    <w:rsid w:val="283C6D25"/>
    <w:rsid w:val="283F493E"/>
    <w:rsid w:val="284303FE"/>
    <w:rsid w:val="285443B9"/>
    <w:rsid w:val="285F4795"/>
    <w:rsid w:val="28680B8D"/>
    <w:rsid w:val="28702113"/>
    <w:rsid w:val="28773C04"/>
    <w:rsid w:val="288051AE"/>
    <w:rsid w:val="28A55893"/>
    <w:rsid w:val="28B210E0"/>
    <w:rsid w:val="28C826B1"/>
    <w:rsid w:val="28E05C4D"/>
    <w:rsid w:val="28E942AE"/>
    <w:rsid w:val="28F25980"/>
    <w:rsid w:val="28F34CCC"/>
    <w:rsid w:val="28FA1B64"/>
    <w:rsid w:val="29086F52"/>
    <w:rsid w:val="293E4722"/>
    <w:rsid w:val="294B52B7"/>
    <w:rsid w:val="294D1BE7"/>
    <w:rsid w:val="295108F9"/>
    <w:rsid w:val="295126A7"/>
    <w:rsid w:val="295932E8"/>
    <w:rsid w:val="29640328"/>
    <w:rsid w:val="29695C42"/>
    <w:rsid w:val="296A15ED"/>
    <w:rsid w:val="296A5517"/>
    <w:rsid w:val="296D5007"/>
    <w:rsid w:val="29A51F1F"/>
    <w:rsid w:val="29AC5B2F"/>
    <w:rsid w:val="29C05339"/>
    <w:rsid w:val="29CD10CE"/>
    <w:rsid w:val="29D81843"/>
    <w:rsid w:val="2A043BBD"/>
    <w:rsid w:val="2A064DFF"/>
    <w:rsid w:val="2A2474D0"/>
    <w:rsid w:val="2A4346E5"/>
    <w:rsid w:val="2A571F3F"/>
    <w:rsid w:val="2A651434"/>
    <w:rsid w:val="2A754000"/>
    <w:rsid w:val="2A773C44"/>
    <w:rsid w:val="2A860656"/>
    <w:rsid w:val="2AAE2D33"/>
    <w:rsid w:val="2ABF7AE4"/>
    <w:rsid w:val="2AC01D81"/>
    <w:rsid w:val="2AE05B97"/>
    <w:rsid w:val="2AE716D3"/>
    <w:rsid w:val="2AE82B97"/>
    <w:rsid w:val="2AE92C2D"/>
    <w:rsid w:val="2B0D781D"/>
    <w:rsid w:val="2B277B63"/>
    <w:rsid w:val="2B312367"/>
    <w:rsid w:val="2B3758CC"/>
    <w:rsid w:val="2B404BC0"/>
    <w:rsid w:val="2B4519CC"/>
    <w:rsid w:val="2B6A0DDE"/>
    <w:rsid w:val="2B823301"/>
    <w:rsid w:val="2B884F6A"/>
    <w:rsid w:val="2B8E1990"/>
    <w:rsid w:val="2B960048"/>
    <w:rsid w:val="2BD17ACF"/>
    <w:rsid w:val="2BDA4BD6"/>
    <w:rsid w:val="2BDF3F0E"/>
    <w:rsid w:val="2BE94E19"/>
    <w:rsid w:val="2BFC0FF0"/>
    <w:rsid w:val="2C0C4FAB"/>
    <w:rsid w:val="2C131E96"/>
    <w:rsid w:val="2C274DE6"/>
    <w:rsid w:val="2C3818FC"/>
    <w:rsid w:val="2C3E5433"/>
    <w:rsid w:val="2C4958B7"/>
    <w:rsid w:val="2C615316"/>
    <w:rsid w:val="2C711E49"/>
    <w:rsid w:val="2C7324CE"/>
    <w:rsid w:val="2C9131C4"/>
    <w:rsid w:val="2C98211B"/>
    <w:rsid w:val="2CB007BE"/>
    <w:rsid w:val="2CB02FD3"/>
    <w:rsid w:val="2CC52305"/>
    <w:rsid w:val="2CDC17D5"/>
    <w:rsid w:val="2CDF131E"/>
    <w:rsid w:val="2CEC536F"/>
    <w:rsid w:val="2CEE645F"/>
    <w:rsid w:val="2CEF46B1"/>
    <w:rsid w:val="2CFB18D4"/>
    <w:rsid w:val="2CFF1140"/>
    <w:rsid w:val="2D1E0AF2"/>
    <w:rsid w:val="2D213AF1"/>
    <w:rsid w:val="2D2365AA"/>
    <w:rsid w:val="2D337604"/>
    <w:rsid w:val="2D3A16A4"/>
    <w:rsid w:val="2D510EC7"/>
    <w:rsid w:val="2D8C1F00"/>
    <w:rsid w:val="2DC66D79"/>
    <w:rsid w:val="2DDC6470"/>
    <w:rsid w:val="2DE626CF"/>
    <w:rsid w:val="2E0928D5"/>
    <w:rsid w:val="2E093550"/>
    <w:rsid w:val="2E0C6E8E"/>
    <w:rsid w:val="2E1D6FFC"/>
    <w:rsid w:val="2E2C1831"/>
    <w:rsid w:val="2E440A2C"/>
    <w:rsid w:val="2E52047A"/>
    <w:rsid w:val="2E6764C9"/>
    <w:rsid w:val="2E7C01C6"/>
    <w:rsid w:val="2E8B21B7"/>
    <w:rsid w:val="2E9C76AA"/>
    <w:rsid w:val="2EA901B0"/>
    <w:rsid w:val="2ECD0A22"/>
    <w:rsid w:val="2EDC1069"/>
    <w:rsid w:val="2EDD678B"/>
    <w:rsid w:val="2EE742B5"/>
    <w:rsid w:val="2EE858F4"/>
    <w:rsid w:val="2EF371E0"/>
    <w:rsid w:val="2EF835C5"/>
    <w:rsid w:val="2F194CF3"/>
    <w:rsid w:val="2F570B40"/>
    <w:rsid w:val="2F666780"/>
    <w:rsid w:val="2F725035"/>
    <w:rsid w:val="2F8530AA"/>
    <w:rsid w:val="2F8A6464"/>
    <w:rsid w:val="2F8D42F3"/>
    <w:rsid w:val="2F9C5277"/>
    <w:rsid w:val="2FBA37D4"/>
    <w:rsid w:val="2FD951A4"/>
    <w:rsid w:val="2FDF7704"/>
    <w:rsid w:val="2FE20331"/>
    <w:rsid w:val="2FFB53B3"/>
    <w:rsid w:val="302227DE"/>
    <w:rsid w:val="302D729E"/>
    <w:rsid w:val="30496080"/>
    <w:rsid w:val="307B44AD"/>
    <w:rsid w:val="30880843"/>
    <w:rsid w:val="3097733C"/>
    <w:rsid w:val="30A77838"/>
    <w:rsid w:val="30B32AE0"/>
    <w:rsid w:val="30CE7FA2"/>
    <w:rsid w:val="30DA3DB5"/>
    <w:rsid w:val="30FF6E8C"/>
    <w:rsid w:val="31352B82"/>
    <w:rsid w:val="313C59EB"/>
    <w:rsid w:val="313E5C07"/>
    <w:rsid w:val="3160693E"/>
    <w:rsid w:val="316D5D28"/>
    <w:rsid w:val="3186135C"/>
    <w:rsid w:val="319C674A"/>
    <w:rsid w:val="31C25BAF"/>
    <w:rsid w:val="31C75BF4"/>
    <w:rsid w:val="31D825FB"/>
    <w:rsid w:val="31F14A27"/>
    <w:rsid w:val="31F34CB5"/>
    <w:rsid w:val="31FE7144"/>
    <w:rsid w:val="3210344F"/>
    <w:rsid w:val="3216623C"/>
    <w:rsid w:val="321867A3"/>
    <w:rsid w:val="323A6DC8"/>
    <w:rsid w:val="32452FC5"/>
    <w:rsid w:val="327E78B3"/>
    <w:rsid w:val="328E7AAB"/>
    <w:rsid w:val="32A974A8"/>
    <w:rsid w:val="32BE57A8"/>
    <w:rsid w:val="32BF0081"/>
    <w:rsid w:val="32CD7A68"/>
    <w:rsid w:val="32E11114"/>
    <w:rsid w:val="32E52E86"/>
    <w:rsid w:val="330D1017"/>
    <w:rsid w:val="33184235"/>
    <w:rsid w:val="336F654B"/>
    <w:rsid w:val="338673F1"/>
    <w:rsid w:val="338C3D33"/>
    <w:rsid w:val="338F44F8"/>
    <w:rsid w:val="339C6700"/>
    <w:rsid w:val="33AB0321"/>
    <w:rsid w:val="33AD497E"/>
    <w:rsid w:val="33B41C08"/>
    <w:rsid w:val="33C323F3"/>
    <w:rsid w:val="33D429D4"/>
    <w:rsid w:val="33FF272C"/>
    <w:rsid w:val="34000F51"/>
    <w:rsid w:val="340053F5"/>
    <w:rsid w:val="340D4A19"/>
    <w:rsid w:val="341E1D1F"/>
    <w:rsid w:val="34224311"/>
    <w:rsid w:val="34480D97"/>
    <w:rsid w:val="344C23E9"/>
    <w:rsid w:val="344F1ED9"/>
    <w:rsid w:val="349D1970"/>
    <w:rsid w:val="34BE0E27"/>
    <w:rsid w:val="34C53020"/>
    <w:rsid w:val="34E84184"/>
    <w:rsid w:val="350678B2"/>
    <w:rsid w:val="35087EF9"/>
    <w:rsid w:val="352942DC"/>
    <w:rsid w:val="352D1A73"/>
    <w:rsid w:val="35311149"/>
    <w:rsid w:val="35317608"/>
    <w:rsid w:val="35355F0C"/>
    <w:rsid w:val="353F2671"/>
    <w:rsid w:val="35527486"/>
    <w:rsid w:val="355C2AFF"/>
    <w:rsid w:val="355F439E"/>
    <w:rsid w:val="35645510"/>
    <w:rsid w:val="356556A0"/>
    <w:rsid w:val="35B244CD"/>
    <w:rsid w:val="35BA5A53"/>
    <w:rsid w:val="35D119BA"/>
    <w:rsid w:val="35DE3514"/>
    <w:rsid w:val="36147E72"/>
    <w:rsid w:val="361B561A"/>
    <w:rsid w:val="3656754F"/>
    <w:rsid w:val="36642B6C"/>
    <w:rsid w:val="36681030"/>
    <w:rsid w:val="3682245D"/>
    <w:rsid w:val="369923B0"/>
    <w:rsid w:val="369B33E0"/>
    <w:rsid w:val="36AC53C0"/>
    <w:rsid w:val="36B833A5"/>
    <w:rsid w:val="36BE06ED"/>
    <w:rsid w:val="36BF3346"/>
    <w:rsid w:val="36CA3A99"/>
    <w:rsid w:val="36CE3589"/>
    <w:rsid w:val="36D772E4"/>
    <w:rsid w:val="36F55F5E"/>
    <w:rsid w:val="36F84338"/>
    <w:rsid w:val="3703155C"/>
    <w:rsid w:val="371A4F3B"/>
    <w:rsid w:val="37205599"/>
    <w:rsid w:val="37533A8E"/>
    <w:rsid w:val="375A71E3"/>
    <w:rsid w:val="3760645B"/>
    <w:rsid w:val="376A10DE"/>
    <w:rsid w:val="376B702A"/>
    <w:rsid w:val="37765974"/>
    <w:rsid w:val="37865C12"/>
    <w:rsid w:val="379B4856"/>
    <w:rsid w:val="37A91900"/>
    <w:rsid w:val="37AC1AEB"/>
    <w:rsid w:val="37AD13F0"/>
    <w:rsid w:val="37BC657E"/>
    <w:rsid w:val="37E15ABA"/>
    <w:rsid w:val="37EA0581"/>
    <w:rsid w:val="3825542A"/>
    <w:rsid w:val="382B1DE8"/>
    <w:rsid w:val="385D37E7"/>
    <w:rsid w:val="386540D4"/>
    <w:rsid w:val="38993683"/>
    <w:rsid w:val="38995E18"/>
    <w:rsid w:val="38A9185C"/>
    <w:rsid w:val="38C61560"/>
    <w:rsid w:val="38F165F8"/>
    <w:rsid w:val="38F202B5"/>
    <w:rsid w:val="3903227A"/>
    <w:rsid w:val="39137979"/>
    <w:rsid w:val="391B4DE6"/>
    <w:rsid w:val="39316051"/>
    <w:rsid w:val="393671C3"/>
    <w:rsid w:val="393873DF"/>
    <w:rsid w:val="396446BF"/>
    <w:rsid w:val="39754FD7"/>
    <w:rsid w:val="397B72CC"/>
    <w:rsid w:val="39822409"/>
    <w:rsid w:val="399726B0"/>
    <w:rsid w:val="39981A84"/>
    <w:rsid w:val="39BA445B"/>
    <w:rsid w:val="39BC3B6C"/>
    <w:rsid w:val="39C801E1"/>
    <w:rsid w:val="39C81B0D"/>
    <w:rsid w:val="39C944DB"/>
    <w:rsid w:val="39CA67ED"/>
    <w:rsid w:val="39CC77C6"/>
    <w:rsid w:val="39E210F9"/>
    <w:rsid w:val="39E6508D"/>
    <w:rsid w:val="39F63F29"/>
    <w:rsid w:val="3A064DE8"/>
    <w:rsid w:val="3A262086"/>
    <w:rsid w:val="3A27336E"/>
    <w:rsid w:val="3A307109"/>
    <w:rsid w:val="3A377697"/>
    <w:rsid w:val="3A3A3815"/>
    <w:rsid w:val="3A4F78D0"/>
    <w:rsid w:val="3A5514CE"/>
    <w:rsid w:val="3A5905FB"/>
    <w:rsid w:val="3A5C286C"/>
    <w:rsid w:val="3A6D720D"/>
    <w:rsid w:val="3A704D37"/>
    <w:rsid w:val="3A713F19"/>
    <w:rsid w:val="3A8B5B27"/>
    <w:rsid w:val="3AB50103"/>
    <w:rsid w:val="3ABD5CA2"/>
    <w:rsid w:val="3ADB2718"/>
    <w:rsid w:val="3B023801"/>
    <w:rsid w:val="3B1A470B"/>
    <w:rsid w:val="3B1D2E45"/>
    <w:rsid w:val="3B2C4519"/>
    <w:rsid w:val="3B5129DA"/>
    <w:rsid w:val="3B5566ED"/>
    <w:rsid w:val="3B5878C5"/>
    <w:rsid w:val="3B8B1B71"/>
    <w:rsid w:val="3BC96847"/>
    <w:rsid w:val="3BF53366"/>
    <w:rsid w:val="3BF82E56"/>
    <w:rsid w:val="3BF84277"/>
    <w:rsid w:val="3C165EA1"/>
    <w:rsid w:val="3C2B6D87"/>
    <w:rsid w:val="3C3F2833"/>
    <w:rsid w:val="3C504A40"/>
    <w:rsid w:val="3C5F0D24"/>
    <w:rsid w:val="3C6E4EC6"/>
    <w:rsid w:val="3C87220D"/>
    <w:rsid w:val="3C940798"/>
    <w:rsid w:val="3C9B3F0D"/>
    <w:rsid w:val="3CBE5B25"/>
    <w:rsid w:val="3CBE720A"/>
    <w:rsid w:val="3CC221BC"/>
    <w:rsid w:val="3CEB69CA"/>
    <w:rsid w:val="3CF47A8D"/>
    <w:rsid w:val="3CF67395"/>
    <w:rsid w:val="3CFC5061"/>
    <w:rsid w:val="3CFC5A84"/>
    <w:rsid w:val="3D0648B2"/>
    <w:rsid w:val="3D073351"/>
    <w:rsid w:val="3D115212"/>
    <w:rsid w:val="3D2D6535"/>
    <w:rsid w:val="3D3F0C3A"/>
    <w:rsid w:val="3D434902"/>
    <w:rsid w:val="3D4C4B2E"/>
    <w:rsid w:val="3D4E4BC9"/>
    <w:rsid w:val="3D55568B"/>
    <w:rsid w:val="3D652E75"/>
    <w:rsid w:val="3D670004"/>
    <w:rsid w:val="3D687B67"/>
    <w:rsid w:val="3D713C83"/>
    <w:rsid w:val="3D7824A0"/>
    <w:rsid w:val="3D9A0E8C"/>
    <w:rsid w:val="3D9C0AF7"/>
    <w:rsid w:val="3DB83C05"/>
    <w:rsid w:val="3DC6681E"/>
    <w:rsid w:val="3DE14EE6"/>
    <w:rsid w:val="3DEE7D7D"/>
    <w:rsid w:val="3E0F3995"/>
    <w:rsid w:val="3E2717D1"/>
    <w:rsid w:val="3E375EB7"/>
    <w:rsid w:val="3E506F79"/>
    <w:rsid w:val="3E556F89"/>
    <w:rsid w:val="3E640EDC"/>
    <w:rsid w:val="3E642A25"/>
    <w:rsid w:val="3E6F5651"/>
    <w:rsid w:val="3E7C4CA4"/>
    <w:rsid w:val="3E842B4A"/>
    <w:rsid w:val="3E851ECD"/>
    <w:rsid w:val="3E9125D0"/>
    <w:rsid w:val="3E962A3C"/>
    <w:rsid w:val="3EBB6345"/>
    <w:rsid w:val="3EBF49C2"/>
    <w:rsid w:val="3ED6747E"/>
    <w:rsid w:val="3EED1B1E"/>
    <w:rsid w:val="3EF15791"/>
    <w:rsid w:val="3F0D465A"/>
    <w:rsid w:val="3F1F6490"/>
    <w:rsid w:val="3F2D1069"/>
    <w:rsid w:val="3F405ED8"/>
    <w:rsid w:val="3F483491"/>
    <w:rsid w:val="3F586C81"/>
    <w:rsid w:val="3F6E235D"/>
    <w:rsid w:val="3F716E86"/>
    <w:rsid w:val="3F7E67A5"/>
    <w:rsid w:val="3F850EA5"/>
    <w:rsid w:val="3F9D1D4A"/>
    <w:rsid w:val="3F9F027E"/>
    <w:rsid w:val="3FB6105E"/>
    <w:rsid w:val="3FCD2809"/>
    <w:rsid w:val="3FE037A4"/>
    <w:rsid w:val="40015BA2"/>
    <w:rsid w:val="4026489C"/>
    <w:rsid w:val="406D5BC1"/>
    <w:rsid w:val="40880C4C"/>
    <w:rsid w:val="408E62DA"/>
    <w:rsid w:val="40BD2D00"/>
    <w:rsid w:val="40C44AD9"/>
    <w:rsid w:val="40D65F6D"/>
    <w:rsid w:val="41034F22"/>
    <w:rsid w:val="41067DC3"/>
    <w:rsid w:val="410A340F"/>
    <w:rsid w:val="41105E87"/>
    <w:rsid w:val="41146E12"/>
    <w:rsid w:val="411B5053"/>
    <w:rsid w:val="411C75E7"/>
    <w:rsid w:val="412073E8"/>
    <w:rsid w:val="41365A0D"/>
    <w:rsid w:val="413E1696"/>
    <w:rsid w:val="413E56F7"/>
    <w:rsid w:val="413E6295"/>
    <w:rsid w:val="41603EA2"/>
    <w:rsid w:val="4166470A"/>
    <w:rsid w:val="41911D83"/>
    <w:rsid w:val="41AC71A2"/>
    <w:rsid w:val="41B8730F"/>
    <w:rsid w:val="41BD13A2"/>
    <w:rsid w:val="41EF0857"/>
    <w:rsid w:val="420757C4"/>
    <w:rsid w:val="421877CE"/>
    <w:rsid w:val="42497F67"/>
    <w:rsid w:val="426F49B0"/>
    <w:rsid w:val="429621C8"/>
    <w:rsid w:val="42A73E07"/>
    <w:rsid w:val="42E22039"/>
    <w:rsid w:val="42FB3958"/>
    <w:rsid w:val="43150DC5"/>
    <w:rsid w:val="4342051A"/>
    <w:rsid w:val="434626F9"/>
    <w:rsid w:val="435F2257"/>
    <w:rsid w:val="43667423"/>
    <w:rsid w:val="437E6337"/>
    <w:rsid w:val="43865BC2"/>
    <w:rsid w:val="438D0328"/>
    <w:rsid w:val="43A538C3"/>
    <w:rsid w:val="43B73256"/>
    <w:rsid w:val="43BB4E95"/>
    <w:rsid w:val="43EC14F2"/>
    <w:rsid w:val="440E6DBA"/>
    <w:rsid w:val="441561F4"/>
    <w:rsid w:val="44353144"/>
    <w:rsid w:val="44476729"/>
    <w:rsid w:val="4451573E"/>
    <w:rsid w:val="44547165"/>
    <w:rsid w:val="445B1A15"/>
    <w:rsid w:val="44654E01"/>
    <w:rsid w:val="446C36C3"/>
    <w:rsid w:val="44906321"/>
    <w:rsid w:val="449F6565"/>
    <w:rsid w:val="44A271BE"/>
    <w:rsid w:val="44A75419"/>
    <w:rsid w:val="44AD3E61"/>
    <w:rsid w:val="44B23BEC"/>
    <w:rsid w:val="44B52E10"/>
    <w:rsid w:val="44BF2B1E"/>
    <w:rsid w:val="44CD1324"/>
    <w:rsid w:val="44D5511E"/>
    <w:rsid w:val="44F71F03"/>
    <w:rsid w:val="44F763A1"/>
    <w:rsid w:val="45111B9D"/>
    <w:rsid w:val="45126D36"/>
    <w:rsid w:val="451B37EB"/>
    <w:rsid w:val="452B7DF8"/>
    <w:rsid w:val="453F69CB"/>
    <w:rsid w:val="45505343"/>
    <w:rsid w:val="45654C8F"/>
    <w:rsid w:val="457004A6"/>
    <w:rsid w:val="459502CC"/>
    <w:rsid w:val="45AB114D"/>
    <w:rsid w:val="45BE450A"/>
    <w:rsid w:val="45CC5137"/>
    <w:rsid w:val="45D472DF"/>
    <w:rsid w:val="45EC7420"/>
    <w:rsid w:val="45ED6D1F"/>
    <w:rsid w:val="460F5C2E"/>
    <w:rsid w:val="46160AA8"/>
    <w:rsid w:val="4634416E"/>
    <w:rsid w:val="46346A08"/>
    <w:rsid w:val="46356782"/>
    <w:rsid w:val="46523C78"/>
    <w:rsid w:val="46707128"/>
    <w:rsid w:val="46753A21"/>
    <w:rsid w:val="467626BB"/>
    <w:rsid w:val="46A55C75"/>
    <w:rsid w:val="46A9191C"/>
    <w:rsid w:val="46AE701E"/>
    <w:rsid w:val="46D726FE"/>
    <w:rsid w:val="46DB3B5B"/>
    <w:rsid w:val="46FC7C9E"/>
    <w:rsid w:val="4705784A"/>
    <w:rsid w:val="47083145"/>
    <w:rsid w:val="47136D96"/>
    <w:rsid w:val="47151E48"/>
    <w:rsid w:val="47200710"/>
    <w:rsid w:val="4722056F"/>
    <w:rsid w:val="472A3D76"/>
    <w:rsid w:val="473B3BC6"/>
    <w:rsid w:val="473B53F5"/>
    <w:rsid w:val="4743767B"/>
    <w:rsid w:val="47486A40"/>
    <w:rsid w:val="475409E3"/>
    <w:rsid w:val="47842920"/>
    <w:rsid w:val="47B2035D"/>
    <w:rsid w:val="47C22A8D"/>
    <w:rsid w:val="47CF0F0F"/>
    <w:rsid w:val="47D74267"/>
    <w:rsid w:val="47DF6041"/>
    <w:rsid w:val="47E215FA"/>
    <w:rsid w:val="481524AF"/>
    <w:rsid w:val="48362777"/>
    <w:rsid w:val="483671E0"/>
    <w:rsid w:val="484F2050"/>
    <w:rsid w:val="48522A19"/>
    <w:rsid w:val="48615DEE"/>
    <w:rsid w:val="48681A45"/>
    <w:rsid w:val="486F624E"/>
    <w:rsid w:val="487330B4"/>
    <w:rsid w:val="487778B0"/>
    <w:rsid w:val="487D0155"/>
    <w:rsid w:val="48847F4B"/>
    <w:rsid w:val="489932CB"/>
    <w:rsid w:val="489C327B"/>
    <w:rsid w:val="489D2DBB"/>
    <w:rsid w:val="48A71E8C"/>
    <w:rsid w:val="48A73C3A"/>
    <w:rsid w:val="48B9451E"/>
    <w:rsid w:val="48C26CC5"/>
    <w:rsid w:val="48E40CD3"/>
    <w:rsid w:val="48F25054"/>
    <w:rsid w:val="48F7696F"/>
    <w:rsid w:val="490841A0"/>
    <w:rsid w:val="490E5A67"/>
    <w:rsid w:val="49172B6D"/>
    <w:rsid w:val="4921579A"/>
    <w:rsid w:val="49236991"/>
    <w:rsid w:val="4926610E"/>
    <w:rsid w:val="493354CD"/>
    <w:rsid w:val="49683818"/>
    <w:rsid w:val="4972249A"/>
    <w:rsid w:val="498B70B7"/>
    <w:rsid w:val="498D1081"/>
    <w:rsid w:val="49A21A80"/>
    <w:rsid w:val="49A85EBB"/>
    <w:rsid w:val="49C90623"/>
    <w:rsid w:val="49D07BAC"/>
    <w:rsid w:val="49DD7F47"/>
    <w:rsid w:val="49FD6207"/>
    <w:rsid w:val="4A103085"/>
    <w:rsid w:val="4A177A62"/>
    <w:rsid w:val="4A1C0126"/>
    <w:rsid w:val="4A333928"/>
    <w:rsid w:val="4A5E0DA1"/>
    <w:rsid w:val="4A871F75"/>
    <w:rsid w:val="4A8A11DE"/>
    <w:rsid w:val="4ABB1C1E"/>
    <w:rsid w:val="4AC13D77"/>
    <w:rsid w:val="4AD011AB"/>
    <w:rsid w:val="4ADA4FF8"/>
    <w:rsid w:val="4AE253FD"/>
    <w:rsid w:val="4AE42F23"/>
    <w:rsid w:val="4AE66C9B"/>
    <w:rsid w:val="4AED4759"/>
    <w:rsid w:val="4AF33166"/>
    <w:rsid w:val="4B003786"/>
    <w:rsid w:val="4B1E132F"/>
    <w:rsid w:val="4B2E23F0"/>
    <w:rsid w:val="4B3C4E66"/>
    <w:rsid w:val="4B4874CB"/>
    <w:rsid w:val="4B49547C"/>
    <w:rsid w:val="4B654AC8"/>
    <w:rsid w:val="4B7775F9"/>
    <w:rsid w:val="4B865C92"/>
    <w:rsid w:val="4B8E2DCC"/>
    <w:rsid w:val="4B8E4FD7"/>
    <w:rsid w:val="4C013661"/>
    <w:rsid w:val="4C101AF6"/>
    <w:rsid w:val="4C1D0615"/>
    <w:rsid w:val="4C2F01CE"/>
    <w:rsid w:val="4C43452E"/>
    <w:rsid w:val="4C4A0CC7"/>
    <w:rsid w:val="4C6562E6"/>
    <w:rsid w:val="4C72455F"/>
    <w:rsid w:val="4C8D1398"/>
    <w:rsid w:val="4C8D405B"/>
    <w:rsid w:val="4C962483"/>
    <w:rsid w:val="4CAA0A38"/>
    <w:rsid w:val="4CB84667"/>
    <w:rsid w:val="4CEB05BD"/>
    <w:rsid w:val="4D0C49B3"/>
    <w:rsid w:val="4D0E072B"/>
    <w:rsid w:val="4D135839"/>
    <w:rsid w:val="4D16313C"/>
    <w:rsid w:val="4D1D3EC1"/>
    <w:rsid w:val="4D1E3A2B"/>
    <w:rsid w:val="4D24659F"/>
    <w:rsid w:val="4D2832EB"/>
    <w:rsid w:val="4D2A4DD2"/>
    <w:rsid w:val="4D447183"/>
    <w:rsid w:val="4D647AE6"/>
    <w:rsid w:val="4D71100A"/>
    <w:rsid w:val="4D7762D0"/>
    <w:rsid w:val="4DA70238"/>
    <w:rsid w:val="4DBF5582"/>
    <w:rsid w:val="4E1B63C8"/>
    <w:rsid w:val="4E2003FE"/>
    <w:rsid w:val="4E300D74"/>
    <w:rsid w:val="4E3061FA"/>
    <w:rsid w:val="4E3160E5"/>
    <w:rsid w:val="4E616A62"/>
    <w:rsid w:val="4E673054"/>
    <w:rsid w:val="4E720529"/>
    <w:rsid w:val="4E832E28"/>
    <w:rsid w:val="4E8D5680"/>
    <w:rsid w:val="4E8F36DE"/>
    <w:rsid w:val="4E9D4C26"/>
    <w:rsid w:val="4EC5384B"/>
    <w:rsid w:val="4ECD32CB"/>
    <w:rsid w:val="4ED141EC"/>
    <w:rsid w:val="4EE5383C"/>
    <w:rsid w:val="4EE935C2"/>
    <w:rsid w:val="4EF70D4B"/>
    <w:rsid w:val="4EFB5B9B"/>
    <w:rsid w:val="4EFD753C"/>
    <w:rsid w:val="4F0A6CD0"/>
    <w:rsid w:val="4F0E0ACA"/>
    <w:rsid w:val="4F1017BD"/>
    <w:rsid w:val="4F3718BD"/>
    <w:rsid w:val="4F5A4BDB"/>
    <w:rsid w:val="4F5D14F6"/>
    <w:rsid w:val="4F74239C"/>
    <w:rsid w:val="4F7B197C"/>
    <w:rsid w:val="4F8627FB"/>
    <w:rsid w:val="4F8A5CCD"/>
    <w:rsid w:val="4FA51639"/>
    <w:rsid w:val="4FAE1D52"/>
    <w:rsid w:val="4FB15367"/>
    <w:rsid w:val="4FDF015D"/>
    <w:rsid w:val="4FE83FB3"/>
    <w:rsid w:val="4FF65B59"/>
    <w:rsid w:val="500A342C"/>
    <w:rsid w:val="501D1534"/>
    <w:rsid w:val="502B2336"/>
    <w:rsid w:val="504A7D1E"/>
    <w:rsid w:val="506348EA"/>
    <w:rsid w:val="506403D2"/>
    <w:rsid w:val="506B27CC"/>
    <w:rsid w:val="507D6E7C"/>
    <w:rsid w:val="507F03A3"/>
    <w:rsid w:val="50847553"/>
    <w:rsid w:val="50921CE8"/>
    <w:rsid w:val="50A94FC3"/>
    <w:rsid w:val="50AA2519"/>
    <w:rsid w:val="50AE2386"/>
    <w:rsid w:val="50AF5902"/>
    <w:rsid w:val="50B05655"/>
    <w:rsid w:val="50BE4216"/>
    <w:rsid w:val="50CB5326"/>
    <w:rsid w:val="50D0270F"/>
    <w:rsid w:val="50D56CFB"/>
    <w:rsid w:val="5107787C"/>
    <w:rsid w:val="510D1493"/>
    <w:rsid w:val="5131377C"/>
    <w:rsid w:val="513B5867"/>
    <w:rsid w:val="513F5357"/>
    <w:rsid w:val="516923D4"/>
    <w:rsid w:val="51713037"/>
    <w:rsid w:val="517C1C3A"/>
    <w:rsid w:val="518741CF"/>
    <w:rsid w:val="51896D67"/>
    <w:rsid w:val="518E3BE9"/>
    <w:rsid w:val="519A0805"/>
    <w:rsid w:val="51AE428B"/>
    <w:rsid w:val="51C16A92"/>
    <w:rsid w:val="51D159E4"/>
    <w:rsid w:val="51D23CF6"/>
    <w:rsid w:val="51D33F5C"/>
    <w:rsid w:val="52021EE1"/>
    <w:rsid w:val="520F24BE"/>
    <w:rsid w:val="521265C8"/>
    <w:rsid w:val="52232583"/>
    <w:rsid w:val="522602C5"/>
    <w:rsid w:val="52262073"/>
    <w:rsid w:val="522E717A"/>
    <w:rsid w:val="523A5B1F"/>
    <w:rsid w:val="526B03C9"/>
    <w:rsid w:val="527C1C93"/>
    <w:rsid w:val="527D378D"/>
    <w:rsid w:val="52814084"/>
    <w:rsid w:val="52916AB6"/>
    <w:rsid w:val="529C6B14"/>
    <w:rsid w:val="52CC6922"/>
    <w:rsid w:val="53025DF5"/>
    <w:rsid w:val="53136604"/>
    <w:rsid w:val="5325057D"/>
    <w:rsid w:val="532816D2"/>
    <w:rsid w:val="533819ED"/>
    <w:rsid w:val="53384566"/>
    <w:rsid w:val="534574DF"/>
    <w:rsid w:val="53523BE4"/>
    <w:rsid w:val="536863BA"/>
    <w:rsid w:val="537312E8"/>
    <w:rsid w:val="53955F69"/>
    <w:rsid w:val="53A07C03"/>
    <w:rsid w:val="53B96380"/>
    <w:rsid w:val="53C9715A"/>
    <w:rsid w:val="53D33B35"/>
    <w:rsid w:val="53E53868"/>
    <w:rsid w:val="53EC4BF7"/>
    <w:rsid w:val="5415239F"/>
    <w:rsid w:val="541D47B6"/>
    <w:rsid w:val="54232331"/>
    <w:rsid w:val="54273E81"/>
    <w:rsid w:val="544467E1"/>
    <w:rsid w:val="54547D9B"/>
    <w:rsid w:val="5458228C"/>
    <w:rsid w:val="5472041A"/>
    <w:rsid w:val="547D2F6A"/>
    <w:rsid w:val="549D76B8"/>
    <w:rsid w:val="54A83213"/>
    <w:rsid w:val="54B532F6"/>
    <w:rsid w:val="54D65DCA"/>
    <w:rsid w:val="54D87E8C"/>
    <w:rsid w:val="54F01B5A"/>
    <w:rsid w:val="54FF272B"/>
    <w:rsid w:val="55000D5A"/>
    <w:rsid w:val="55165909"/>
    <w:rsid w:val="552A12E9"/>
    <w:rsid w:val="55366B43"/>
    <w:rsid w:val="55376F41"/>
    <w:rsid w:val="55407294"/>
    <w:rsid w:val="5556068C"/>
    <w:rsid w:val="5560358C"/>
    <w:rsid w:val="556F4202"/>
    <w:rsid w:val="557E5D22"/>
    <w:rsid w:val="5587381A"/>
    <w:rsid w:val="5588094F"/>
    <w:rsid w:val="55900536"/>
    <w:rsid w:val="559056C9"/>
    <w:rsid w:val="55935C72"/>
    <w:rsid w:val="559B68D4"/>
    <w:rsid w:val="55A9235E"/>
    <w:rsid w:val="55C53771"/>
    <w:rsid w:val="55CE6CAA"/>
    <w:rsid w:val="55D27106"/>
    <w:rsid w:val="55E2789E"/>
    <w:rsid w:val="55E667EF"/>
    <w:rsid w:val="55FF3F3F"/>
    <w:rsid w:val="56044479"/>
    <w:rsid w:val="56366941"/>
    <w:rsid w:val="56396D87"/>
    <w:rsid w:val="564479AE"/>
    <w:rsid w:val="56574FE3"/>
    <w:rsid w:val="565F4FBB"/>
    <w:rsid w:val="566273F2"/>
    <w:rsid w:val="56772E9D"/>
    <w:rsid w:val="567809C3"/>
    <w:rsid w:val="567B452E"/>
    <w:rsid w:val="568D42F5"/>
    <w:rsid w:val="56974899"/>
    <w:rsid w:val="56E01B58"/>
    <w:rsid w:val="56F75D8C"/>
    <w:rsid w:val="57082507"/>
    <w:rsid w:val="571903F8"/>
    <w:rsid w:val="572C7079"/>
    <w:rsid w:val="57342DA7"/>
    <w:rsid w:val="5739142F"/>
    <w:rsid w:val="573C1917"/>
    <w:rsid w:val="575B27BF"/>
    <w:rsid w:val="575F17AF"/>
    <w:rsid w:val="5767596D"/>
    <w:rsid w:val="578323A4"/>
    <w:rsid w:val="5785783C"/>
    <w:rsid w:val="579E445A"/>
    <w:rsid w:val="57A31556"/>
    <w:rsid w:val="57C91CD3"/>
    <w:rsid w:val="57E5381D"/>
    <w:rsid w:val="57FE2E2B"/>
    <w:rsid w:val="57FF75EE"/>
    <w:rsid w:val="5802083C"/>
    <w:rsid w:val="58150BC0"/>
    <w:rsid w:val="58263109"/>
    <w:rsid w:val="5839011B"/>
    <w:rsid w:val="583B71BB"/>
    <w:rsid w:val="583F79EB"/>
    <w:rsid w:val="585159D6"/>
    <w:rsid w:val="58576B00"/>
    <w:rsid w:val="586162DF"/>
    <w:rsid w:val="58865568"/>
    <w:rsid w:val="588673C8"/>
    <w:rsid w:val="5889335C"/>
    <w:rsid w:val="588F0D62"/>
    <w:rsid w:val="58985D02"/>
    <w:rsid w:val="58A61818"/>
    <w:rsid w:val="58B55EFF"/>
    <w:rsid w:val="58B77EC9"/>
    <w:rsid w:val="58BE3005"/>
    <w:rsid w:val="58C074A6"/>
    <w:rsid w:val="58E56176"/>
    <w:rsid w:val="58E63645"/>
    <w:rsid w:val="58EF598F"/>
    <w:rsid w:val="58FE1654"/>
    <w:rsid w:val="59172716"/>
    <w:rsid w:val="591A79B6"/>
    <w:rsid w:val="591C32F6"/>
    <w:rsid w:val="592E7F1E"/>
    <w:rsid w:val="592F3181"/>
    <w:rsid w:val="59343FE0"/>
    <w:rsid w:val="59444A7D"/>
    <w:rsid w:val="594C6863"/>
    <w:rsid w:val="59613991"/>
    <w:rsid w:val="59710078"/>
    <w:rsid w:val="59767BEA"/>
    <w:rsid w:val="598007C9"/>
    <w:rsid w:val="598633F7"/>
    <w:rsid w:val="59867633"/>
    <w:rsid w:val="599C0C80"/>
    <w:rsid w:val="59A30D86"/>
    <w:rsid w:val="59A85A64"/>
    <w:rsid w:val="59B7586F"/>
    <w:rsid w:val="59D16D68"/>
    <w:rsid w:val="59D879A4"/>
    <w:rsid w:val="59DD395F"/>
    <w:rsid w:val="59E12CE5"/>
    <w:rsid w:val="59ED12FD"/>
    <w:rsid w:val="5A050733"/>
    <w:rsid w:val="5A054C64"/>
    <w:rsid w:val="5A071FEF"/>
    <w:rsid w:val="5A325426"/>
    <w:rsid w:val="5A3F39CE"/>
    <w:rsid w:val="5A443D90"/>
    <w:rsid w:val="5A445DDF"/>
    <w:rsid w:val="5A517EA9"/>
    <w:rsid w:val="5A541376"/>
    <w:rsid w:val="5A5B2AD6"/>
    <w:rsid w:val="5A613D88"/>
    <w:rsid w:val="5A821E20"/>
    <w:rsid w:val="5A9F3CAF"/>
    <w:rsid w:val="5AA4035E"/>
    <w:rsid w:val="5AAD3A89"/>
    <w:rsid w:val="5ACF027A"/>
    <w:rsid w:val="5AF150A5"/>
    <w:rsid w:val="5AFC7E15"/>
    <w:rsid w:val="5B1D53F4"/>
    <w:rsid w:val="5B1F1D55"/>
    <w:rsid w:val="5B296E65"/>
    <w:rsid w:val="5B2F4477"/>
    <w:rsid w:val="5B5678CB"/>
    <w:rsid w:val="5B600BCF"/>
    <w:rsid w:val="5B9820C7"/>
    <w:rsid w:val="5BB75A49"/>
    <w:rsid w:val="5BCB5E2F"/>
    <w:rsid w:val="5BD82630"/>
    <w:rsid w:val="5BE4473F"/>
    <w:rsid w:val="5BE64A63"/>
    <w:rsid w:val="5BF154A0"/>
    <w:rsid w:val="5C3655A9"/>
    <w:rsid w:val="5C433822"/>
    <w:rsid w:val="5C4F0418"/>
    <w:rsid w:val="5C537F09"/>
    <w:rsid w:val="5C6C2D78"/>
    <w:rsid w:val="5C7822A1"/>
    <w:rsid w:val="5C89392A"/>
    <w:rsid w:val="5C8C5B00"/>
    <w:rsid w:val="5C8D7B75"/>
    <w:rsid w:val="5CB661BD"/>
    <w:rsid w:val="5CBC0239"/>
    <w:rsid w:val="5CBE1268"/>
    <w:rsid w:val="5CCB1749"/>
    <w:rsid w:val="5CE57E3C"/>
    <w:rsid w:val="5CFC72D3"/>
    <w:rsid w:val="5CFF3BED"/>
    <w:rsid w:val="5D0345E4"/>
    <w:rsid w:val="5D045D1C"/>
    <w:rsid w:val="5D0C065C"/>
    <w:rsid w:val="5D1C479E"/>
    <w:rsid w:val="5D236E89"/>
    <w:rsid w:val="5D23734A"/>
    <w:rsid w:val="5D2418A5"/>
    <w:rsid w:val="5D252A90"/>
    <w:rsid w:val="5D313908"/>
    <w:rsid w:val="5D6F6B4F"/>
    <w:rsid w:val="5D852344"/>
    <w:rsid w:val="5D953E6D"/>
    <w:rsid w:val="5D996223"/>
    <w:rsid w:val="5DA67BC2"/>
    <w:rsid w:val="5DB22A0D"/>
    <w:rsid w:val="5DB97074"/>
    <w:rsid w:val="5DC80482"/>
    <w:rsid w:val="5DCB0242"/>
    <w:rsid w:val="5DDF61F5"/>
    <w:rsid w:val="5DE26DDD"/>
    <w:rsid w:val="5DFE4AF5"/>
    <w:rsid w:val="5E070FAB"/>
    <w:rsid w:val="5E290AC1"/>
    <w:rsid w:val="5E642E2D"/>
    <w:rsid w:val="5E671A49"/>
    <w:rsid w:val="5E7C2363"/>
    <w:rsid w:val="5E7F419A"/>
    <w:rsid w:val="5E961768"/>
    <w:rsid w:val="5E9C0821"/>
    <w:rsid w:val="5EC24ED2"/>
    <w:rsid w:val="5EF15D3B"/>
    <w:rsid w:val="5F18365D"/>
    <w:rsid w:val="5F21609C"/>
    <w:rsid w:val="5F345C2E"/>
    <w:rsid w:val="5F810134"/>
    <w:rsid w:val="5F87036C"/>
    <w:rsid w:val="5F9525E6"/>
    <w:rsid w:val="5FFB117F"/>
    <w:rsid w:val="600B4656"/>
    <w:rsid w:val="60125B90"/>
    <w:rsid w:val="60160E14"/>
    <w:rsid w:val="60165900"/>
    <w:rsid w:val="60210E8A"/>
    <w:rsid w:val="6035291E"/>
    <w:rsid w:val="604D2EC1"/>
    <w:rsid w:val="60761B4F"/>
    <w:rsid w:val="60837AD2"/>
    <w:rsid w:val="6098490A"/>
    <w:rsid w:val="60AA1764"/>
    <w:rsid w:val="60DD2497"/>
    <w:rsid w:val="60F358FE"/>
    <w:rsid w:val="610C68D8"/>
    <w:rsid w:val="612F453E"/>
    <w:rsid w:val="614E770C"/>
    <w:rsid w:val="615D7134"/>
    <w:rsid w:val="6163141D"/>
    <w:rsid w:val="616A70A8"/>
    <w:rsid w:val="616D5E79"/>
    <w:rsid w:val="616D74B5"/>
    <w:rsid w:val="61834F04"/>
    <w:rsid w:val="619D39D4"/>
    <w:rsid w:val="61AD3B0B"/>
    <w:rsid w:val="61E0223F"/>
    <w:rsid w:val="61F26AF9"/>
    <w:rsid w:val="61F41846"/>
    <w:rsid w:val="61F877E9"/>
    <w:rsid w:val="61FC1F00"/>
    <w:rsid w:val="62030934"/>
    <w:rsid w:val="621429B8"/>
    <w:rsid w:val="6218444B"/>
    <w:rsid w:val="62215C98"/>
    <w:rsid w:val="622B6E5F"/>
    <w:rsid w:val="623E513D"/>
    <w:rsid w:val="62683FE2"/>
    <w:rsid w:val="62970423"/>
    <w:rsid w:val="62A74B0A"/>
    <w:rsid w:val="62C20628"/>
    <w:rsid w:val="62CC2423"/>
    <w:rsid w:val="62E80C7F"/>
    <w:rsid w:val="62EE44E7"/>
    <w:rsid w:val="632D718F"/>
    <w:rsid w:val="63351E60"/>
    <w:rsid w:val="63434335"/>
    <w:rsid w:val="634F42D9"/>
    <w:rsid w:val="63535476"/>
    <w:rsid w:val="636D772A"/>
    <w:rsid w:val="63747CFB"/>
    <w:rsid w:val="637F15E3"/>
    <w:rsid w:val="638572F3"/>
    <w:rsid w:val="639332E1"/>
    <w:rsid w:val="63A60BB3"/>
    <w:rsid w:val="63A97D2A"/>
    <w:rsid w:val="63DA0771"/>
    <w:rsid w:val="63DC4C88"/>
    <w:rsid w:val="64103DA1"/>
    <w:rsid w:val="64601415"/>
    <w:rsid w:val="647A42D8"/>
    <w:rsid w:val="649E7BD8"/>
    <w:rsid w:val="64A95FE4"/>
    <w:rsid w:val="64AD2180"/>
    <w:rsid w:val="64DD2DEE"/>
    <w:rsid w:val="64E21E2A"/>
    <w:rsid w:val="64F55681"/>
    <w:rsid w:val="65235DFA"/>
    <w:rsid w:val="65336B29"/>
    <w:rsid w:val="653D1756"/>
    <w:rsid w:val="65421088"/>
    <w:rsid w:val="65453C1E"/>
    <w:rsid w:val="654A4486"/>
    <w:rsid w:val="654F0F62"/>
    <w:rsid w:val="6595226D"/>
    <w:rsid w:val="65965111"/>
    <w:rsid w:val="65A36A14"/>
    <w:rsid w:val="65B55790"/>
    <w:rsid w:val="65BA7326"/>
    <w:rsid w:val="65C17979"/>
    <w:rsid w:val="65DD6A95"/>
    <w:rsid w:val="65E6594A"/>
    <w:rsid w:val="65EB7404"/>
    <w:rsid w:val="65FE78C8"/>
    <w:rsid w:val="661A2CED"/>
    <w:rsid w:val="662379FE"/>
    <w:rsid w:val="66292B1D"/>
    <w:rsid w:val="66391F1D"/>
    <w:rsid w:val="663B2BBC"/>
    <w:rsid w:val="66506635"/>
    <w:rsid w:val="66524A62"/>
    <w:rsid w:val="666351EC"/>
    <w:rsid w:val="66823B40"/>
    <w:rsid w:val="668B64F1"/>
    <w:rsid w:val="669109C0"/>
    <w:rsid w:val="66BC4256"/>
    <w:rsid w:val="66D9741B"/>
    <w:rsid w:val="66DE0D17"/>
    <w:rsid w:val="66E42497"/>
    <w:rsid w:val="66F9345B"/>
    <w:rsid w:val="66FB2330"/>
    <w:rsid w:val="66FE5170"/>
    <w:rsid w:val="67277FC8"/>
    <w:rsid w:val="674E7C4A"/>
    <w:rsid w:val="67566AFF"/>
    <w:rsid w:val="676F3219"/>
    <w:rsid w:val="677E4A78"/>
    <w:rsid w:val="677F4B62"/>
    <w:rsid w:val="678E0047"/>
    <w:rsid w:val="679C0B0A"/>
    <w:rsid w:val="679D115D"/>
    <w:rsid w:val="67A372BD"/>
    <w:rsid w:val="67A8586C"/>
    <w:rsid w:val="67A91325"/>
    <w:rsid w:val="67AF3146"/>
    <w:rsid w:val="67BE77BF"/>
    <w:rsid w:val="67C73559"/>
    <w:rsid w:val="67CB3049"/>
    <w:rsid w:val="67CD6582"/>
    <w:rsid w:val="67D652A3"/>
    <w:rsid w:val="67E61C31"/>
    <w:rsid w:val="67F00D02"/>
    <w:rsid w:val="67F9468F"/>
    <w:rsid w:val="67FC57A7"/>
    <w:rsid w:val="67FF0FAA"/>
    <w:rsid w:val="68012F0F"/>
    <w:rsid w:val="6804734D"/>
    <w:rsid w:val="68067451"/>
    <w:rsid w:val="680F0209"/>
    <w:rsid w:val="68143978"/>
    <w:rsid w:val="682664D1"/>
    <w:rsid w:val="683558CE"/>
    <w:rsid w:val="68660FC4"/>
    <w:rsid w:val="686D4100"/>
    <w:rsid w:val="689A0C6D"/>
    <w:rsid w:val="689C6793"/>
    <w:rsid w:val="68A31382"/>
    <w:rsid w:val="68A869C0"/>
    <w:rsid w:val="68B05B70"/>
    <w:rsid w:val="68D756E5"/>
    <w:rsid w:val="68F3344C"/>
    <w:rsid w:val="69064B53"/>
    <w:rsid w:val="690B56C7"/>
    <w:rsid w:val="691C1682"/>
    <w:rsid w:val="69253B9F"/>
    <w:rsid w:val="69270113"/>
    <w:rsid w:val="692F0054"/>
    <w:rsid w:val="693D3D89"/>
    <w:rsid w:val="694B2E92"/>
    <w:rsid w:val="694E2184"/>
    <w:rsid w:val="695A1195"/>
    <w:rsid w:val="695E1C9B"/>
    <w:rsid w:val="69686316"/>
    <w:rsid w:val="696B6D4C"/>
    <w:rsid w:val="696E7130"/>
    <w:rsid w:val="697F483C"/>
    <w:rsid w:val="69A130CC"/>
    <w:rsid w:val="69AD4F73"/>
    <w:rsid w:val="69AF24F6"/>
    <w:rsid w:val="69CD5F85"/>
    <w:rsid w:val="69DF102E"/>
    <w:rsid w:val="69F914C9"/>
    <w:rsid w:val="6A114F5F"/>
    <w:rsid w:val="6A875449"/>
    <w:rsid w:val="6A8D67E5"/>
    <w:rsid w:val="6AB133C0"/>
    <w:rsid w:val="6AB466D5"/>
    <w:rsid w:val="6ACE6A27"/>
    <w:rsid w:val="6AE97F9D"/>
    <w:rsid w:val="6AEB57B0"/>
    <w:rsid w:val="6AF45D9F"/>
    <w:rsid w:val="6AF9611F"/>
    <w:rsid w:val="6B1C5B5B"/>
    <w:rsid w:val="6B217424"/>
    <w:rsid w:val="6B2367ED"/>
    <w:rsid w:val="6B3E1D0E"/>
    <w:rsid w:val="6B460828"/>
    <w:rsid w:val="6BAA7419"/>
    <w:rsid w:val="6BBA72A3"/>
    <w:rsid w:val="6BBB4580"/>
    <w:rsid w:val="6BD7529C"/>
    <w:rsid w:val="6BFB5CBB"/>
    <w:rsid w:val="6C0F3E2C"/>
    <w:rsid w:val="6C154814"/>
    <w:rsid w:val="6C285B7D"/>
    <w:rsid w:val="6C42747B"/>
    <w:rsid w:val="6C482A24"/>
    <w:rsid w:val="6C64734B"/>
    <w:rsid w:val="6C6972D4"/>
    <w:rsid w:val="6C6E0447"/>
    <w:rsid w:val="6C813D5D"/>
    <w:rsid w:val="6C830396"/>
    <w:rsid w:val="6C9679CC"/>
    <w:rsid w:val="6CA125CA"/>
    <w:rsid w:val="6D266F73"/>
    <w:rsid w:val="6D4A0983"/>
    <w:rsid w:val="6D4A1104"/>
    <w:rsid w:val="6D525889"/>
    <w:rsid w:val="6D683915"/>
    <w:rsid w:val="6D8B7FE5"/>
    <w:rsid w:val="6DC22C38"/>
    <w:rsid w:val="6DC878D9"/>
    <w:rsid w:val="6DD53383"/>
    <w:rsid w:val="6DE665ED"/>
    <w:rsid w:val="6E032E11"/>
    <w:rsid w:val="6E152547"/>
    <w:rsid w:val="6E22598D"/>
    <w:rsid w:val="6E283E10"/>
    <w:rsid w:val="6E2F5EE1"/>
    <w:rsid w:val="6E351B3E"/>
    <w:rsid w:val="6E5E2A74"/>
    <w:rsid w:val="6E6B10E2"/>
    <w:rsid w:val="6EA6036C"/>
    <w:rsid w:val="6EB43020"/>
    <w:rsid w:val="6EBD4EFD"/>
    <w:rsid w:val="6EC94415"/>
    <w:rsid w:val="6F1E04AF"/>
    <w:rsid w:val="6F2968A7"/>
    <w:rsid w:val="6F3618D9"/>
    <w:rsid w:val="6F59718C"/>
    <w:rsid w:val="6F68756A"/>
    <w:rsid w:val="6F6931D2"/>
    <w:rsid w:val="6F6F075E"/>
    <w:rsid w:val="6F710E60"/>
    <w:rsid w:val="6F730377"/>
    <w:rsid w:val="6F860F19"/>
    <w:rsid w:val="6F96218E"/>
    <w:rsid w:val="6FC00E4D"/>
    <w:rsid w:val="6FFA56B9"/>
    <w:rsid w:val="7007103A"/>
    <w:rsid w:val="700E61C9"/>
    <w:rsid w:val="701C4F31"/>
    <w:rsid w:val="7030295B"/>
    <w:rsid w:val="704F0926"/>
    <w:rsid w:val="70627164"/>
    <w:rsid w:val="70691651"/>
    <w:rsid w:val="706C7393"/>
    <w:rsid w:val="706F0977"/>
    <w:rsid w:val="70702E6E"/>
    <w:rsid w:val="707E578A"/>
    <w:rsid w:val="70842ECE"/>
    <w:rsid w:val="70877D29"/>
    <w:rsid w:val="708B4332"/>
    <w:rsid w:val="70901D61"/>
    <w:rsid w:val="70A72179"/>
    <w:rsid w:val="70BA0336"/>
    <w:rsid w:val="70C3453C"/>
    <w:rsid w:val="70E60EF4"/>
    <w:rsid w:val="70EE7DA8"/>
    <w:rsid w:val="70FF1FB5"/>
    <w:rsid w:val="71096990"/>
    <w:rsid w:val="711A6DEF"/>
    <w:rsid w:val="711B3D61"/>
    <w:rsid w:val="711D7AE5"/>
    <w:rsid w:val="711E7494"/>
    <w:rsid w:val="712A4F84"/>
    <w:rsid w:val="712B6906"/>
    <w:rsid w:val="716A0543"/>
    <w:rsid w:val="717641E3"/>
    <w:rsid w:val="717A5A8B"/>
    <w:rsid w:val="717A67EB"/>
    <w:rsid w:val="71B1246E"/>
    <w:rsid w:val="71B20DD6"/>
    <w:rsid w:val="71C22D87"/>
    <w:rsid w:val="71C32FE3"/>
    <w:rsid w:val="71CC5E4B"/>
    <w:rsid w:val="71F16AFB"/>
    <w:rsid w:val="720676AD"/>
    <w:rsid w:val="720A0F43"/>
    <w:rsid w:val="720A72E4"/>
    <w:rsid w:val="721835F7"/>
    <w:rsid w:val="721976DD"/>
    <w:rsid w:val="721A04F8"/>
    <w:rsid w:val="724F6F99"/>
    <w:rsid w:val="72513C29"/>
    <w:rsid w:val="7260609B"/>
    <w:rsid w:val="72770F96"/>
    <w:rsid w:val="72887E3E"/>
    <w:rsid w:val="728F04F8"/>
    <w:rsid w:val="72A41AB2"/>
    <w:rsid w:val="72A92CD7"/>
    <w:rsid w:val="72AB5F51"/>
    <w:rsid w:val="72BA40D7"/>
    <w:rsid w:val="72C74D55"/>
    <w:rsid w:val="73087218"/>
    <w:rsid w:val="730A7D9F"/>
    <w:rsid w:val="730B2E93"/>
    <w:rsid w:val="731C29AB"/>
    <w:rsid w:val="73410B07"/>
    <w:rsid w:val="73453238"/>
    <w:rsid w:val="7369247E"/>
    <w:rsid w:val="73847DA2"/>
    <w:rsid w:val="738F7621"/>
    <w:rsid w:val="739C6EEF"/>
    <w:rsid w:val="73C01851"/>
    <w:rsid w:val="73C843FF"/>
    <w:rsid w:val="73D72923"/>
    <w:rsid w:val="73FC73BC"/>
    <w:rsid w:val="74263BAF"/>
    <w:rsid w:val="742C1313"/>
    <w:rsid w:val="7441037B"/>
    <w:rsid w:val="745D75EB"/>
    <w:rsid w:val="746D5FB4"/>
    <w:rsid w:val="747F58E7"/>
    <w:rsid w:val="74803AD0"/>
    <w:rsid w:val="74A25132"/>
    <w:rsid w:val="74A54C22"/>
    <w:rsid w:val="74B46BAF"/>
    <w:rsid w:val="74C24169"/>
    <w:rsid w:val="74D472B5"/>
    <w:rsid w:val="74EC301E"/>
    <w:rsid w:val="74F82FA3"/>
    <w:rsid w:val="75047B9A"/>
    <w:rsid w:val="750556C0"/>
    <w:rsid w:val="75095FDC"/>
    <w:rsid w:val="750965EA"/>
    <w:rsid w:val="750A5E37"/>
    <w:rsid w:val="75175F92"/>
    <w:rsid w:val="75241FEA"/>
    <w:rsid w:val="754053FE"/>
    <w:rsid w:val="75574453"/>
    <w:rsid w:val="75734D20"/>
    <w:rsid w:val="75894543"/>
    <w:rsid w:val="7596645A"/>
    <w:rsid w:val="75B31504"/>
    <w:rsid w:val="75E96D55"/>
    <w:rsid w:val="75EB1C76"/>
    <w:rsid w:val="760E3B60"/>
    <w:rsid w:val="762A53DF"/>
    <w:rsid w:val="762E1165"/>
    <w:rsid w:val="764C281F"/>
    <w:rsid w:val="764F3C94"/>
    <w:rsid w:val="76602054"/>
    <w:rsid w:val="76760624"/>
    <w:rsid w:val="76991F49"/>
    <w:rsid w:val="76BD6253"/>
    <w:rsid w:val="76D0242A"/>
    <w:rsid w:val="770518F3"/>
    <w:rsid w:val="770B1E2E"/>
    <w:rsid w:val="77275DC2"/>
    <w:rsid w:val="77315E06"/>
    <w:rsid w:val="77370B06"/>
    <w:rsid w:val="77397CC7"/>
    <w:rsid w:val="775A7E43"/>
    <w:rsid w:val="777D3C34"/>
    <w:rsid w:val="778401E5"/>
    <w:rsid w:val="77B47B1E"/>
    <w:rsid w:val="77C03766"/>
    <w:rsid w:val="77C73B5C"/>
    <w:rsid w:val="77D17A87"/>
    <w:rsid w:val="77DE08BF"/>
    <w:rsid w:val="77E857C8"/>
    <w:rsid w:val="77EE3A9E"/>
    <w:rsid w:val="77F90A8A"/>
    <w:rsid w:val="780641A5"/>
    <w:rsid w:val="780D4FB8"/>
    <w:rsid w:val="780E2ADE"/>
    <w:rsid w:val="78615181"/>
    <w:rsid w:val="78653FF1"/>
    <w:rsid w:val="788025F9"/>
    <w:rsid w:val="78811502"/>
    <w:rsid w:val="789A6DAA"/>
    <w:rsid w:val="78A21633"/>
    <w:rsid w:val="78BD1885"/>
    <w:rsid w:val="78D41AF7"/>
    <w:rsid w:val="78E81581"/>
    <w:rsid w:val="790F6B0E"/>
    <w:rsid w:val="79222CE5"/>
    <w:rsid w:val="79246A5D"/>
    <w:rsid w:val="793A002E"/>
    <w:rsid w:val="7956031E"/>
    <w:rsid w:val="797B7098"/>
    <w:rsid w:val="79A77907"/>
    <w:rsid w:val="79AC7527"/>
    <w:rsid w:val="79C85CD9"/>
    <w:rsid w:val="79EF1AFD"/>
    <w:rsid w:val="79F002FF"/>
    <w:rsid w:val="79F857F4"/>
    <w:rsid w:val="7A0423EA"/>
    <w:rsid w:val="7A13262E"/>
    <w:rsid w:val="7A1F7224"/>
    <w:rsid w:val="7A256189"/>
    <w:rsid w:val="7A294F73"/>
    <w:rsid w:val="7A2A00A3"/>
    <w:rsid w:val="7A396538"/>
    <w:rsid w:val="7A3B2320"/>
    <w:rsid w:val="7A431165"/>
    <w:rsid w:val="7A4B0019"/>
    <w:rsid w:val="7A5A025C"/>
    <w:rsid w:val="7A67387E"/>
    <w:rsid w:val="7A807CC3"/>
    <w:rsid w:val="7A834CA7"/>
    <w:rsid w:val="7A903C7E"/>
    <w:rsid w:val="7ABE776E"/>
    <w:rsid w:val="7AC8166A"/>
    <w:rsid w:val="7AF91823"/>
    <w:rsid w:val="7B0B1661"/>
    <w:rsid w:val="7B207998"/>
    <w:rsid w:val="7B542EFE"/>
    <w:rsid w:val="7B5C1B37"/>
    <w:rsid w:val="7B7A714B"/>
    <w:rsid w:val="7B7C1ABA"/>
    <w:rsid w:val="7B827A6B"/>
    <w:rsid w:val="7BC03AFF"/>
    <w:rsid w:val="7BD04C7A"/>
    <w:rsid w:val="7BE6624C"/>
    <w:rsid w:val="7BFA1CF7"/>
    <w:rsid w:val="7C127DEF"/>
    <w:rsid w:val="7C15268D"/>
    <w:rsid w:val="7C1D1B23"/>
    <w:rsid w:val="7C446AAA"/>
    <w:rsid w:val="7C5A34B2"/>
    <w:rsid w:val="7C5C1C14"/>
    <w:rsid w:val="7C7208F1"/>
    <w:rsid w:val="7C773348"/>
    <w:rsid w:val="7C8827B0"/>
    <w:rsid w:val="7C896BD7"/>
    <w:rsid w:val="7C8B6483"/>
    <w:rsid w:val="7C8F243F"/>
    <w:rsid w:val="7C9A7F2E"/>
    <w:rsid w:val="7CA828C1"/>
    <w:rsid w:val="7CB45893"/>
    <w:rsid w:val="7CB45958"/>
    <w:rsid w:val="7CC10F1E"/>
    <w:rsid w:val="7CC95006"/>
    <w:rsid w:val="7CE24C65"/>
    <w:rsid w:val="7CE27C6F"/>
    <w:rsid w:val="7D036989"/>
    <w:rsid w:val="7D0A41BC"/>
    <w:rsid w:val="7D147155"/>
    <w:rsid w:val="7D213E64"/>
    <w:rsid w:val="7D435FB7"/>
    <w:rsid w:val="7D484972"/>
    <w:rsid w:val="7D4E64B9"/>
    <w:rsid w:val="7D6C18C7"/>
    <w:rsid w:val="7D7959CC"/>
    <w:rsid w:val="7D8F12A8"/>
    <w:rsid w:val="7D982D8C"/>
    <w:rsid w:val="7DA3447D"/>
    <w:rsid w:val="7DD05CD1"/>
    <w:rsid w:val="7DD1525A"/>
    <w:rsid w:val="7DDE7E25"/>
    <w:rsid w:val="7DFA7CBD"/>
    <w:rsid w:val="7E164407"/>
    <w:rsid w:val="7E221091"/>
    <w:rsid w:val="7E2455A7"/>
    <w:rsid w:val="7E2B3146"/>
    <w:rsid w:val="7E413AB9"/>
    <w:rsid w:val="7E441043"/>
    <w:rsid w:val="7E597CD7"/>
    <w:rsid w:val="7E663674"/>
    <w:rsid w:val="7E6B47E6"/>
    <w:rsid w:val="7E6B6EDC"/>
    <w:rsid w:val="7E7503EF"/>
    <w:rsid w:val="7E7D1563"/>
    <w:rsid w:val="7E9E4BBC"/>
    <w:rsid w:val="7EB948A2"/>
    <w:rsid w:val="7ED500C1"/>
    <w:rsid w:val="7EDA196C"/>
    <w:rsid w:val="7EED0131"/>
    <w:rsid w:val="7EF649F8"/>
    <w:rsid w:val="7EFC5948"/>
    <w:rsid w:val="7F010EB1"/>
    <w:rsid w:val="7F1D19D6"/>
    <w:rsid w:val="7F24367D"/>
    <w:rsid w:val="7F462EF2"/>
    <w:rsid w:val="7F5819C8"/>
    <w:rsid w:val="7F5E57A3"/>
    <w:rsid w:val="7FC70AB5"/>
    <w:rsid w:val="7FC76394"/>
    <w:rsid w:val="7FCA00A4"/>
    <w:rsid w:val="7FD47891"/>
    <w:rsid w:val="7FE24F7C"/>
    <w:rsid w:val="7FE85A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iPriority="99" w:semiHidden="0"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99" w:name="index heading"/>
    <w:lsdException w:qFormat="1" w:uiPriority="35" w:name="caption" w:locked="1"/>
    <w:lsdException w:qFormat="1" w:unhideWhenUsed="0" w:uiPriority="99" w:name="table of figures"/>
    <w:lsdException w:uiPriority="99" w:name="envelope address" w:locked="1"/>
    <w:lsdException w:qFormat="1" w:uiPriority="99" w:semiHidden="0" w:name="envelope return" w:locked="1"/>
    <w:lsdException w:qFormat="1" w:unhideWhenUsed="0" w:uiPriority="99" w:name="footnote reference"/>
    <w:lsdException w:qFormat="1" w:unhideWhenUsed="0" w:uiPriority="0" w:semiHidden="0" w:name="annotation reference"/>
    <w:lsdException w:qFormat="1" w:unhideWhenUsed="0" w:uiPriority="99" w:semiHidden="0" w:name="line number"/>
    <w:lsdException w:qFormat="1" w:unhideWhenUsed="0" w:uiPriority="99" w:semiHidden="0" w:name="page number"/>
    <w:lsdException w:qFormat="1" w:unhideWhenUsed="0" w:uiPriority="99" w:name="endnote reference"/>
    <w:lsdException w:qFormat="1" w:unhideWhenUsed="0" w:uiPriority="99" w:name="endnote text"/>
    <w:lsdException w:uiPriority="99" w:name="table of authorities" w:locked="1"/>
    <w:lsdException w:uiPriority="99" w:name="macro" w:locked="1"/>
    <w:lsdException w:uiPriority="99" w:name="toa heading" w:locked="1"/>
    <w:lsdException w:qFormat="1" w:unhideWhenUsed="0" w:uiPriority="99" w:semiHidden="0" w:name="List"/>
    <w:lsdException w:uiPriority="99" w:name="List Bullet" w:locked="1"/>
    <w:lsdException w:qFormat="1" w:unhideWhenUsed="0" w:uiPriority="99" w:semiHidden="0" w:name="List Number"/>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qFormat="1" w:unhideWhenUsed="0" w:uiPriority="99" w:semiHidden="0" w:name="List Number 2"/>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qFormat="1" w:unhideWhenUsed="0" w:uiPriority="99"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pPr>
    <w:rPr>
      <w:rFonts w:ascii="宋体" w:hAnsi="宋体" w:eastAsia="宋体" w:cs="宋体"/>
      <w:sz w:val="21"/>
      <w:szCs w:val="21"/>
      <w:lang w:val="en-US" w:eastAsia="zh-CN" w:bidi="ar-SA"/>
    </w:rPr>
  </w:style>
  <w:style w:type="paragraph" w:styleId="3">
    <w:name w:val="heading 1"/>
    <w:basedOn w:val="1"/>
    <w:next w:val="1"/>
    <w:link w:val="86"/>
    <w:qFormat/>
    <w:uiPriority w:val="99"/>
    <w:pPr>
      <w:keepNext/>
      <w:keepLines/>
      <w:spacing w:before="340" w:after="330" w:line="576" w:lineRule="auto"/>
      <w:outlineLvl w:val="0"/>
    </w:pPr>
    <w:rPr>
      <w:b/>
      <w:bCs/>
      <w:kern w:val="44"/>
      <w:sz w:val="44"/>
      <w:szCs w:val="44"/>
    </w:rPr>
  </w:style>
  <w:style w:type="paragraph" w:styleId="4">
    <w:name w:val="heading 2"/>
    <w:basedOn w:val="1"/>
    <w:next w:val="1"/>
    <w:link w:val="87"/>
    <w:qFormat/>
    <w:uiPriority w:val="99"/>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88"/>
    <w:qFormat/>
    <w:uiPriority w:val="99"/>
    <w:pPr>
      <w:keepNext/>
      <w:keepLines/>
      <w:spacing w:before="260" w:after="260" w:line="413" w:lineRule="auto"/>
      <w:outlineLvl w:val="2"/>
    </w:pPr>
    <w:rPr>
      <w:b/>
      <w:bCs/>
      <w:sz w:val="32"/>
      <w:szCs w:val="32"/>
    </w:rPr>
  </w:style>
  <w:style w:type="paragraph" w:styleId="6">
    <w:name w:val="heading 4"/>
    <w:basedOn w:val="1"/>
    <w:next w:val="1"/>
    <w:link w:val="89"/>
    <w:qFormat/>
    <w:uiPriority w:val="99"/>
    <w:pPr>
      <w:keepNext/>
      <w:keepLines/>
      <w:spacing w:before="120" w:after="120"/>
      <w:outlineLvl w:val="3"/>
    </w:pPr>
    <w:rPr>
      <w:rFonts w:ascii="Arial" w:hAnsi="Arial" w:eastAsia="黑体"/>
      <w:b/>
      <w:sz w:val="20"/>
      <w:szCs w:val="20"/>
    </w:rPr>
  </w:style>
  <w:style w:type="paragraph" w:styleId="7">
    <w:name w:val="heading 5"/>
    <w:basedOn w:val="1"/>
    <w:next w:val="1"/>
    <w:link w:val="90"/>
    <w:qFormat/>
    <w:uiPriority w:val="99"/>
    <w:pPr>
      <w:keepNext/>
      <w:keepLines/>
      <w:tabs>
        <w:tab w:val="left" w:pos="1008"/>
      </w:tabs>
      <w:spacing w:before="280" w:after="290" w:line="372" w:lineRule="auto"/>
      <w:ind w:left="1008" w:hanging="1008"/>
      <w:outlineLvl w:val="4"/>
    </w:pPr>
    <w:rPr>
      <w:b/>
      <w:bCs/>
      <w:sz w:val="28"/>
      <w:szCs w:val="28"/>
    </w:rPr>
  </w:style>
  <w:style w:type="paragraph" w:styleId="8">
    <w:name w:val="heading 6"/>
    <w:basedOn w:val="1"/>
    <w:next w:val="1"/>
    <w:link w:val="91"/>
    <w:qFormat/>
    <w:uiPriority w:val="99"/>
    <w:pPr>
      <w:keepNext/>
      <w:keepLines/>
      <w:tabs>
        <w:tab w:val="left" w:pos="1152"/>
      </w:tabs>
      <w:spacing w:before="240" w:after="64" w:line="317" w:lineRule="auto"/>
      <w:ind w:left="1152" w:hanging="1152"/>
      <w:outlineLvl w:val="5"/>
    </w:pPr>
    <w:rPr>
      <w:rFonts w:ascii="Arial" w:hAnsi="Arial" w:eastAsia="黑体"/>
      <w:b/>
      <w:bCs/>
      <w:sz w:val="24"/>
    </w:rPr>
  </w:style>
  <w:style w:type="paragraph" w:styleId="9">
    <w:name w:val="heading 7"/>
    <w:basedOn w:val="1"/>
    <w:next w:val="1"/>
    <w:link w:val="92"/>
    <w:qFormat/>
    <w:uiPriority w:val="99"/>
    <w:pPr>
      <w:keepNext/>
      <w:keepLines/>
      <w:tabs>
        <w:tab w:val="left" w:pos="1296"/>
      </w:tabs>
      <w:spacing w:before="240" w:after="64" w:line="317" w:lineRule="auto"/>
      <w:ind w:left="1296" w:hanging="1296"/>
      <w:outlineLvl w:val="6"/>
    </w:pPr>
    <w:rPr>
      <w:b/>
      <w:bCs/>
      <w:sz w:val="24"/>
    </w:rPr>
  </w:style>
  <w:style w:type="paragraph" w:styleId="10">
    <w:name w:val="heading 8"/>
    <w:basedOn w:val="1"/>
    <w:next w:val="1"/>
    <w:link w:val="93"/>
    <w:qFormat/>
    <w:uiPriority w:val="99"/>
    <w:pPr>
      <w:keepNext/>
      <w:keepLines/>
      <w:tabs>
        <w:tab w:val="left" w:pos="1440"/>
      </w:tabs>
      <w:spacing w:before="240" w:after="64" w:line="317" w:lineRule="auto"/>
      <w:ind w:left="1440" w:hanging="1440"/>
      <w:outlineLvl w:val="7"/>
    </w:pPr>
    <w:rPr>
      <w:rFonts w:ascii="Arial" w:hAnsi="Arial" w:eastAsia="黑体"/>
      <w:sz w:val="24"/>
    </w:rPr>
  </w:style>
  <w:style w:type="paragraph" w:styleId="11">
    <w:name w:val="heading 9"/>
    <w:basedOn w:val="1"/>
    <w:next w:val="1"/>
    <w:link w:val="94"/>
    <w:qFormat/>
    <w:uiPriority w:val="99"/>
    <w:pPr>
      <w:keepNext/>
      <w:keepLines/>
      <w:tabs>
        <w:tab w:val="left" w:pos="1584"/>
      </w:tabs>
      <w:spacing w:before="240" w:after="64" w:line="317" w:lineRule="auto"/>
      <w:ind w:left="1584" w:hanging="1584"/>
      <w:outlineLvl w:val="8"/>
    </w:pPr>
    <w:rPr>
      <w:rFonts w:ascii="Arial" w:hAnsi="Arial" w:eastAsia="黑体"/>
    </w:rPr>
  </w:style>
  <w:style w:type="character" w:default="1" w:styleId="67">
    <w:name w:val="Default Paragraph Font"/>
    <w:semiHidden/>
    <w:unhideWhenUsed/>
    <w:qFormat/>
    <w:uiPriority w:val="1"/>
  </w:style>
  <w:style w:type="table" w:default="1" w:styleId="65">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locked/>
    <w:uiPriority w:val="99"/>
    <w:pPr>
      <w:ind w:left="600" w:leftChars="600"/>
    </w:pPr>
  </w:style>
  <w:style w:type="paragraph" w:styleId="12">
    <w:name w:val="List 3"/>
    <w:basedOn w:val="1"/>
    <w:qFormat/>
    <w:uiPriority w:val="99"/>
    <w:pPr>
      <w:ind w:left="1260" w:hanging="420"/>
    </w:pPr>
    <w:rPr>
      <w:szCs w:val="20"/>
    </w:rPr>
  </w:style>
  <w:style w:type="paragraph" w:styleId="13">
    <w:name w:val="toc 7"/>
    <w:basedOn w:val="1"/>
    <w:next w:val="1"/>
    <w:semiHidden/>
    <w:qFormat/>
    <w:uiPriority w:val="99"/>
    <w:pPr>
      <w:ind w:left="1260"/>
    </w:pPr>
  </w:style>
  <w:style w:type="paragraph" w:styleId="14">
    <w:name w:val="List Number 2"/>
    <w:basedOn w:val="1"/>
    <w:qFormat/>
    <w:uiPriority w:val="99"/>
    <w:pPr>
      <w:tabs>
        <w:tab w:val="left" w:pos="1440"/>
      </w:tabs>
      <w:spacing w:line="360" w:lineRule="auto"/>
      <w:ind w:left="1440" w:hanging="1440"/>
    </w:pPr>
    <w:rPr>
      <w:sz w:val="24"/>
    </w:rPr>
  </w:style>
  <w:style w:type="paragraph" w:styleId="15">
    <w:name w:val="List Number"/>
    <w:basedOn w:val="1"/>
    <w:qFormat/>
    <w:uiPriority w:val="99"/>
    <w:pPr>
      <w:tabs>
        <w:tab w:val="left" w:pos="2952"/>
      </w:tabs>
      <w:ind w:left="2952" w:hanging="432"/>
    </w:pPr>
  </w:style>
  <w:style w:type="paragraph" w:styleId="16">
    <w:name w:val="Normal Indent"/>
    <w:basedOn w:val="1"/>
    <w:qFormat/>
    <w:uiPriority w:val="99"/>
    <w:pPr>
      <w:ind w:firstLine="420"/>
    </w:pPr>
    <w:rPr>
      <w:szCs w:val="20"/>
    </w:rPr>
  </w:style>
  <w:style w:type="paragraph" w:styleId="17">
    <w:name w:val="Document Map"/>
    <w:basedOn w:val="1"/>
    <w:link w:val="95"/>
    <w:semiHidden/>
    <w:qFormat/>
    <w:uiPriority w:val="99"/>
    <w:pPr>
      <w:shd w:val="clear" w:color="auto" w:fill="000080"/>
    </w:pPr>
    <w:rPr>
      <w:sz w:val="24"/>
    </w:rPr>
  </w:style>
  <w:style w:type="paragraph" w:styleId="18">
    <w:name w:val="annotation text"/>
    <w:basedOn w:val="1"/>
    <w:link w:val="96"/>
    <w:qFormat/>
    <w:uiPriority w:val="99"/>
    <w:rPr>
      <w:rFonts w:hint="eastAsia" w:cs="Times New Roman"/>
      <w:sz w:val="20"/>
      <w:szCs w:val="20"/>
    </w:rPr>
  </w:style>
  <w:style w:type="paragraph" w:styleId="19">
    <w:name w:val="Salutation"/>
    <w:basedOn w:val="1"/>
    <w:next w:val="1"/>
    <w:link w:val="97"/>
    <w:qFormat/>
    <w:uiPriority w:val="99"/>
    <w:rPr>
      <w:rFonts w:ascii="方正仿宋_GB2312" w:eastAsia="方正仿宋_GB2312"/>
      <w:sz w:val="20"/>
      <w:szCs w:val="20"/>
    </w:rPr>
  </w:style>
  <w:style w:type="paragraph" w:styleId="20">
    <w:name w:val="Body Text 3"/>
    <w:basedOn w:val="1"/>
    <w:link w:val="98"/>
    <w:qFormat/>
    <w:uiPriority w:val="99"/>
    <w:pPr>
      <w:spacing w:after="120"/>
    </w:pPr>
    <w:rPr>
      <w:sz w:val="16"/>
      <w:szCs w:val="16"/>
    </w:rPr>
  </w:style>
  <w:style w:type="paragraph" w:styleId="21">
    <w:name w:val="Body Text"/>
    <w:basedOn w:val="1"/>
    <w:link w:val="85"/>
    <w:qFormat/>
    <w:uiPriority w:val="99"/>
    <w:pPr>
      <w:spacing w:after="120"/>
    </w:pPr>
    <w:rPr>
      <w:sz w:val="24"/>
    </w:rPr>
  </w:style>
  <w:style w:type="paragraph" w:styleId="22">
    <w:name w:val="Body Text Indent"/>
    <w:basedOn w:val="1"/>
    <w:link w:val="99"/>
    <w:qFormat/>
    <w:uiPriority w:val="99"/>
    <w:pPr>
      <w:spacing w:after="120"/>
      <w:ind w:left="420" w:leftChars="200"/>
    </w:pPr>
    <w:rPr>
      <w:sz w:val="24"/>
    </w:rPr>
  </w:style>
  <w:style w:type="paragraph" w:styleId="23">
    <w:name w:val="List 2"/>
    <w:basedOn w:val="1"/>
    <w:qFormat/>
    <w:uiPriority w:val="99"/>
    <w:pPr>
      <w:ind w:left="100" w:leftChars="200" w:hanging="200" w:hangingChars="200"/>
    </w:pPr>
  </w:style>
  <w:style w:type="paragraph" w:styleId="24">
    <w:name w:val="toc 5"/>
    <w:basedOn w:val="1"/>
    <w:next w:val="1"/>
    <w:semiHidden/>
    <w:qFormat/>
    <w:uiPriority w:val="99"/>
    <w:pPr>
      <w:ind w:left="840"/>
    </w:pPr>
  </w:style>
  <w:style w:type="paragraph" w:styleId="25">
    <w:name w:val="toc 3"/>
    <w:basedOn w:val="1"/>
    <w:next w:val="1"/>
    <w:semiHidden/>
    <w:qFormat/>
    <w:uiPriority w:val="99"/>
    <w:pPr>
      <w:ind w:left="840" w:leftChars="400"/>
    </w:pPr>
  </w:style>
  <w:style w:type="paragraph" w:styleId="26">
    <w:name w:val="Plain Text"/>
    <w:basedOn w:val="1"/>
    <w:link w:val="100"/>
    <w:qFormat/>
    <w:uiPriority w:val="0"/>
    <w:rPr>
      <w:rFonts w:hAnsi="Courier New"/>
    </w:rPr>
  </w:style>
  <w:style w:type="paragraph" w:styleId="27">
    <w:name w:val="toc 8"/>
    <w:basedOn w:val="1"/>
    <w:next w:val="1"/>
    <w:semiHidden/>
    <w:qFormat/>
    <w:uiPriority w:val="99"/>
    <w:pPr>
      <w:ind w:left="1470"/>
    </w:pPr>
  </w:style>
  <w:style w:type="paragraph" w:styleId="28">
    <w:name w:val="index 3"/>
    <w:basedOn w:val="1"/>
    <w:next w:val="1"/>
    <w:semiHidden/>
    <w:qFormat/>
    <w:uiPriority w:val="99"/>
    <w:pPr>
      <w:ind w:left="840"/>
    </w:pPr>
    <w:rPr>
      <w:szCs w:val="20"/>
    </w:rPr>
  </w:style>
  <w:style w:type="paragraph" w:styleId="29">
    <w:name w:val="Date"/>
    <w:basedOn w:val="1"/>
    <w:next w:val="1"/>
    <w:link w:val="101"/>
    <w:qFormat/>
    <w:uiPriority w:val="99"/>
    <w:pPr>
      <w:ind w:left="100" w:leftChars="2500"/>
    </w:pPr>
    <w:rPr>
      <w:sz w:val="20"/>
      <w:szCs w:val="20"/>
    </w:rPr>
  </w:style>
  <w:style w:type="paragraph" w:styleId="30">
    <w:name w:val="Body Text Indent 2"/>
    <w:basedOn w:val="1"/>
    <w:next w:val="31"/>
    <w:link w:val="102"/>
    <w:qFormat/>
    <w:uiPriority w:val="99"/>
    <w:pPr>
      <w:spacing w:line="400" w:lineRule="exact"/>
      <w:ind w:firstLine="480"/>
    </w:pPr>
    <w:rPr>
      <w:sz w:val="24"/>
    </w:rPr>
  </w:style>
  <w:style w:type="paragraph" w:customStyle="1" w:styleId="31">
    <w:name w:val="xl75"/>
    <w:basedOn w:val="1"/>
    <w:next w:val="32"/>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style>
  <w:style w:type="paragraph" w:customStyle="1" w:styleId="32">
    <w:name w:val="Test2"/>
    <w:basedOn w:val="4"/>
    <w:next w:val="33"/>
    <w:qFormat/>
    <w:uiPriority w:val="99"/>
    <w:pPr>
      <w:widowControl/>
      <w:adjustRightInd w:val="0"/>
      <w:snapToGrid w:val="0"/>
      <w:spacing w:beforeLines="50" w:afterLines="50" w:line="480" w:lineRule="exact"/>
      <w:jc w:val="center"/>
    </w:pPr>
    <w:rPr>
      <w:rFonts w:ascii="黑体"/>
      <w:sz w:val="24"/>
      <w:szCs w:val="24"/>
    </w:rPr>
  </w:style>
  <w:style w:type="paragraph" w:customStyle="1" w:styleId="33">
    <w:name w:val="xl59"/>
    <w:basedOn w:val="1"/>
    <w:next w:val="34"/>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4">
    <w:name w:val="方案正文"/>
    <w:basedOn w:val="1"/>
    <w:next w:val="35"/>
    <w:qFormat/>
    <w:uiPriority w:val="99"/>
    <w:pPr>
      <w:spacing w:before="156" w:line="360" w:lineRule="auto"/>
      <w:ind w:firstLine="359" w:firstLineChars="171"/>
    </w:pPr>
    <w:rPr>
      <w:rFonts w:ascii="Arial" w:hAnsi="Arial"/>
      <w:sz w:val="24"/>
    </w:rPr>
  </w:style>
  <w:style w:type="paragraph" w:customStyle="1" w:styleId="35">
    <w:name w:val="小四 段落 宋体 Char Char Char Char"/>
    <w:basedOn w:val="1"/>
    <w:next w:val="36"/>
    <w:qFormat/>
    <w:uiPriority w:val="99"/>
    <w:pPr>
      <w:spacing w:line="360" w:lineRule="auto"/>
      <w:ind w:right="-33" w:firstLine="480" w:firstLineChars="200"/>
    </w:pPr>
    <w:rPr>
      <w:sz w:val="24"/>
    </w:rPr>
  </w:style>
  <w:style w:type="paragraph" w:customStyle="1" w:styleId="36">
    <w:name w:val="flType"/>
    <w:basedOn w:val="37"/>
    <w:next w:val="1"/>
    <w:qFormat/>
    <w:uiPriority w:val="99"/>
    <w:pPr>
      <w:spacing w:after="284"/>
    </w:pPr>
    <w:rPr>
      <w:rFonts w:eastAsia="宋体"/>
      <w:b w:val="0"/>
    </w:rPr>
  </w:style>
  <w:style w:type="paragraph" w:customStyle="1" w:styleId="37">
    <w:name w:val="flName"/>
    <w:basedOn w:val="38"/>
    <w:qFormat/>
    <w:uiPriority w:val="99"/>
    <w:pPr>
      <w:spacing w:before="0" w:line="113" w:lineRule="atLeast"/>
    </w:pPr>
  </w:style>
  <w:style w:type="paragraph" w:customStyle="1" w:styleId="38">
    <w:name w:val="flNote"/>
    <w:basedOn w:val="1"/>
    <w:qFormat/>
    <w:uiPriority w:val="99"/>
    <w:pPr>
      <w:adjustRightInd w:val="0"/>
      <w:spacing w:before="567" w:line="360" w:lineRule="atLeast"/>
      <w:jc w:val="center"/>
      <w:textAlignment w:val="baseline"/>
    </w:pPr>
    <w:rPr>
      <w:rFonts w:eastAsia="黑体"/>
      <w:b/>
      <w:sz w:val="24"/>
      <w:szCs w:val="20"/>
    </w:rPr>
  </w:style>
  <w:style w:type="paragraph" w:styleId="39">
    <w:name w:val="endnote text"/>
    <w:basedOn w:val="1"/>
    <w:link w:val="103"/>
    <w:semiHidden/>
    <w:qFormat/>
    <w:uiPriority w:val="99"/>
    <w:pPr>
      <w:snapToGrid w:val="0"/>
    </w:pPr>
    <w:rPr>
      <w:sz w:val="24"/>
    </w:rPr>
  </w:style>
  <w:style w:type="paragraph" w:styleId="40">
    <w:name w:val="Balloon Text"/>
    <w:basedOn w:val="1"/>
    <w:link w:val="104"/>
    <w:semiHidden/>
    <w:qFormat/>
    <w:uiPriority w:val="99"/>
    <w:rPr>
      <w:sz w:val="18"/>
      <w:szCs w:val="18"/>
    </w:rPr>
  </w:style>
  <w:style w:type="paragraph" w:styleId="41">
    <w:name w:val="footer"/>
    <w:basedOn w:val="1"/>
    <w:link w:val="105"/>
    <w:qFormat/>
    <w:uiPriority w:val="0"/>
    <w:pPr>
      <w:tabs>
        <w:tab w:val="center" w:pos="4153"/>
        <w:tab w:val="right" w:pos="8306"/>
      </w:tabs>
      <w:snapToGrid w:val="0"/>
    </w:pPr>
    <w:rPr>
      <w:sz w:val="18"/>
      <w:szCs w:val="18"/>
    </w:rPr>
  </w:style>
  <w:style w:type="paragraph" w:styleId="42">
    <w:name w:val="envelope return"/>
    <w:basedOn w:val="1"/>
    <w:unhideWhenUsed/>
    <w:qFormat/>
    <w:locked/>
    <w:uiPriority w:val="99"/>
    <w:pPr>
      <w:snapToGrid w:val="0"/>
    </w:pPr>
    <w:rPr>
      <w:rFonts w:ascii="Arial" w:hAnsi="Arial"/>
    </w:rPr>
  </w:style>
  <w:style w:type="paragraph" w:styleId="43">
    <w:name w:val="header"/>
    <w:basedOn w:val="1"/>
    <w:link w:val="106"/>
    <w:qFormat/>
    <w:uiPriority w:val="0"/>
    <w:pPr>
      <w:pBdr>
        <w:bottom w:val="single" w:color="auto" w:sz="6" w:space="1"/>
      </w:pBdr>
      <w:tabs>
        <w:tab w:val="center" w:pos="4153"/>
        <w:tab w:val="right" w:pos="8306"/>
      </w:tabs>
      <w:snapToGrid w:val="0"/>
      <w:jc w:val="center"/>
    </w:pPr>
    <w:rPr>
      <w:sz w:val="18"/>
      <w:szCs w:val="18"/>
    </w:rPr>
  </w:style>
  <w:style w:type="paragraph" w:styleId="44">
    <w:name w:val="Signature"/>
    <w:basedOn w:val="1"/>
    <w:link w:val="107"/>
    <w:qFormat/>
    <w:uiPriority w:val="99"/>
    <w:pPr>
      <w:adjustRightInd w:val="0"/>
      <w:spacing w:after="600" w:line="312" w:lineRule="atLeast"/>
      <w:jc w:val="center"/>
      <w:textAlignment w:val="baseline"/>
    </w:pPr>
    <w:rPr>
      <w:rFonts w:eastAsia="方正仿宋_GB2312"/>
      <w:sz w:val="20"/>
      <w:szCs w:val="20"/>
    </w:rPr>
  </w:style>
  <w:style w:type="paragraph" w:styleId="45">
    <w:name w:val="toc 1"/>
    <w:basedOn w:val="1"/>
    <w:next w:val="1"/>
    <w:semiHidden/>
    <w:qFormat/>
    <w:uiPriority w:val="99"/>
  </w:style>
  <w:style w:type="paragraph" w:styleId="46">
    <w:name w:val="toc 4"/>
    <w:basedOn w:val="1"/>
    <w:next w:val="1"/>
    <w:semiHidden/>
    <w:qFormat/>
    <w:uiPriority w:val="99"/>
    <w:pPr>
      <w:ind w:left="630"/>
    </w:pPr>
  </w:style>
  <w:style w:type="paragraph" w:styleId="47">
    <w:name w:val="index heading"/>
    <w:basedOn w:val="1"/>
    <w:next w:val="48"/>
    <w:semiHidden/>
    <w:qFormat/>
    <w:uiPriority w:val="99"/>
    <w:rPr>
      <w:szCs w:val="20"/>
    </w:rPr>
  </w:style>
  <w:style w:type="paragraph" w:styleId="48">
    <w:name w:val="index 1"/>
    <w:basedOn w:val="1"/>
    <w:next w:val="1"/>
    <w:semiHidden/>
    <w:qFormat/>
    <w:uiPriority w:val="99"/>
    <w:pPr>
      <w:tabs>
        <w:tab w:val="left" w:pos="1260"/>
      </w:tabs>
      <w:jc w:val="center"/>
    </w:pPr>
    <w:rPr>
      <w:rFonts w:ascii="方正仿宋_GB2312" w:eastAsia="方正仿宋_GB2312"/>
      <w:sz w:val="30"/>
      <w:szCs w:val="20"/>
    </w:rPr>
  </w:style>
  <w:style w:type="paragraph" w:styleId="49">
    <w:name w:val="Subtitle"/>
    <w:basedOn w:val="1"/>
    <w:next w:val="1"/>
    <w:link w:val="108"/>
    <w:qFormat/>
    <w:uiPriority w:val="99"/>
    <w:pPr>
      <w:widowControl/>
      <w:spacing w:after="600" w:line="276" w:lineRule="auto"/>
    </w:pPr>
    <w:rPr>
      <w:rFonts w:ascii="Cambria" w:hAnsi="Cambria"/>
      <w:i/>
      <w:iCs/>
      <w:spacing w:val="13"/>
      <w:sz w:val="24"/>
      <w:lang w:eastAsia="en-US"/>
    </w:rPr>
  </w:style>
  <w:style w:type="paragraph" w:styleId="50">
    <w:name w:val="List"/>
    <w:basedOn w:val="1"/>
    <w:qFormat/>
    <w:uiPriority w:val="99"/>
    <w:pPr>
      <w:ind w:left="200" w:hanging="200" w:hangingChars="200"/>
    </w:pPr>
  </w:style>
  <w:style w:type="paragraph" w:styleId="51">
    <w:name w:val="footnote text"/>
    <w:basedOn w:val="1"/>
    <w:link w:val="109"/>
    <w:semiHidden/>
    <w:qFormat/>
    <w:uiPriority w:val="99"/>
    <w:pPr>
      <w:snapToGrid w:val="0"/>
    </w:pPr>
    <w:rPr>
      <w:sz w:val="18"/>
      <w:szCs w:val="18"/>
    </w:rPr>
  </w:style>
  <w:style w:type="paragraph" w:styleId="52">
    <w:name w:val="toc 6"/>
    <w:basedOn w:val="1"/>
    <w:next w:val="1"/>
    <w:semiHidden/>
    <w:qFormat/>
    <w:uiPriority w:val="99"/>
    <w:pPr>
      <w:ind w:left="1050"/>
    </w:pPr>
  </w:style>
  <w:style w:type="paragraph" w:styleId="53">
    <w:name w:val="Body Text Indent 3"/>
    <w:basedOn w:val="1"/>
    <w:link w:val="110"/>
    <w:qFormat/>
    <w:uiPriority w:val="99"/>
    <w:pPr>
      <w:spacing w:before="120" w:after="120" w:line="264" w:lineRule="auto"/>
      <w:ind w:left="480"/>
    </w:pPr>
    <w:rPr>
      <w:b/>
      <w:bCs/>
      <w:sz w:val="20"/>
      <w:szCs w:val="20"/>
    </w:rPr>
  </w:style>
  <w:style w:type="paragraph" w:styleId="54">
    <w:name w:val="table of figures"/>
    <w:basedOn w:val="1"/>
    <w:next w:val="1"/>
    <w:semiHidden/>
    <w:qFormat/>
    <w:uiPriority w:val="99"/>
    <w:pPr>
      <w:ind w:left="840" w:hanging="420"/>
    </w:pPr>
  </w:style>
  <w:style w:type="paragraph" w:styleId="55">
    <w:name w:val="toc 2"/>
    <w:basedOn w:val="1"/>
    <w:next w:val="1"/>
    <w:semiHidden/>
    <w:qFormat/>
    <w:uiPriority w:val="99"/>
    <w:pPr>
      <w:ind w:left="420" w:leftChars="200"/>
    </w:pPr>
  </w:style>
  <w:style w:type="paragraph" w:styleId="56">
    <w:name w:val="toc 9"/>
    <w:basedOn w:val="1"/>
    <w:next w:val="1"/>
    <w:semiHidden/>
    <w:qFormat/>
    <w:uiPriority w:val="99"/>
    <w:pPr>
      <w:ind w:left="1680"/>
    </w:pPr>
  </w:style>
  <w:style w:type="paragraph" w:styleId="57">
    <w:name w:val="Body Text 2"/>
    <w:basedOn w:val="1"/>
    <w:link w:val="111"/>
    <w:qFormat/>
    <w:uiPriority w:val="99"/>
    <w:pPr>
      <w:jc w:val="center"/>
    </w:pPr>
    <w:rPr>
      <w:b/>
      <w:bCs/>
      <w:sz w:val="20"/>
      <w:szCs w:val="20"/>
    </w:rPr>
  </w:style>
  <w:style w:type="paragraph" w:styleId="58">
    <w:name w:val="HTML Preformatted"/>
    <w:basedOn w:val="1"/>
    <w:link w:val="11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4"/>
    </w:rPr>
  </w:style>
  <w:style w:type="paragraph" w:styleId="59">
    <w:name w:val="Normal (Web)"/>
    <w:basedOn w:val="1"/>
    <w:qFormat/>
    <w:uiPriority w:val="99"/>
    <w:pPr>
      <w:widowControl/>
      <w:spacing w:before="100" w:beforeAutospacing="1" w:after="100" w:afterAutospacing="1"/>
    </w:pPr>
    <w:rPr>
      <w:sz w:val="24"/>
    </w:rPr>
  </w:style>
  <w:style w:type="paragraph" w:styleId="60">
    <w:name w:val="index 2"/>
    <w:basedOn w:val="1"/>
    <w:next w:val="1"/>
    <w:semiHidden/>
    <w:qFormat/>
    <w:uiPriority w:val="99"/>
    <w:pPr>
      <w:spacing w:afterLines="50"/>
      <w:ind w:left="420"/>
      <w:jc w:val="center"/>
    </w:pPr>
    <w:rPr>
      <w:b/>
      <w:sz w:val="32"/>
      <w:szCs w:val="20"/>
    </w:rPr>
  </w:style>
  <w:style w:type="paragraph" w:styleId="61">
    <w:name w:val="Title"/>
    <w:basedOn w:val="1"/>
    <w:link w:val="113"/>
    <w:qFormat/>
    <w:uiPriority w:val="99"/>
    <w:pPr>
      <w:widowControl/>
      <w:overflowPunct w:val="0"/>
      <w:adjustRightInd w:val="0"/>
      <w:spacing w:line="420" w:lineRule="exact"/>
      <w:jc w:val="center"/>
      <w:textAlignment w:val="baseline"/>
    </w:pPr>
    <w:rPr>
      <w:rFonts w:eastAsia="黑体"/>
      <w:b/>
      <w:sz w:val="20"/>
      <w:szCs w:val="20"/>
      <w:lang w:val="en-GB"/>
    </w:rPr>
  </w:style>
  <w:style w:type="paragraph" w:styleId="62">
    <w:name w:val="annotation subject"/>
    <w:basedOn w:val="18"/>
    <w:next w:val="18"/>
    <w:link w:val="114"/>
    <w:semiHidden/>
    <w:qFormat/>
    <w:uiPriority w:val="99"/>
    <w:rPr>
      <w:b/>
      <w:bCs/>
      <w:sz w:val="24"/>
    </w:rPr>
  </w:style>
  <w:style w:type="paragraph" w:styleId="63">
    <w:name w:val="Body Text First Indent"/>
    <w:basedOn w:val="21"/>
    <w:link w:val="115"/>
    <w:qFormat/>
    <w:uiPriority w:val="99"/>
    <w:pPr>
      <w:ind w:firstLine="420" w:firstLineChars="100"/>
    </w:pPr>
  </w:style>
  <w:style w:type="paragraph" w:styleId="64">
    <w:name w:val="Body Text First Indent 2"/>
    <w:basedOn w:val="22"/>
    <w:next w:val="1"/>
    <w:link w:val="116"/>
    <w:qFormat/>
    <w:uiPriority w:val="99"/>
    <w:pPr>
      <w:spacing w:after="0" w:line="360" w:lineRule="auto"/>
      <w:ind w:left="0" w:leftChars="0" w:firstLine="420" w:firstLineChars="200"/>
    </w:pPr>
    <w:rPr>
      <w:sz w:val="20"/>
      <w:szCs w:val="20"/>
    </w:rPr>
  </w:style>
  <w:style w:type="table" w:styleId="66">
    <w:name w:val="Table Grid"/>
    <w:basedOn w:val="6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8">
    <w:name w:val="Strong"/>
    <w:basedOn w:val="67"/>
    <w:qFormat/>
    <w:uiPriority w:val="99"/>
    <w:rPr>
      <w:rFonts w:cs="Times New Roman"/>
      <w:b/>
    </w:rPr>
  </w:style>
  <w:style w:type="character" w:styleId="69">
    <w:name w:val="endnote reference"/>
    <w:semiHidden/>
    <w:qFormat/>
    <w:uiPriority w:val="99"/>
    <w:rPr>
      <w:rFonts w:cs="Times New Roman"/>
      <w:vertAlign w:val="superscript"/>
    </w:rPr>
  </w:style>
  <w:style w:type="character" w:styleId="70">
    <w:name w:val="page number"/>
    <w:qFormat/>
    <w:uiPriority w:val="99"/>
    <w:rPr>
      <w:rFonts w:cs="Times New Roman"/>
    </w:rPr>
  </w:style>
  <w:style w:type="character" w:styleId="71">
    <w:name w:val="FollowedHyperlink"/>
    <w:qFormat/>
    <w:uiPriority w:val="99"/>
    <w:rPr>
      <w:rFonts w:cs="Times New Roman"/>
      <w:color w:val="auto"/>
      <w:u w:val="none"/>
    </w:rPr>
  </w:style>
  <w:style w:type="character" w:styleId="72">
    <w:name w:val="Emphasis"/>
    <w:qFormat/>
    <w:uiPriority w:val="99"/>
    <w:rPr>
      <w:rFonts w:cs="Times New Roman"/>
      <w:b/>
      <w:i/>
      <w:spacing w:val="10"/>
      <w:shd w:val="clear" w:color="auto" w:fill="auto"/>
    </w:rPr>
  </w:style>
  <w:style w:type="character" w:styleId="73">
    <w:name w:val="line number"/>
    <w:qFormat/>
    <w:uiPriority w:val="99"/>
    <w:rPr>
      <w:rFonts w:cs="Times New Roman"/>
    </w:rPr>
  </w:style>
  <w:style w:type="character" w:styleId="74">
    <w:name w:val="HTML Definition"/>
    <w:basedOn w:val="67"/>
    <w:semiHidden/>
    <w:unhideWhenUsed/>
    <w:qFormat/>
    <w:locked/>
    <w:uiPriority w:val="99"/>
    <w:rPr>
      <w:i/>
      <w:iCs/>
    </w:rPr>
  </w:style>
  <w:style w:type="character" w:styleId="75">
    <w:name w:val="HTML Typewriter"/>
    <w:qFormat/>
    <w:uiPriority w:val="99"/>
    <w:rPr>
      <w:rFonts w:ascii="宋体" w:hAnsi="宋体" w:eastAsia="宋体" w:cs="Times New Roman"/>
      <w:sz w:val="24"/>
    </w:rPr>
  </w:style>
  <w:style w:type="character" w:styleId="76">
    <w:name w:val="HTML Variable"/>
    <w:basedOn w:val="67"/>
    <w:semiHidden/>
    <w:unhideWhenUsed/>
    <w:qFormat/>
    <w:locked/>
    <w:uiPriority w:val="99"/>
  </w:style>
  <w:style w:type="character" w:styleId="77">
    <w:name w:val="Hyperlink"/>
    <w:qFormat/>
    <w:uiPriority w:val="99"/>
    <w:rPr>
      <w:rFonts w:cs="Times New Roman"/>
      <w:color w:val="auto"/>
      <w:u w:val="none"/>
    </w:rPr>
  </w:style>
  <w:style w:type="character" w:styleId="78">
    <w:name w:val="HTML Code"/>
    <w:basedOn w:val="67"/>
    <w:semiHidden/>
    <w:unhideWhenUsed/>
    <w:qFormat/>
    <w:locked/>
    <w:uiPriority w:val="99"/>
    <w:rPr>
      <w:rFonts w:hint="default" w:ascii="Consolas" w:hAnsi="Consolas" w:eastAsia="Consolas" w:cs="Consolas"/>
      <w:sz w:val="21"/>
      <w:szCs w:val="21"/>
    </w:rPr>
  </w:style>
  <w:style w:type="character" w:styleId="79">
    <w:name w:val="annotation reference"/>
    <w:qFormat/>
    <w:uiPriority w:val="0"/>
    <w:rPr>
      <w:rFonts w:cs="Times New Roman"/>
      <w:sz w:val="21"/>
    </w:rPr>
  </w:style>
  <w:style w:type="character" w:styleId="80">
    <w:name w:val="HTML Cite"/>
    <w:basedOn w:val="67"/>
    <w:semiHidden/>
    <w:unhideWhenUsed/>
    <w:qFormat/>
    <w:locked/>
    <w:uiPriority w:val="99"/>
  </w:style>
  <w:style w:type="character" w:styleId="81">
    <w:name w:val="footnote reference"/>
    <w:semiHidden/>
    <w:qFormat/>
    <w:uiPriority w:val="99"/>
    <w:rPr>
      <w:rFonts w:cs="Times New Roman"/>
      <w:vertAlign w:val="superscript"/>
    </w:rPr>
  </w:style>
  <w:style w:type="character" w:styleId="82">
    <w:name w:val="HTML Keyboard"/>
    <w:basedOn w:val="67"/>
    <w:semiHidden/>
    <w:unhideWhenUsed/>
    <w:qFormat/>
    <w:locked/>
    <w:uiPriority w:val="99"/>
    <w:rPr>
      <w:rFonts w:hint="default" w:ascii="Consolas" w:hAnsi="Consolas" w:eastAsia="Consolas" w:cs="Consolas"/>
      <w:sz w:val="21"/>
      <w:szCs w:val="21"/>
    </w:rPr>
  </w:style>
  <w:style w:type="character" w:styleId="83">
    <w:name w:val="HTML Sample"/>
    <w:qFormat/>
    <w:uiPriority w:val="99"/>
    <w:rPr>
      <w:rFonts w:ascii="Courier New" w:hAnsi="宋体" w:eastAsia="宋体" w:cs="Times New Roman"/>
    </w:rPr>
  </w:style>
  <w:style w:type="paragraph" w:styleId="84">
    <w:name w:val="List Paragraph"/>
    <w:basedOn w:val="1"/>
    <w:link w:val="133"/>
    <w:qFormat/>
    <w:uiPriority w:val="99"/>
    <w:pPr>
      <w:spacing w:line="360" w:lineRule="auto"/>
      <w:ind w:firstLine="420" w:firstLineChars="200"/>
    </w:pPr>
    <w:rPr>
      <w:rFonts w:ascii="Calibri" w:hAnsi="Calibri"/>
      <w:sz w:val="20"/>
      <w:szCs w:val="20"/>
    </w:rPr>
  </w:style>
  <w:style w:type="character" w:customStyle="1" w:styleId="85">
    <w:name w:val="正文文本 字符1"/>
    <w:link w:val="21"/>
    <w:qFormat/>
    <w:locked/>
    <w:uiPriority w:val="99"/>
    <w:rPr>
      <w:rFonts w:ascii="Times New Roman" w:hAnsi="Times New Roman" w:eastAsia="宋体" w:cs="Times New Roman"/>
      <w:kern w:val="2"/>
      <w:sz w:val="24"/>
      <w:szCs w:val="24"/>
    </w:rPr>
  </w:style>
  <w:style w:type="character" w:customStyle="1" w:styleId="86">
    <w:name w:val="标题 1 字符"/>
    <w:link w:val="3"/>
    <w:qFormat/>
    <w:locked/>
    <w:uiPriority w:val="99"/>
    <w:rPr>
      <w:rFonts w:ascii="Times New Roman" w:hAnsi="Times New Roman" w:eastAsia="宋体"/>
      <w:b/>
      <w:kern w:val="44"/>
      <w:sz w:val="44"/>
    </w:rPr>
  </w:style>
  <w:style w:type="character" w:customStyle="1" w:styleId="87">
    <w:name w:val="标题 2 字符"/>
    <w:link w:val="4"/>
    <w:qFormat/>
    <w:locked/>
    <w:uiPriority w:val="99"/>
    <w:rPr>
      <w:rFonts w:ascii="Arial" w:hAnsi="Arial" w:eastAsia="黑体"/>
      <w:b/>
      <w:sz w:val="32"/>
    </w:rPr>
  </w:style>
  <w:style w:type="character" w:customStyle="1" w:styleId="88">
    <w:name w:val="标题 3 字符"/>
    <w:link w:val="5"/>
    <w:qFormat/>
    <w:locked/>
    <w:uiPriority w:val="99"/>
    <w:rPr>
      <w:rFonts w:ascii="Times New Roman" w:hAnsi="Times New Roman" w:eastAsia="宋体"/>
      <w:b/>
      <w:sz w:val="32"/>
    </w:rPr>
  </w:style>
  <w:style w:type="character" w:customStyle="1" w:styleId="89">
    <w:name w:val="标题 4 字符"/>
    <w:link w:val="6"/>
    <w:qFormat/>
    <w:locked/>
    <w:uiPriority w:val="99"/>
    <w:rPr>
      <w:rFonts w:ascii="Arial" w:hAnsi="Arial" w:eastAsia="黑体"/>
      <w:b/>
      <w:sz w:val="20"/>
    </w:rPr>
  </w:style>
  <w:style w:type="character" w:customStyle="1" w:styleId="90">
    <w:name w:val="标题 5 字符"/>
    <w:link w:val="7"/>
    <w:qFormat/>
    <w:locked/>
    <w:uiPriority w:val="99"/>
    <w:rPr>
      <w:rFonts w:ascii="Times New Roman" w:hAnsi="Times New Roman" w:eastAsia="宋体"/>
      <w:b/>
      <w:sz w:val="28"/>
    </w:rPr>
  </w:style>
  <w:style w:type="character" w:customStyle="1" w:styleId="91">
    <w:name w:val="标题 6 字符"/>
    <w:link w:val="8"/>
    <w:qFormat/>
    <w:locked/>
    <w:uiPriority w:val="99"/>
    <w:rPr>
      <w:rFonts w:ascii="Arial" w:hAnsi="Arial" w:eastAsia="黑体"/>
      <w:b/>
      <w:sz w:val="24"/>
    </w:rPr>
  </w:style>
  <w:style w:type="character" w:customStyle="1" w:styleId="92">
    <w:name w:val="标题 7 字符"/>
    <w:link w:val="9"/>
    <w:qFormat/>
    <w:locked/>
    <w:uiPriority w:val="99"/>
    <w:rPr>
      <w:rFonts w:ascii="Times New Roman" w:hAnsi="Times New Roman" w:eastAsia="宋体"/>
      <w:b/>
      <w:sz w:val="24"/>
    </w:rPr>
  </w:style>
  <w:style w:type="character" w:customStyle="1" w:styleId="93">
    <w:name w:val="标题 8 字符"/>
    <w:link w:val="10"/>
    <w:qFormat/>
    <w:locked/>
    <w:uiPriority w:val="99"/>
    <w:rPr>
      <w:rFonts w:ascii="Arial" w:hAnsi="Arial" w:eastAsia="黑体"/>
      <w:sz w:val="24"/>
    </w:rPr>
  </w:style>
  <w:style w:type="character" w:customStyle="1" w:styleId="94">
    <w:name w:val="标题 9 字符"/>
    <w:link w:val="11"/>
    <w:qFormat/>
    <w:locked/>
    <w:uiPriority w:val="99"/>
    <w:rPr>
      <w:rFonts w:ascii="Arial" w:hAnsi="Arial" w:eastAsia="黑体"/>
      <w:sz w:val="21"/>
    </w:rPr>
  </w:style>
  <w:style w:type="character" w:customStyle="1" w:styleId="95">
    <w:name w:val="文档结构图 字符"/>
    <w:link w:val="17"/>
    <w:semiHidden/>
    <w:qFormat/>
    <w:locked/>
    <w:uiPriority w:val="99"/>
    <w:rPr>
      <w:rFonts w:ascii="Times New Roman" w:hAnsi="Times New Roman" w:eastAsia="宋体"/>
      <w:sz w:val="24"/>
      <w:shd w:val="clear" w:color="auto" w:fill="000080"/>
    </w:rPr>
  </w:style>
  <w:style w:type="character" w:customStyle="1" w:styleId="96">
    <w:name w:val="批注文字 字符1"/>
    <w:link w:val="18"/>
    <w:qFormat/>
    <w:locked/>
    <w:uiPriority w:val="99"/>
    <w:rPr>
      <w:rFonts w:ascii="Times New Roman" w:hAnsi="Times New Roman" w:eastAsia="宋体" w:cs="Times New Roman"/>
      <w:kern w:val="2"/>
      <w:sz w:val="24"/>
      <w:szCs w:val="24"/>
    </w:rPr>
  </w:style>
  <w:style w:type="character" w:customStyle="1" w:styleId="97">
    <w:name w:val="称呼 字符"/>
    <w:link w:val="19"/>
    <w:qFormat/>
    <w:locked/>
    <w:uiPriority w:val="99"/>
    <w:rPr>
      <w:rFonts w:ascii="方正仿宋_GB2312" w:hAnsi="Times New Roman" w:eastAsia="方正仿宋_GB2312"/>
      <w:sz w:val="20"/>
    </w:rPr>
  </w:style>
  <w:style w:type="character" w:customStyle="1" w:styleId="98">
    <w:name w:val="正文文本 3 字符"/>
    <w:link w:val="20"/>
    <w:qFormat/>
    <w:locked/>
    <w:uiPriority w:val="99"/>
    <w:rPr>
      <w:rFonts w:ascii="Times New Roman" w:hAnsi="Times New Roman" w:eastAsia="宋体"/>
      <w:sz w:val="16"/>
    </w:rPr>
  </w:style>
  <w:style w:type="character" w:customStyle="1" w:styleId="99">
    <w:name w:val="正文文本缩进 字符"/>
    <w:link w:val="22"/>
    <w:qFormat/>
    <w:locked/>
    <w:uiPriority w:val="99"/>
    <w:rPr>
      <w:rFonts w:ascii="Times New Roman" w:hAnsi="Times New Roman" w:eastAsia="宋体"/>
      <w:sz w:val="24"/>
    </w:rPr>
  </w:style>
  <w:style w:type="character" w:customStyle="1" w:styleId="100">
    <w:name w:val="纯文本 字符"/>
    <w:link w:val="26"/>
    <w:qFormat/>
    <w:locked/>
    <w:uiPriority w:val="0"/>
    <w:rPr>
      <w:rFonts w:ascii="宋体" w:hAnsi="Courier New" w:eastAsia="宋体"/>
      <w:sz w:val="21"/>
    </w:rPr>
  </w:style>
  <w:style w:type="character" w:customStyle="1" w:styleId="101">
    <w:name w:val="日期 字符"/>
    <w:link w:val="29"/>
    <w:qFormat/>
    <w:locked/>
    <w:uiPriority w:val="99"/>
    <w:rPr>
      <w:rFonts w:ascii="Times New Roman" w:hAnsi="Times New Roman" w:eastAsia="宋体"/>
      <w:sz w:val="20"/>
    </w:rPr>
  </w:style>
  <w:style w:type="character" w:customStyle="1" w:styleId="102">
    <w:name w:val="正文文本缩进 2 字符"/>
    <w:link w:val="30"/>
    <w:qFormat/>
    <w:locked/>
    <w:uiPriority w:val="99"/>
    <w:rPr>
      <w:rFonts w:ascii="宋体" w:hAnsi="宋体" w:eastAsia="宋体"/>
      <w:sz w:val="24"/>
    </w:rPr>
  </w:style>
  <w:style w:type="character" w:customStyle="1" w:styleId="103">
    <w:name w:val="尾注文本 字符"/>
    <w:link w:val="39"/>
    <w:semiHidden/>
    <w:qFormat/>
    <w:locked/>
    <w:uiPriority w:val="99"/>
    <w:rPr>
      <w:rFonts w:ascii="Times New Roman" w:hAnsi="Times New Roman" w:eastAsia="宋体"/>
      <w:kern w:val="0"/>
      <w:sz w:val="24"/>
    </w:rPr>
  </w:style>
  <w:style w:type="character" w:customStyle="1" w:styleId="104">
    <w:name w:val="批注框文本 字符"/>
    <w:link w:val="40"/>
    <w:semiHidden/>
    <w:qFormat/>
    <w:locked/>
    <w:uiPriority w:val="99"/>
    <w:rPr>
      <w:rFonts w:ascii="Times New Roman" w:hAnsi="Times New Roman" w:eastAsia="宋体"/>
      <w:sz w:val="18"/>
    </w:rPr>
  </w:style>
  <w:style w:type="character" w:customStyle="1" w:styleId="105">
    <w:name w:val="页脚 字符"/>
    <w:link w:val="41"/>
    <w:qFormat/>
    <w:locked/>
    <w:uiPriority w:val="99"/>
    <w:rPr>
      <w:rFonts w:cs="Times New Roman"/>
      <w:kern w:val="2"/>
      <w:sz w:val="18"/>
      <w:szCs w:val="18"/>
    </w:rPr>
  </w:style>
  <w:style w:type="character" w:customStyle="1" w:styleId="106">
    <w:name w:val="页眉 字符"/>
    <w:link w:val="43"/>
    <w:qFormat/>
    <w:locked/>
    <w:uiPriority w:val="0"/>
    <w:rPr>
      <w:sz w:val="18"/>
    </w:rPr>
  </w:style>
  <w:style w:type="character" w:customStyle="1" w:styleId="107">
    <w:name w:val="签名 字符"/>
    <w:link w:val="44"/>
    <w:qFormat/>
    <w:locked/>
    <w:uiPriority w:val="99"/>
    <w:rPr>
      <w:rFonts w:ascii="Times New Roman" w:hAnsi="Times New Roman" w:eastAsia="方正仿宋_GB2312"/>
      <w:kern w:val="0"/>
      <w:sz w:val="20"/>
    </w:rPr>
  </w:style>
  <w:style w:type="character" w:customStyle="1" w:styleId="108">
    <w:name w:val="副标题 字符"/>
    <w:link w:val="49"/>
    <w:qFormat/>
    <w:locked/>
    <w:uiPriority w:val="99"/>
    <w:rPr>
      <w:rFonts w:ascii="Cambria" w:hAnsi="Cambria" w:eastAsia="宋体"/>
      <w:i/>
      <w:spacing w:val="13"/>
      <w:kern w:val="0"/>
      <w:sz w:val="24"/>
      <w:lang w:eastAsia="en-US"/>
    </w:rPr>
  </w:style>
  <w:style w:type="character" w:customStyle="1" w:styleId="109">
    <w:name w:val="脚注文本 字符"/>
    <w:link w:val="51"/>
    <w:semiHidden/>
    <w:qFormat/>
    <w:locked/>
    <w:uiPriority w:val="99"/>
    <w:rPr>
      <w:rFonts w:ascii="Times New Roman" w:hAnsi="Times New Roman" w:eastAsia="宋体"/>
      <w:sz w:val="18"/>
    </w:rPr>
  </w:style>
  <w:style w:type="character" w:customStyle="1" w:styleId="110">
    <w:name w:val="正文文本缩进 3 字符"/>
    <w:link w:val="53"/>
    <w:qFormat/>
    <w:locked/>
    <w:uiPriority w:val="99"/>
    <w:rPr>
      <w:rFonts w:ascii="Times New Roman" w:hAnsi="Times New Roman" w:eastAsia="宋体"/>
      <w:b/>
      <w:sz w:val="20"/>
    </w:rPr>
  </w:style>
  <w:style w:type="character" w:customStyle="1" w:styleId="111">
    <w:name w:val="正文文本 2 字符"/>
    <w:link w:val="57"/>
    <w:qFormat/>
    <w:locked/>
    <w:uiPriority w:val="99"/>
    <w:rPr>
      <w:rFonts w:ascii="Times New Roman" w:hAnsi="Times New Roman" w:eastAsia="宋体"/>
      <w:b/>
      <w:sz w:val="20"/>
    </w:rPr>
  </w:style>
  <w:style w:type="character" w:customStyle="1" w:styleId="112">
    <w:name w:val="HTML 预设格式 字符"/>
    <w:link w:val="58"/>
    <w:qFormat/>
    <w:locked/>
    <w:uiPriority w:val="99"/>
    <w:rPr>
      <w:rFonts w:ascii="宋体" w:hAnsi="宋体" w:eastAsia="宋体"/>
      <w:kern w:val="0"/>
      <w:sz w:val="24"/>
    </w:rPr>
  </w:style>
  <w:style w:type="character" w:customStyle="1" w:styleId="113">
    <w:name w:val="标题 字符"/>
    <w:link w:val="61"/>
    <w:qFormat/>
    <w:locked/>
    <w:uiPriority w:val="99"/>
    <w:rPr>
      <w:rFonts w:ascii="Times New Roman" w:hAnsi="Times New Roman" w:eastAsia="黑体"/>
      <w:b/>
      <w:kern w:val="0"/>
      <w:sz w:val="20"/>
      <w:lang w:val="en-GB"/>
    </w:rPr>
  </w:style>
  <w:style w:type="character" w:customStyle="1" w:styleId="114">
    <w:name w:val="批注主题 字符"/>
    <w:link w:val="62"/>
    <w:semiHidden/>
    <w:qFormat/>
    <w:locked/>
    <w:uiPriority w:val="99"/>
    <w:rPr>
      <w:rFonts w:ascii="Times New Roman" w:hAnsi="Times New Roman" w:eastAsia="宋体" w:cs="Times New Roman"/>
      <w:b/>
      <w:kern w:val="2"/>
      <w:sz w:val="24"/>
      <w:szCs w:val="24"/>
    </w:rPr>
  </w:style>
  <w:style w:type="character" w:customStyle="1" w:styleId="115">
    <w:name w:val="正文首行缩进 字符"/>
    <w:link w:val="63"/>
    <w:qFormat/>
    <w:locked/>
    <w:uiPriority w:val="99"/>
    <w:rPr>
      <w:rFonts w:ascii="Times New Roman" w:hAnsi="Times New Roman" w:eastAsia="宋体" w:cs="Times New Roman"/>
      <w:sz w:val="24"/>
      <w:szCs w:val="24"/>
    </w:rPr>
  </w:style>
  <w:style w:type="character" w:customStyle="1" w:styleId="116">
    <w:name w:val="正文首行缩进 2 字符"/>
    <w:link w:val="64"/>
    <w:qFormat/>
    <w:locked/>
    <w:uiPriority w:val="99"/>
    <w:rPr>
      <w:rFonts w:ascii="宋体" w:hAnsi="宋体" w:eastAsia="宋体"/>
      <w:sz w:val="20"/>
    </w:rPr>
  </w:style>
  <w:style w:type="paragraph" w:customStyle="1" w:styleId="117">
    <w:name w:val="首行缩进"/>
    <w:basedOn w:val="1"/>
    <w:qFormat/>
    <w:uiPriority w:val="0"/>
    <w:pPr>
      <w:spacing w:line="400" w:lineRule="exact"/>
      <w:ind w:left="420" w:firstLine="480" w:firstLineChars="200"/>
    </w:pPr>
    <w:rPr>
      <w:szCs w:val="20"/>
    </w:rPr>
  </w:style>
  <w:style w:type="character" w:customStyle="1" w:styleId="118">
    <w:name w:val="方案文档 Char Char"/>
    <w:qFormat/>
    <w:locked/>
    <w:uiPriority w:val="99"/>
    <w:rPr>
      <w:rFonts w:ascii="宋体" w:hAnsi="宋体" w:eastAsia="宋体"/>
      <w:sz w:val="24"/>
      <w:lang w:val="zh-CN" w:eastAsia="zh-CN"/>
    </w:rPr>
  </w:style>
  <w:style w:type="character" w:customStyle="1" w:styleId="119">
    <w:name w:val="textcontents"/>
    <w:qFormat/>
    <w:uiPriority w:val="99"/>
  </w:style>
  <w:style w:type="character" w:customStyle="1" w:styleId="120">
    <w:name w:val="Char Char28"/>
    <w:qFormat/>
    <w:uiPriority w:val="99"/>
    <w:rPr>
      <w:rFonts w:ascii="Arial" w:hAnsi="Arial" w:eastAsia="黑体"/>
      <w:b/>
      <w:sz w:val="32"/>
    </w:rPr>
  </w:style>
  <w:style w:type="character" w:customStyle="1" w:styleId="121">
    <w:name w:val="Char Char23"/>
    <w:qFormat/>
    <w:uiPriority w:val="99"/>
    <w:rPr>
      <w:rFonts w:ascii="Arial" w:hAnsi="Arial" w:eastAsia="黑体"/>
      <w:b/>
      <w:kern w:val="2"/>
      <w:sz w:val="24"/>
    </w:rPr>
  </w:style>
  <w:style w:type="character" w:customStyle="1" w:styleId="122">
    <w:name w:val="纯文本 Char Char Char1"/>
    <w:qFormat/>
    <w:uiPriority w:val="99"/>
    <w:rPr>
      <w:rFonts w:ascii="宋体" w:hAnsi="Courier New" w:eastAsia="宋体"/>
      <w:kern w:val="2"/>
      <w:sz w:val="21"/>
      <w:lang w:val="en-US" w:eastAsia="zh-CN"/>
    </w:rPr>
  </w:style>
  <w:style w:type="character" w:customStyle="1" w:styleId="123">
    <w:name w:val="华宇段落1 Char Char Char"/>
    <w:qFormat/>
    <w:uiPriority w:val="99"/>
    <w:rPr>
      <w:rFonts w:eastAsia="宋体"/>
      <w:kern w:val="2"/>
      <w:sz w:val="24"/>
      <w:lang w:val="en-US" w:eastAsia="zh-CN"/>
    </w:rPr>
  </w:style>
  <w:style w:type="character" w:customStyle="1" w:styleId="124">
    <w:name w:val="Char Char6"/>
    <w:qFormat/>
    <w:uiPriority w:val="99"/>
    <w:rPr>
      <w:rFonts w:eastAsia="宋体"/>
      <w:kern w:val="2"/>
      <w:sz w:val="24"/>
      <w:lang w:val="en-US" w:eastAsia="zh-CN"/>
    </w:rPr>
  </w:style>
  <w:style w:type="character" w:customStyle="1" w:styleId="125">
    <w:name w:val="标准文本 Char"/>
    <w:qFormat/>
    <w:uiPriority w:val="99"/>
    <w:rPr>
      <w:rFonts w:eastAsia="宋体"/>
      <w:kern w:val="2"/>
      <w:sz w:val="24"/>
      <w:lang w:val="en-US" w:eastAsia="zh-CN"/>
    </w:rPr>
  </w:style>
  <w:style w:type="character" w:customStyle="1" w:styleId="126">
    <w:name w:val="listbenefit"/>
    <w:qFormat/>
    <w:uiPriority w:val="99"/>
  </w:style>
  <w:style w:type="character" w:customStyle="1" w:styleId="127">
    <w:name w:val="Char Char18"/>
    <w:qFormat/>
    <w:uiPriority w:val="99"/>
    <w:rPr>
      <w:rFonts w:eastAsia="宋体"/>
      <w:b/>
      <w:kern w:val="2"/>
      <w:sz w:val="24"/>
      <w:lang w:val="en-US" w:eastAsia="zh-CN"/>
    </w:rPr>
  </w:style>
  <w:style w:type="character" w:customStyle="1" w:styleId="128">
    <w:name w:val="明显强调1"/>
    <w:qFormat/>
    <w:uiPriority w:val="99"/>
    <w:rPr>
      <w:b/>
    </w:rPr>
  </w:style>
  <w:style w:type="character" w:customStyle="1" w:styleId="129">
    <w:name w:val="font5 Char Char"/>
    <w:qFormat/>
    <w:uiPriority w:val="99"/>
    <w:rPr>
      <w:rFonts w:ascii="宋体" w:hAnsi="宋体" w:eastAsia="宋体"/>
      <w:sz w:val="28"/>
      <w:lang w:val="en-US" w:eastAsia="zh-CN"/>
    </w:rPr>
  </w:style>
  <w:style w:type="character" w:customStyle="1" w:styleId="130">
    <w:name w:val="Char Char11"/>
    <w:qFormat/>
    <w:uiPriority w:val="99"/>
    <w:rPr>
      <w:rFonts w:ascii="宋体" w:hAnsi="宋体" w:eastAsia="宋体"/>
      <w:sz w:val="24"/>
      <w:lang w:val="en-US" w:eastAsia="zh-CN"/>
    </w:rPr>
  </w:style>
  <w:style w:type="character" w:customStyle="1" w:styleId="131">
    <w:name w:val="Char Char10"/>
    <w:qFormat/>
    <w:uiPriority w:val="99"/>
    <w:rPr>
      <w:rFonts w:eastAsia="宋体"/>
      <w:b/>
      <w:kern w:val="2"/>
      <w:sz w:val="24"/>
      <w:lang w:val="en-US" w:eastAsia="zh-CN"/>
    </w:rPr>
  </w:style>
  <w:style w:type="character" w:customStyle="1" w:styleId="132">
    <w:name w:val="特点 Char1"/>
    <w:qFormat/>
    <w:uiPriority w:val="99"/>
    <w:rPr>
      <w:rFonts w:eastAsia="宋体"/>
      <w:kern w:val="2"/>
      <w:sz w:val="21"/>
      <w:lang w:val="en-US" w:eastAsia="zh-CN"/>
    </w:rPr>
  </w:style>
  <w:style w:type="character" w:customStyle="1" w:styleId="133">
    <w:name w:val="列出段落 字符"/>
    <w:link w:val="84"/>
    <w:qFormat/>
    <w:locked/>
    <w:uiPriority w:val="99"/>
    <w:rPr>
      <w:rFonts w:ascii="Calibri" w:hAnsi="Calibri"/>
    </w:rPr>
  </w:style>
  <w:style w:type="character" w:customStyle="1" w:styleId="134">
    <w:name w:val="样式 非加粗"/>
    <w:qFormat/>
    <w:uiPriority w:val="99"/>
    <w:rPr>
      <w:rFonts w:eastAsia="宋体"/>
      <w:sz w:val="28"/>
    </w:rPr>
  </w:style>
  <w:style w:type="character" w:customStyle="1" w:styleId="135">
    <w:name w:val="明显引用 Char"/>
    <w:qFormat/>
    <w:uiPriority w:val="99"/>
    <w:rPr>
      <w:rFonts w:ascii="Calibri" w:hAnsi="Calibri" w:eastAsia="宋体"/>
      <w:b/>
      <w:i/>
      <w:sz w:val="22"/>
      <w:lang w:val="en-US" w:eastAsia="en-US"/>
    </w:rPr>
  </w:style>
  <w:style w:type="character" w:customStyle="1" w:styleId="136">
    <w:name w:val="content"/>
    <w:qFormat/>
    <w:uiPriority w:val="99"/>
  </w:style>
  <w:style w:type="character" w:customStyle="1" w:styleId="137">
    <w:name w:val="Char Char14"/>
    <w:qFormat/>
    <w:uiPriority w:val="99"/>
    <w:rPr>
      <w:rFonts w:eastAsia="黑体"/>
      <w:b/>
      <w:sz w:val="28"/>
      <w:lang w:val="en-GB" w:eastAsia="zh-CN"/>
    </w:rPr>
  </w:style>
  <w:style w:type="character" w:customStyle="1" w:styleId="138">
    <w:name w:val="标准小四 Char Char"/>
    <w:qFormat/>
    <w:uiPriority w:val="99"/>
    <w:rPr>
      <w:rFonts w:ascii="Arial" w:hAnsi="Arial" w:eastAsia="宋体"/>
      <w:kern w:val="2"/>
      <w:sz w:val="21"/>
      <w:lang w:val="en-US" w:eastAsia="zh-CN"/>
    </w:rPr>
  </w:style>
  <w:style w:type="character" w:customStyle="1" w:styleId="139">
    <w:name w:val="华宇段落1 Char Char"/>
    <w:qFormat/>
    <w:uiPriority w:val="99"/>
    <w:rPr>
      <w:rFonts w:eastAsia="宋体"/>
      <w:kern w:val="2"/>
      <w:sz w:val="24"/>
      <w:lang w:val="en-US" w:eastAsia="zh-CN"/>
    </w:rPr>
  </w:style>
  <w:style w:type="character" w:customStyle="1" w:styleId="140">
    <w:name w:val="书籍标题1"/>
    <w:qFormat/>
    <w:uiPriority w:val="99"/>
    <w:rPr>
      <w:i/>
      <w:smallCaps/>
      <w:spacing w:val="5"/>
    </w:rPr>
  </w:style>
  <w:style w:type="character" w:customStyle="1" w:styleId="141">
    <w:name w:val="标准文本 Char Char"/>
    <w:qFormat/>
    <w:uiPriority w:val="99"/>
    <w:rPr>
      <w:rFonts w:eastAsia="宋体"/>
      <w:kern w:val="2"/>
      <w:sz w:val="24"/>
      <w:lang w:val="en-US" w:eastAsia="zh-CN"/>
    </w:rPr>
  </w:style>
  <w:style w:type="character" w:customStyle="1" w:styleId="142">
    <w:name w:val="纯文本 Char Char"/>
    <w:qFormat/>
    <w:uiPriority w:val="99"/>
    <w:rPr>
      <w:rFonts w:ascii="宋体" w:hAnsi="Courier New" w:eastAsia="宋体"/>
      <w:kern w:val="2"/>
      <w:sz w:val="21"/>
      <w:lang w:val="en-US" w:eastAsia="zh-CN"/>
    </w:rPr>
  </w:style>
  <w:style w:type="character" w:customStyle="1" w:styleId="143">
    <w:name w:val="h Char Char"/>
    <w:qFormat/>
    <w:uiPriority w:val="99"/>
    <w:rPr>
      <w:rFonts w:eastAsia="宋体"/>
      <w:kern w:val="2"/>
      <w:sz w:val="18"/>
      <w:lang w:val="en-US" w:eastAsia="zh-CN"/>
    </w:rPr>
  </w:style>
  <w:style w:type="character" w:customStyle="1" w:styleId="144">
    <w:name w:val="标题 Char1"/>
    <w:qFormat/>
    <w:uiPriority w:val="99"/>
    <w:rPr>
      <w:rFonts w:ascii="Cambria" w:eastAsia="宋体"/>
      <w:b/>
      <w:sz w:val="32"/>
    </w:rPr>
  </w:style>
  <w:style w:type="character" w:customStyle="1" w:styleId="145">
    <w:name w:val="Char Char34"/>
    <w:qFormat/>
    <w:uiPriority w:val="99"/>
    <w:rPr>
      <w:rFonts w:eastAsia="宋体"/>
      <w:b/>
      <w:kern w:val="44"/>
      <w:sz w:val="44"/>
      <w:lang w:val="en-US" w:eastAsia="zh-CN"/>
    </w:rPr>
  </w:style>
  <w:style w:type="character" w:customStyle="1" w:styleId="146">
    <w:name w:val="不明显参考1"/>
    <w:qFormat/>
    <w:uiPriority w:val="99"/>
    <w:rPr>
      <w:smallCaps/>
    </w:rPr>
  </w:style>
  <w:style w:type="character" w:customStyle="1" w:styleId="147">
    <w:name w:val="Intense Quote Char"/>
    <w:link w:val="148"/>
    <w:qFormat/>
    <w:locked/>
    <w:uiPriority w:val="99"/>
    <w:rPr>
      <w:rFonts w:ascii="Calibri" w:hAnsi="Calibri" w:eastAsia="宋体"/>
      <w:b/>
      <w:i/>
      <w:kern w:val="0"/>
      <w:sz w:val="22"/>
      <w:lang w:eastAsia="en-US"/>
    </w:rPr>
  </w:style>
  <w:style w:type="paragraph" w:customStyle="1" w:styleId="148">
    <w:name w:val="明显引用1"/>
    <w:basedOn w:val="1"/>
    <w:next w:val="1"/>
    <w:link w:val="147"/>
    <w:qFormat/>
    <w:uiPriority w:val="99"/>
    <w:pPr>
      <w:widowControl/>
      <w:pBdr>
        <w:bottom w:val="single" w:color="auto" w:sz="4" w:space="1"/>
      </w:pBdr>
      <w:spacing w:before="200" w:after="280" w:line="276" w:lineRule="auto"/>
      <w:ind w:left="1008" w:right="1152"/>
    </w:pPr>
    <w:rPr>
      <w:rFonts w:ascii="Calibri" w:hAnsi="Calibri"/>
      <w:b/>
      <w:i/>
      <w:sz w:val="22"/>
      <w:szCs w:val="20"/>
      <w:lang w:eastAsia="en-US"/>
    </w:rPr>
  </w:style>
  <w:style w:type="character" w:customStyle="1" w:styleId="149">
    <w:name w:val="font41"/>
    <w:qFormat/>
    <w:uiPriority w:val="99"/>
    <w:rPr>
      <w:rFonts w:ascii="宋体" w:hAnsi="宋体" w:eastAsia="宋体" w:cs="宋体"/>
      <w:color w:val="000000"/>
      <w:sz w:val="18"/>
      <w:szCs w:val="18"/>
      <w:u w:val="none"/>
    </w:rPr>
  </w:style>
  <w:style w:type="character" w:customStyle="1" w:styleId="150">
    <w:name w:val="Title1 Char"/>
    <w:qFormat/>
    <w:uiPriority w:val="99"/>
    <w:rPr>
      <w:rFonts w:eastAsia="宋体"/>
      <w:b/>
      <w:kern w:val="44"/>
      <w:sz w:val="44"/>
      <w:lang w:val="en-US" w:eastAsia="zh-CN"/>
    </w:rPr>
  </w:style>
  <w:style w:type="character" w:customStyle="1" w:styleId="151">
    <w:name w:val="font21"/>
    <w:qFormat/>
    <w:uiPriority w:val="99"/>
    <w:rPr>
      <w:rFonts w:ascii="宋体" w:hAnsi="宋体" w:eastAsia="宋体"/>
      <w:color w:val="000000"/>
      <w:sz w:val="20"/>
      <w:u w:val="none"/>
    </w:rPr>
  </w:style>
  <w:style w:type="character" w:customStyle="1" w:styleId="152">
    <w:name w:val="Char Char19"/>
    <w:qFormat/>
    <w:uiPriority w:val="99"/>
    <w:rPr>
      <w:rFonts w:ascii="Arial" w:hAnsi="Arial" w:eastAsia="黑体"/>
      <w:b/>
      <w:kern w:val="2"/>
      <w:sz w:val="24"/>
      <w:lang w:val="en-US" w:eastAsia="zh-CN"/>
    </w:rPr>
  </w:style>
  <w:style w:type="character" w:customStyle="1" w:styleId="153">
    <w:name w:val="style131"/>
    <w:qFormat/>
    <w:uiPriority w:val="99"/>
    <w:rPr>
      <w:sz w:val="18"/>
    </w:rPr>
  </w:style>
  <w:style w:type="character" w:customStyle="1" w:styleId="154">
    <w:name w:val="Char Char4"/>
    <w:qFormat/>
    <w:locked/>
    <w:uiPriority w:val="99"/>
    <w:rPr>
      <w:rFonts w:ascii="方正大黑简体" w:eastAsia="方正大黑简体"/>
      <w:kern w:val="44"/>
      <w:position w:val="6"/>
      <w:sz w:val="30"/>
      <w:lang w:val="en-US" w:eastAsia="zh-CN"/>
    </w:rPr>
  </w:style>
  <w:style w:type="character" w:customStyle="1" w:styleId="155">
    <w:name w:val="Char Char32"/>
    <w:qFormat/>
    <w:uiPriority w:val="99"/>
    <w:rPr>
      <w:rFonts w:eastAsia="宋体"/>
      <w:b/>
      <w:kern w:val="2"/>
      <w:sz w:val="32"/>
      <w:lang w:val="en-US" w:eastAsia="zh-CN"/>
    </w:rPr>
  </w:style>
  <w:style w:type="character" w:customStyle="1" w:styleId="156">
    <w:name w:val="case31"/>
    <w:qFormat/>
    <w:uiPriority w:val="99"/>
    <w:rPr>
      <w:sz w:val="21"/>
    </w:rPr>
  </w:style>
  <w:style w:type="character" w:customStyle="1" w:styleId="157">
    <w:name w:val="标准小四 Char"/>
    <w:qFormat/>
    <w:uiPriority w:val="99"/>
    <w:rPr>
      <w:rFonts w:ascii="Arial" w:hAnsi="Arial" w:eastAsia="宋体"/>
      <w:kern w:val="2"/>
      <w:sz w:val="21"/>
      <w:lang w:val="en-US" w:eastAsia="zh-CN"/>
    </w:rPr>
  </w:style>
  <w:style w:type="character" w:customStyle="1" w:styleId="158">
    <w:name w:val="apple-style-span"/>
    <w:qFormat/>
    <w:uiPriority w:val="99"/>
  </w:style>
  <w:style w:type="character" w:customStyle="1" w:styleId="159">
    <w:name w:val="纯文本 Char Char Char"/>
    <w:qFormat/>
    <w:uiPriority w:val="99"/>
    <w:rPr>
      <w:rFonts w:ascii="宋体" w:hAnsi="Courier New" w:eastAsia="宋体"/>
      <w:kern w:val="2"/>
      <w:sz w:val="21"/>
      <w:lang w:val="en-US" w:eastAsia="zh-CN"/>
    </w:rPr>
  </w:style>
  <w:style w:type="character" w:customStyle="1" w:styleId="160">
    <w:name w:val="2nd level Char"/>
    <w:qFormat/>
    <w:uiPriority w:val="99"/>
    <w:rPr>
      <w:rFonts w:ascii="Arial" w:hAnsi="Arial" w:eastAsia="黑体"/>
      <w:b/>
      <w:kern w:val="2"/>
      <w:sz w:val="32"/>
      <w:lang w:val="en-US" w:eastAsia="zh-CN"/>
    </w:rPr>
  </w:style>
  <w:style w:type="character" w:customStyle="1" w:styleId="161">
    <w:name w:val="A2"/>
    <w:qFormat/>
    <w:uiPriority w:val="99"/>
    <w:rPr>
      <w:color w:val="000000"/>
      <w:sz w:val="18"/>
    </w:rPr>
  </w:style>
  <w:style w:type="character" w:customStyle="1" w:styleId="162">
    <w:name w:val="Char Char30"/>
    <w:qFormat/>
    <w:uiPriority w:val="99"/>
    <w:rPr>
      <w:rFonts w:eastAsia="宋体"/>
      <w:b/>
      <w:kern w:val="2"/>
      <w:sz w:val="28"/>
      <w:lang w:val="en-US" w:eastAsia="zh-CN"/>
    </w:rPr>
  </w:style>
  <w:style w:type="character" w:customStyle="1" w:styleId="163">
    <w:name w:val="小四 段落 宋体 Char1"/>
    <w:qFormat/>
    <w:uiPriority w:val="99"/>
    <w:rPr>
      <w:rFonts w:eastAsia="宋体"/>
      <w:kern w:val="2"/>
      <w:sz w:val="24"/>
      <w:lang w:val="en-US" w:eastAsia="zh-CN"/>
    </w:rPr>
  </w:style>
  <w:style w:type="character" w:customStyle="1" w:styleId="164">
    <w:name w:val="普通文字 Char Char3"/>
    <w:qFormat/>
    <w:uiPriority w:val="99"/>
    <w:rPr>
      <w:rFonts w:ascii="宋体" w:hAnsi="Courier New" w:eastAsia="宋体"/>
      <w:kern w:val="2"/>
      <w:sz w:val="21"/>
      <w:lang w:val="en-US" w:eastAsia="zh-CN"/>
    </w:rPr>
  </w:style>
  <w:style w:type="character" w:customStyle="1" w:styleId="165">
    <w:name w:val="小四 段落 宋体 Char Char Char Char Char"/>
    <w:qFormat/>
    <w:uiPriority w:val="99"/>
    <w:rPr>
      <w:rFonts w:eastAsia="宋体"/>
      <w:kern w:val="2"/>
      <w:sz w:val="24"/>
      <w:lang w:val="en-US" w:eastAsia="zh-CN"/>
    </w:rPr>
  </w:style>
  <w:style w:type="character" w:customStyle="1" w:styleId="166">
    <w:name w:val="正文 + 宋体 Char"/>
    <w:qFormat/>
    <w:uiPriority w:val="99"/>
    <w:rPr>
      <w:rFonts w:eastAsia="宋体"/>
      <w:kern w:val="2"/>
      <w:sz w:val="24"/>
      <w:lang w:val="en-US" w:eastAsia="zh-CN"/>
    </w:rPr>
  </w:style>
  <w:style w:type="character" w:customStyle="1" w:styleId="167">
    <w:name w:val="Char Char5"/>
    <w:qFormat/>
    <w:uiPriority w:val="99"/>
    <w:rPr>
      <w:rFonts w:eastAsia="宋体"/>
      <w:kern w:val="2"/>
      <w:sz w:val="24"/>
      <w:lang w:val="en-US" w:eastAsia="zh-CN"/>
    </w:rPr>
  </w:style>
  <w:style w:type="character" w:customStyle="1" w:styleId="168">
    <w:name w:val="样式 首行缩进:  2 字符 Char"/>
    <w:qFormat/>
    <w:uiPriority w:val="99"/>
    <w:rPr>
      <w:rFonts w:eastAsia="宋体"/>
      <w:kern w:val="2"/>
      <w:sz w:val="24"/>
      <w:lang w:val="en-US" w:eastAsia="zh-CN"/>
    </w:rPr>
  </w:style>
  <w:style w:type="character" w:customStyle="1" w:styleId="169">
    <w:name w:val="已访问的超链接1"/>
    <w:qFormat/>
    <w:uiPriority w:val="99"/>
    <w:rPr>
      <w:color w:val="auto"/>
      <w:u w:val="none"/>
    </w:rPr>
  </w:style>
  <w:style w:type="character" w:customStyle="1" w:styleId="170">
    <w:name w:val="正文文本 字符"/>
    <w:semiHidden/>
    <w:qFormat/>
    <w:locked/>
    <w:uiPriority w:val="99"/>
    <w:rPr>
      <w:rFonts w:ascii="Times New Roman" w:hAnsi="Times New Roman" w:eastAsia="宋体"/>
      <w:sz w:val="24"/>
    </w:rPr>
  </w:style>
  <w:style w:type="character" w:customStyle="1" w:styleId="171">
    <w:name w:val="normalfont1"/>
    <w:qFormat/>
    <w:uiPriority w:val="99"/>
    <w:rPr>
      <w:rFonts w:ascii="汉仪雅酷黑简" w:hAnsi="汉仪雅酷黑简"/>
      <w:sz w:val="18"/>
      <w:u w:val="none"/>
    </w:rPr>
  </w:style>
  <w:style w:type="character" w:customStyle="1" w:styleId="172">
    <w:name w:val="小四 段落 宋体 Char Char Char Char1"/>
    <w:qFormat/>
    <w:uiPriority w:val="99"/>
    <w:rPr>
      <w:rFonts w:eastAsia="宋体"/>
      <w:kern w:val="2"/>
      <w:sz w:val="24"/>
      <w:lang w:val="en-US" w:eastAsia="zh-CN"/>
    </w:rPr>
  </w:style>
  <w:style w:type="character" w:customStyle="1" w:styleId="173">
    <w:name w:val="Quote Char"/>
    <w:link w:val="174"/>
    <w:qFormat/>
    <w:locked/>
    <w:uiPriority w:val="99"/>
    <w:rPr>
      <w:rFonts w:ascii="Calibri" w:hAnsi="Calibri" w:eastAsia="宋体"/>
      <w:i/>
      <w:kern w:val="0"/>
      <w:sz w:val="22"/>
      <w:lang w:eastAsia="en-US"/>
    </w:rPr>
  </w:style>
  <w:style w:type="paragraph" w:customStyle="1" w:styleId="174">
    <w:name w:val="引用1"/>
    <w:basedOn w:val="1"/>
    <w:next w:val="1"/>
    <w:link w:val="173"/>
    <w:qFormat/>
    <w:uiPriority w:val="99"/>
    <w:pPr>
      <w:widowControl/>
      <w:spacing w:before="200" w:line="276" w:lineRule="auto"/>
      <w:ind w:left="360" w:right="360"/>
    </w:pPr>
    <w:rPr>
      <w:rFonts w:ascii="Calibri" w:hAnsi="Calibri"/>
      <w:i/>
      <w:sz w:val="22"/>
      <w:szCs w:val="20"/>
      <w:lang w:eastAsia="en-US"/>
    </w:rPr>
  </w:style>
  <w:style w:type="character" w:customStyle="1" w:styleId="175">
    <w:name w:val="样式 宋体 小四"/>
    <w:qFormat/>
    <w:uiPriority w:val="99"/>
    <w:rPr>
      <w:rFonts w:ascii="宋体" w:eastAsia="宋体"/>
      <w:sz w:val="24"/>
    </w:rPr>
  </w:style>
  <w:style w:type="character" w:customStyle="1" w:styleId="176">
    <w:name w:val="标题 3 Char Char"/>
    <w:qFormat/>
    <w:uiPriority w:val="99"/>
    <w:rPr>
      <w:rFonts w:eastAsia="方正仿宋_GB2312"/>
      <w:b/>
      <w:kern w:val="2"/>
      <w:sz w:val="32"/>
      <w:lang w:val="en-US" w:eastAsia="zh-CN"/>
    </w:rPr>
  </w:style>
  <w:style w:type="character" w:customStyle="1" w:styleId="177">
    <w:name w:val="font111"/>
    <w:qFormat/>
    <w:uiPriority w:val="99"/>
    <w:rPr>
      <w:rFonts w:ascii="宋体" w:hAnsi="宋体" w:eastAsia="宋体"/>
      <w:color w:val="000000"/>
      <w:sz w:val="20"/>
      <w:u w:val="none"/>
    </w:rPr>
  </w:style>
  <w:style w:type="character" w:customStyle="1" w:styleId="178">
    <w:name w:val="标准文本 Char Char Char"/>
    <w:qFormat/>
    <w:uiPriority w:val="99"/>
    <w:rPr>
      <w:rFonts w:eastAsia="宋体"/>
      <w:kern w:val="2"/>
      <w:sz w:val="24"/>
      <w:lang w:val="en-US" w:eastAsia="zh-CN"/>
    </w:rPr>
  </w:style>
  <w:style w:type="character" w:customStyle="1" w:styleId="179">
    <w:name w:val="Char Char24"/>
    <w:qFormat/>
    <w:uiPriority w:val="99"/>
    <w:rPr>
      <w:b/>
      <w:kern w:val="2"/>
      <w:sz w:val="28"/>
    </w:rPr>
  </w:style>
  <w:style w:type="character" w:customStyle="1" w:styleId="180">
    <w:name w:val="样式 首行缩进:  2 字符 Char Char Char"/>
    <w:qFormat/>
    <w:uiPriority w:val="99"/>
    <w:rPr>
      <w:rFonts w:eastAsia="宋体"/>
      <w:kern w:val="2"/>
      <w:sz w:val="24"/>
      <w:lang w:val="en-US" w:eastAsia="zh-CN"/>
    </w:rPr>
  </w:style>
  <w:style w:type="character" w:customStyle="1" w:styleId="181">
    <w:name w:val="Char Char31"/>
    <w:qFormat/>
    <w:uiPriority w:val="99"/>
    <w:rPr>
      <w:rFonts w:ascii="Arial" w:hAnsi="Arial" w:eastAsia="黑体"/>
      <w:b/>
      <w:kern w:val="2"/>
      <w:sz w:val="28"/>
      <w:lang w:val="en-US" w:eastAsia="zh-CN"/>
    </w:rPr>
  </w:style>
  <w:style w:type="character" w:customStyle="1" w:styleId="182">
    <w:name w:val="小四 段落 宋体 Char Char Char1"/>
    <w:qFormat/>
    <w:uiPriority w:val="99"/>
    <w:rPr>
      <w:rFonts w:ascii="宋体" w:hAnsi="宋体" w:eastAsia="宋体"/>
      <w:kern w:val="2"/>
      <w:sz w:val="24"/>
      <w:lang w:val="en-US" w:eastAsia="zh-CN"/>
    </w:rPr>
  </w:style>
  <w:style w:type="character" w:customStyle="1" w:styleId="183">
    <w:name w:val="Char Char7"/>
    <w:qFormat/>
    <w:uiPriority w:val="99"/>
    <w:rPr>
      <w:rFonts w:eastAsia="宋体"/>
      <w:b/>
      <w:kern w:val="2"/>
      <w:sz w:val="24"/>
      <w:lang w:val="en-US" w:eastAsia="zh-CN"/>
    </w:rPr>
  </w:style>
  <w:style w:type="character" w:customStyle="1" w:styleId="184">
    <w:name w:val="concon"/>
    <w:qFormat/>
    <w:uiPriority w:val="99"/>
  </w:style>
  <w:style w:type="character" w:customStyle="1" w:styleId="185">
    <w:name w:val="小四 段落 宋体 Char Char Char Char Char Char"/>
    <w:qFormat/>
    <w:uiPriority w:val="99"/>
    <w:rPr>
      <w:rFonts w:eastAsia="宋体"/>
      <w:kern w:val="2"/>
      <w:sz w:val="24"/>
      <w:lang w:val="en-US" w:eastAsia="zh-CN"/>
    </w:rPr>
  </w:style>
  <w:style w:type="character" w:customStyle="1" w:styleId="186">
    <w:name w:val="标题 3 Char1"/>
    <w:qFormat/>
    <w:uiPriority w:val="99"/>
    <w:rPr>
      <w:rFonts w:eastAsia="宋体"/>
      <w:b/>
      <w:kern w:val="2"/>
      <w:sz w:val="32"/>
      <w:lang w:val="en-US" w:eastAsia="zh-CN"/>
    </w:rPr>
  </w:style>
  <w:style w:type="character" w:customStyle="1" w:styleId="187">
    <w:name w:val="Char Char26"/>
    <w:qFormat/>
    <w:uiPriority w:val="99"/>
    <w:rPr>
      <w:b/>
      <w:kern w:val="2"/>
      <w:sz w:val="32"/>
    </w:rPr>
  </w:style>
  <w:style w:type="character" w:customStyle="1" w:styleId="188">
    <w:name w:val="Char Char33"/>
    <w:qFormat/>
    <w:uiPriority w:val="99"/>
    <w:rPr>
      <w:rFonts w:ascii="Arial" w:hAnsi="Arial" w:eastAsia="黑体"/>
      <w:b/>
      <w:kern w:val="2"/>
      <w:sz w:val="32"/>
      <w:lang w:val="en-US" w:eastAsia="zh-CN"/>
    </w:rPr>
  </w:style>
  <w:style w:type="character" w:customStyle="1" w:styleId="189">
    <w:name w:val="小四 段落 宋体 Char Char Char Char Char Char Char"/>
    <w:qFormat/>
    <w:uiPriority w:val="99"/>
    <w:rPr>
      <w:rFonts w:eastAsia="宋体"/>
      <w:kern w:val="2"/>
      <w:sz w:val="24"/>
      <w:lang w:val="en-US" w:eastAsia="zh-CN"/>
    </w:rPr>
  </w:style>
  <w:style w:type="character" w:customStyle="1" w:styleId="190">
    <w:name w:val="Char Char20"/>
    <w:qFormat/>
    <w:uiPriority w:val="99"/>
    <w:rPr>
      <w:rFonts w:ascii="Arial" w:hAnsi="Arial" w:eastAsia="黑体"/>
      <w:kern w:val="2"/>
      <w:sz w:val="21"/>
    </w:rPr>
  </w:style>
  <w:style w:type="character" w:customStyle="1" w:styleId="191">
    <w:name w:val="Char Char17"/>
    <w:qFormat/>
    <w:uiPriority w:val="99"/>
    <w:rPr>
      <w:rFonts w:ascii="宋体" w:hAnsi="Courier New"/>
      <w:kern w:val="2"/>
      <w:sz w:val="21"/>
    </w:rPr>
  </w:style>
  <w:style w:type="character" w:customStyle="1" w:styleId="192">
    <w:name w:val="subtitle1"/>
    <w:qFormat/>
    <w:uiPriority w:val="99"/>
    <w:rPr>
      <w:rFonts w:ascii="Georgia" w:hAnsi="Georgia"/>
      <w:b/>
      <w:color w:val="auto"/>
      <w:sz w:val="18"/>
    </w:rPr>
  </w:style>
  <w:style w:type="character" w:customStyle="1" w:styleId="193">
    <w:name w:val="正文缩进 Char1"/>
    <w:qFormat/>
    <w:uiPriority w:val="99"/>
    <w:rPr>
      <w:rFonts w:eastAsia="宋体"/>
    </w:rPr>
  </w:style>
  <w:style w:type="character" w:customStyle="1" w:styleId="194">
    <w:name w:val="Char Char12"/>
    <w:qFormat/>
    <w:locked/>
    <w:uiPriority w:val="99"/>
    <w:rPr>
      <w:rFonts w:ascii="Arial" w:hAnsi="Arial" w:eastAsia="黑体"/>
      <w:kern w:val="2"/>
      <w:sz w:val="21"/>
      <w:lang w:val="en-US" w:eastAsia="zh-CN"/>
    </w:rPr>
  </w:style>
  <w:style w:type="character" w:customStyle="1" w:styleId="195">
    <w:name w:val="Char Char27"/>
    <w:qFormat/>
    <w:uiPriority w:val="99"/>
    <w:rPr>
      <w:b/>
      <w:kern w:val="44"/>
      <w:sz w:val="44"/>
    </w:rPr>
  </w:style>
  <w:style w:type="character" w:customStyle="1" w:styleId="196">
    <w:name w:val="页脚 Char"/>
    <w:qFormat/>
    <w:locked/>
    <w:uiPriority w:val="0"/>
    <w:rPr>
      <w:sz w:val="18"/>
    </w:rPr>
  </w:style>
  <w:style w:type="character" w:customStyle="1" w:styleId="197">
    <w:name w:val="明显参考1"/>
    <w:qFormat/>
    <w:uiPriority w:val="99"/>
    <w:rPr>
      <w:smallCaps/>
      <w:spacing w:val="5"/>
      <w:u w:val="single"/>
    </w:rPr>
  </w:style>
  <w:style w:type="character" w:customStyle="1" w:styleId="198">
    <w:name w:val="apple-converted-space"/>
    <w:qFormat/>
    <w:uiPriority w:val="99"/>
  </w:style>
  <w:style w:type="character" w:customStyle="1" w:styleId="199">
    <w:name w:val="Char Char22"/>
    <w:qFormat/>
    <w:uiPriority w:val="99"/>
    <w:rPr>
      <w:b/>
      <w:kern w:val="2"/>
      <w:sz w:val="24"/>
    </w:rPr>
  </w:style>
  <w:style w:type="character" w:customStyle="1" w:styleId="200">
    <w:name w:val="Char Char13"/>
    <w:qFormat/>
    <w:uiPriority w:val="99"/>
    <w:rPr>
      <w:rFonts w:ascii="宋体" w:hAnsi="宋体" w:eastAsia="宋体"/>
      <w:kern w:val="2"/>
      <w:sz w:val="24"/>
      <w:lang w:val="en-US" w:eastAsia="zh-CN"/>
    </w:rPr>
  </w:style>
  <w:style w:type="character" w:customStyle="1" w:styleId="201">
    <w:name w:val="content_lineheight1"/>
    <w:qFormat/>
    <w:uiPriority w:val="99"/>
  </w:style>
  <w:style w:type="character" w:customStyle="1" w:styleId="202">
    <w:name w:val="ih151"/>
    <w:qFormat/>
    <w:uiPriority w:val="99"/>
    <w:rPr>
      <w:color w:val="auto"/>
      <w:sz w:val="18"/>
      <w:u w:val="none"/>
    </w:rPr>
  </w:style>
  <w:style w:type="character" w:customStyle="1" w:styleId="203">
    <w:name w:val="样式 首行缩进:  2 字符 Char Char"/>
    <w:qFormat/>
    <w:uiPriority w:val="99"/>
    <w:rPr>
      <w:rFonts w:eastAsia="宋体"/>
      <w:kern w:val="2"/>
      <w:sz w:val="24"/>
      <w:lang w:val="en-US" w:eastAsia="zh-CN"/>
    </w:rPr>
  </w:style>
  <w:style w:type="character" w:customStyle="1" w:styleId="204">
    <w:name w:val="Char Char15"/>
    <w:qFormat/>
    <w:uiPriority w:val="99"/>
    <w:rPr>
      <w:rFonts w:ascii="Arial" w:hAnsi="Arial" w:eastAsia="黑体"/>
      <w:kern w:val="2"/>
      <w:sz w:val="21"/>
      <w:lang w:val="en-US" w:eastAsia="zh-CN"/>
    </w:rPr>
  </w:style>
  <w:style w:type="character" w:customStyle="1" w:styleId="205">
    <w:name w:val="引用 Char"/>
    <w:qFormat/>
    <w:uiPriority w:val="99"/>
    <w:rPr>
      <w:rFonts w:ascii="Calibri" w:hAnsi="Calibri" w:eastAsia="宋体"/>
      <w:i/>
      <w:sz w:val="22"/>
      <w:lang w:val="en-US" w:eastAsia="en-US"/>
    </w:rPr>
  </w:style>
  <w:style w:type="character" w:customStyle="1" w:styleId="206">
    <w:name w:val="Char Char29"/>
    <w:qFormat/>
    <w:uiPriority w:val="99"/>
    <w:rPr>
      <w:rFonts w:ascii="Times New Roman" w:hAnsi="Times New Roman" w:eastAsia="宋体"/>
      <w:b/>
      <w:kern w:val="44"/>
      <w:sz w:val="44"/>
    </w:rPr>
  </w:style>
  <w:style w:type="character" w:customStyle="1" w:styleId="207">
    <w:name w:val="t1"/>
    <w:qFormat/>
    <w:uiPriority w:val="99"/>
  </w:style>
  <w:style w:type="character" w:customStyle="1" w:styleId="208">
    <w:name w:val="title_emph1"/>
    <w:qFormat/>
    <w:uiPriority w:val="99"/>
    <w:rPr>
      <w:rFonts w:ascii="Arial"/>
      <w:b/>
      <w:sz w:val="18"/>
    </w:rPr>
  </w:style>
  <w:style w:type="character" w:customStyle="1" w:styleId="209">
    <w:name w:val="Char Char21"/>
    <w:qFormat/>
    <w:uiPriority w:val="99"/>
    <w:rPr>
      <w:rFonts w:ascii="Arial" w:hAnsi="Arial" w:eastAsia="黑体"/>
      <w:kern w:val="2"/>
      <w:sz w:val="24"/>
    </w:rPr>
  </w:style>
  <w:style w:type="character" w:customStyle="1" w:styleId="210">
    <w:name w:val="纯文本 Char1"/>
    <w:qFormat/>
    <w:uiPriority w:val="99"/>
    <w:rPr>
      <w:rFonts w:ascii="宋体" w:hAnsi="Courier New"/>
      <w:kern w:val="2"/>
      <w:sz w:val="21"/>
    </w:rPr>
  </w:style>
  <w:style w:type="character" w:customStyle="1" w:styleId="211">
    <w:name w:val="Char Char25"/>
    <w:qFormat/>
    <w:uiPriority w:val="99"/>
    <w:rPr>
      <w:rFonts w:ascii="Arial" w:hAnsi="Arial" w:eastAsia="黑体"/>
      <w:b/>
      <w:kern w:val="2"/>
      <w:sz w:val="28"/>
    </w:rPr>
  </w:style>
  <w:style w:type="character" w:customStyle="1" w:styleId="212">
    <w:name w:val="无间隔 Char"/>
    <w:qFormat/>
    <w:uiPriority w:val="99"/>
    <w:rPr>
      <w:rFonts w:ascii="Calibri" w:hAnsi="Calibri" w:eastAsia="微软雅黑"/>
      <w:kern w:val="2"/>
      <w:sz w:val="22"/>
      <w:lang w:val="en-US" w:eastAsia="zh-CN"/>
    </w:rPr>
  </w:style>
  <w:style w:type="character" w:customStyle="1" w:styleId="213">
    <w:name w:val="Char Char2"/>
    <w:qFormat/>
    <w:uiPriority w:val="99"/>
    <w:rPr>
      <w:rFonts w:ascii="宋体" w:hAnsi="Courier New" w:eastAsia="宋体"/>
      <w:kern w:val="2"/>
      <w:sz w:val="21"/>
      <w:lang w:val="en-US" w:eastAsia="zh-CN"/>
    </w:rPr>
  </w:style>
  <w:style w:type="character" w:customStyle="1" w:styleId="214">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99"/>
    <w:rPr>
      <w:rFonts w:eastAsia="宋体"/>
      <w:b/>
      <w:kern w:val="2"/>
      <w:sz w:val="32"/>
      <w:lang w:val="en-US" w:eastAsia="zh-CN"/>
    </w:rPr>
  </w:style>
  <w:style w:type="character" w:customStyle="1" w:styleId="215">
    <w:name w:val="不明显强调1"/>
    <w:qFormat/>
    <w:uiPriority w:val="99"/>
    <w:rPr>
      <w:i/>
    </w:rPr>
  </w:style>
  <w:style w:type="character" w:customStyle="1" w:styleId="216">
    <w:name w:val="111111 Char Char"/>
    <w:qFormat/>
    <w:uiPriority w:val="99"/>
    <w:rPr>
      <w:rFonts w:ascii="宋体" w:hAnsi="宋体" w:eastAsia="黑体"/>
      <w:b/>
      <w:kern w:val="2"/>
      <w:sz w:val="21"/>
      <w:lang w:val="en-US" w:eastAsia="zh-CN"/>
    </w:rPr>
  </w:style>
  <w:style w:type="character" w:customStyle="1" w:styleId="217">
    <w:name w:val="font61"/>
    <w:qFormat/>
    <w:uiPriority w:val="0"/>
    <w:rPr>
      <w:rFonts w:ascii="宋体" w:hAnsi="宋体" w:eastAsia="宋体"/>
      <w:color w:val="FF0000"/>
      <w:sz w:val="20"/>
      <w:u w:val="none"/>
    </w:rPr>
  </w:style>
  <w:style w:type="character" w:customStyle="1" w:styleId="218">
    <w:name w:val="标准小四 Char Char Char"/>
    <w:qFormat/>
    <w:uiPriority w:val="99"/>
    <w:rPr>
      <w:rFonts w:ascii="Arial" w:hAnsi="Arial" w:eastAsia="宋体"/>
      <w:kern w:val="2"/>
      <w:sz w:val="21"/>
      <w:lang w:val="en-US" w:eastAsia="zh-CN"/>
    </w:rPr>
  </w:style>
  <w:style w:type="character" w:customStyle="1" w:styleId="219">
    <w:name w:val="Char Char9"/>
    <w:qFormat/>
    <w:uiPriority w:val="99"/>
    <w:rPr>
      <w:rFonts w:eastAsia="宋体"/>
      <w:kern w:val="2"/>
      <w:sz w:val="21"/>
      <w:lang w:val="en-US" w:eastAsia="zh-CN"/>
    </w:rPr>
  </w:style>
  <w:style w:type="character" w:customStyle="1" w:styleId="220">
    <w:name w:val="3zw"/>
    <w:qFormat/>
    <w:uiPriority w:val="99"/>
  </w:style>
  <w:style w:type="character" w:customStyle="1" w:styleId="221">
    <w:name w:val="medium_text1"/>
    <w:qFormat/>
    <w:uiPriority w:val="99"/>
    <w:rPr>
      <w:sz w:val="24"/>
    </w:rPr>
  </w:style>
  <w:style w:type="character" w:customStyle="1" w:styleId="222">
    <w:name w:val="Char Char16"/>
    <w:qFormat/>
    <w:uiPriority w:val="99"/>
    <w:rPr>
      <w:rFonts w:ascii="Arial" w:hAnsi="Arial" w:eastAsia="黑体"/>
      <w:kern w:val="2"/>
      <w:sz w:val="24"/>
      <w:lang w:val="en-US" w:eastAsia="zh-CN"/>
    </w:rPr>
  </w:style>
  <w:style w:type="character" w:customStyle="1" w:styleId="223">
    <w:name w:val="华宇段落1 Char Char Char Char"/>
    <w:qFormat/>
    <w:uiPriority w:val="99"/>
    <w:rPr>
      <w:rFonts w:eastAsia="宋体"/>
      <w:kern w:val="2"/>
      <w:sz w:val="24"/>
      <w:lang w:val="en-US" w:eastAsia="zh-CN"/>
    </w:rPr>
  </w:style>
  <w:style w:type="character" w:customStyle="1" w:styleId="224">
    <w:name w:val="font91"/>
    <w:qFormat/>
    <w:uiPriority w:val="99"/>
    <w:rPr>
      <w:rFonts w:ascii="宋体" w:hAnsi="宋体" w:eastAsia="宋体"/>
      <w:color w:val="000000"/>
      <w:sz w:val="20"/>
      <w:u w:val="none"/>
    </w:rPr>
  </w:style>
  <w:style w:type="character" w:customStyle="1" w:styleId="225">
    <w:name w:val="Char Char3"/>
    <w:qFormat/>
    <w:locked/>
    <w:uiPriority w:val="99"/>
    <w:rPr>
      <w:rFonts w:eastAsia="宋体"/>
      <w:kern w:val="2"/>
      <w:sz w:val="18"/>
      <w:lang w:val="en-US" w:eastAsia="zh-CN"/>
    </w:rPr>
  </w:style>
  <w:style w:type="character" w:customStyle="1" w:styleId="226">
    <w:name w:val="普通文字1 Char"/>
    <w:qFormat/>
    <w:uiPriority w:val="99"/>
    <w:rPr>
      <w:rFonts w:ascii="宋体" w:eastAsia="宋体"/>
      <w:kern w:val="2"/>
      <w:sz w:val="21"/>
      <w:lang w:val="en-US" w:eastAsia="zh-CN"/>
    </w:rPr>
  </w:style>
  <w:style w:type="character" w:customStyle="1" w:styleId="227">
    <w:name w:val="Char Char8"/>
    <w:qFormat/>
    <w:uiPriority w:val="99"/>
    <w:rPr>
      <w:rFonts w:eastAsia="宋体"/>
      <w:kern w:val="2"/>
      <w:sz w:val="18"/>
      <w:lang w:val="en-US" w:eastAsia="zh-CN"/>
    </w:rPr>
  </w:style>
  <w:style w:type="character" w:customStyle="1" w:styleId="228">
    <w:name w:val="msosubtleemphasis"/>
    <w:qFormat/>
    <w:uiPriority w:val="99"/>
    <w:rPr>
      <w:rFonts w:cs="Times New Roman"/>
      <w:i/>
      <w:color w:val="auto"/>
    </w:rPr>
  </w:style>
  <w:style w:type="character" w:customStyle="1" w:styleId="229">
    <w:name w:val="小四 段落 宋体 Char Char Char Char Char Char Char Char"/>
    <w:qFormat/>
    <w:uiPriority w:val="99"/>
    <w:rPr>
      <w:rFonts w:eastAsia="宋体"/>
      <w:kern w:val="2"/>
      <w:sz w:val="24"/>
      <w:lang w:val="en-US" w:eastAsia="zh-CN"/>
    </w:rPr>
  </w:style>
  <w:style w:type="character" w:customStyle="1" w:styleId="230">
    <w:name w:val="批注文字 Char"/>
    <w:qFormat/>
    <w:locked/>
    <w:uiPriority w:val="0"/>
    <w:rPr>
      <w:rFonts w:ascii="Times New Roman" w:hAnsi="Times New Roman" w:eastAsia="宋体"/>
      <w:sz w:val="20"/>
    </w:rPr>
  </w:style>
  <w:style w:type="character" w:customStyle="1" w:styleId="231">
    <w:name w:val="批注文字 字符"/>
    <w:qFormat/>
    <w:uiPriority w:val="99"/>
    <w:rPr>
      <w:rFonts w:ascii="Times New Roman" w:hAnsi="Times New Roman" w:eastAsia="宋体" w:cs="Times New Roman"/>
      <w:kern w:val="2"/>
      <w:sz w:val="24"/>
      <w:szCs w:val="24"/>
    </w:rPr>
  </w:style>
  <w:style w:type="paragraph" w:customStyle="1" w:styleId="232">
    <w:name w:val="样式 加点正文 + 段前: 0.5 行 段后: 0.5 行1"/>
    <w:basedOn w:val="1"/>
    <w:qFormat/>
    <w:uiPriority w:val="99"/>
    <w:pPr>
      <w:tabs>
        <w:tab w:val="left" w:pos="1268"/>
      </w:tabs>
      <w:spacing w:beforeLines="50" w:afterLines="50" w:line="300" w:lineRule="auto"/>
      <w:ind w:left="1268" w:hanging="420"/>
    </w:pPr>
    <w:rPr>
      <w:sz w:val="24"/>
      <w:szCs w:val="20"/>
    </w:rPr>
  </w:style>
  <w:style w:type="paragraph" w:customStyle="1" w:styleId="233">
    <w:name w:val="Char2"/>
    <w:basedOn w:val="17"/>
    <w:qFormat/>
    <w:uiPriority w:val="99"/>
    <w:rPr>
      <w:rFonts w:ascii="Tahoma" w:hAnsi="Tahoma"/>
    </w:rPr>
  </w:style>
  <w:style w:type="paragraph" w:customStyle="1" w:styleId="234">
    <w:name w:val="正文缩进2字符"/>
    <w:basedOn w:val="1"/>
    <w:qFormat/>
    <w:uiPriority w:val="99"/>
    <w:pPr>
      <w:adjustRightInd w:val="0"/>
      <w:snapToGrid w:val="0"/>
      <w:spacing w:line="300" w:lineRule="auto"/>
      <w:ind w:firstLine="200" w:firstLineChars="200"/>
    </w:pPr>
    <w:rPr>
      <w:rFonts w:ascii="方正仿宋_GB2312" w:eastAsia="方正仿宋_GB2312"/>
      <w:sz w:val="32"/>
      <w:szCs w:val="32"/>
    </w:rPr>
  </w:style>
  <w:style w:type="paragraph" w:customStyle="1" w:styleId="235">
    <w:name w:val="普通 (Web)"/>
    <w:basedOn w:val="1"/>
    <w:qFormat/>
    <w:uiPriority w:val="99"/>
    <w:pPr>
      <w:widowControl/>
      <w:spacing w:before="100" w:beforeAutospacing="1" w:after="100" w:afterAutospacing="1"/>
    </w:pPr>
    <w:rPr>
      <w:sz w:val="24"/>
    </w:rPr>
  </w:style>
  <w:style w:type="paragraph" w:customStyle="1" w:styleId="236">
    <w:name w:val="table_lines"/>
    <w:basedOn w:val="1"/>
    <w:qFormat/>
    <w:uiPriority w:val="99"/>
    <w:pPr>
      <w:widowControl/>
    </w:pPr>
    <w:rPr>
      <w:sz w:val="20"/>
      <w:szCs w:val="20"/>
      <w:lang w:val="de-DE" w:eastAsia="de-DE"/>
    </w:rPr>
  </w:style>
  <w:style w:type="paragraph" w:customStyle="1" w:styleId="237">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b/>
      <w:bCs/>
      <w:i/>
      <w:iCs/>
      <w:sz w:val="20"/>
      <w:szCs w:val="20"/>
    </w:rPr>
  </w:style>
  <w:style w:type="paragraph" w:customStyle="1" w:styleId="238">
    <w:name w:val="标准文本"/>
    <w:basedOn w:val="1"/>
    <w:qFormat/>
    <w:uiPriority w:val="99"/>
    <w:pPr>
      <w:spacing w:line="360" w:lineRule="auto"/>
      <w:ind w:firstLine="480" w:firstLineChars="200"/>
    </w:pPr>
    <w:rPr>
      <w:sz w:val="24"/>
    </w:rPr>
  </w:style>
  <w:style w:type="paragraph" w:customStyle="1" w:styleId="239">
    <w:name w:val="正文 + 宋体"/>
    <w:basedOn w:val="1"/>
    <w:qFormat/>
    <w:uiPriority w:val="99"/>
    <w:pPr>
      <w:spacing w:line="360" w:lineRule="auto"/>
      <w:ind w:firstLine="420" w:firstLineChars="200"/>
    </w:pPr>
  </w:style>
  <w:style w:type="paragraph" w:customStyle="1" w:styleId="240">
    <w:name w:val="我的正文"/>
    <w:basedOn w:val="1"/>
    <w:qFormat/>
    <w:uiPriority w:val="99"/>
    <w:pPr>
      <w:widowControl/>
      <w:spacing w:line="360" w:lineRule="auto"/>
      <w:ind w:firstLine="420"/>
    </w:pPr>
  </w:style>
  <w:style w:type="paragraph" w:customStyle="1" w:styleId="241">
    <w:name w:val="Char Char Char Char Char Char Char"/>
    <w:basedOn w:val="1"/>
    <w:qFormat/>
    <w:uiPriority w:val="99"/>
    <w:rPr>
      <w:rFonts w:ascii="Tahoma" w:hAnsi="Tahoma"/>
      <w:sz w:val="24"/>
      <w:szCs w:val="20"/>
    </w:rPr>
  </w:style>
  <w:style w:type="paragraph" w:customStyle="1" w:styleId="242">
    <w:name w:val="公文正文"/>
    <w:basedOn w:val="22"/>
    <w:qFormat/>
    <w:uiPriority w:val="99"/>
    <w:pPr>
      <w:spacing w:after="0"/>
      <w:ind w:left="0" w:leftChars="0" w:firstLine="200" w:firstLineChars="200"/>
    </w:pPr>
    <w:rPr>
      <w:rFonts w:ascii="方正仿宋_GB2312" w:eastAsia="方正仿宋_GB2312"/>
      <w:kern w:val="28"/>
      <w:sz w:val="28"/>
    </w:rPr>
  </w:style>
  <w:style w:type="paragraph" w:customStyle="1" w:styleId="243">
    <w:name w:val="p0"/>
    <w:basedOn w:val="1"/>
    <w:qFormat/>
    <w:uiPriority w:val="99"/>
    <w:pPr>
      <w:widowControl/>
      <w:spacing w:before="100" w:beforeAutospacing="1" w:after="100" w:afterAutospacing="1"/>
    </w:pPr>
    <w:rPr>
      <w:sz w:val="24"/>
    </w:rPr>
  </w:style>
  <w:style w:type="paragraph" w:customStyle="1" w:styleId="244">
    <w:name w:val="Char Char Char Char Char Char Char Char Char Char Char"/>
    <w:basedOn w:val="1"/>
    <w:qFormat/>
    <w:uiPriority w:val="99"/>
    <w:rPr>
      <w:rFonts w:ascii="Tahoma" w:hAnsi="Tahoma"/>
      <w:sz w:val="24"/>
      <w:szCs w:val="20"/>
    </w:rPr>
  </w:style>
  <w:style w:type="paragraph" w:customStyle="1" w:styleId="245">
    <w:name w:val="插图"/>
    <w:basedOn w:val="1"/>
    <w:qFormat/>
    <w:uiPriority w:val="99"/>
    <w:pPr>
      <w:tabs>
        <w:tab w:val="left" w:pos="1620"/>
      </w:tabs>
      <w:adjustRightInd w:val="0"/>
      <w:jc w:val="center"/>
    </w:pPr>
    <w:rPr>
      <w:bCs/>
      <w:color w:val="000000"/>
      <w:szCs w:val="22"/>
    </w:rPr>
  </w:style>
  <w:style w:type="paragraph" w:customStyle="1" w:styleId="246">
    <w:name w:val="样式1"/>
    <w:basedOn w:val="1"/>
    <w:qFormat/>
    <w:uiPriority w:val="99"/>
    <w:pPr>
      <w:spacing w:line="300" w:lineRule="auto"/>
      <w:ind w:firstLine="480" w:firstLineChars="200"/>
    </w:pPr>
    <w:rPr>
      <w:sz w:val="24"/>
    </w:rPr>
  </w:style>
  <w:style w:type="paragraph" w:customStyle="1" w:styleId="24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48">
    <w:name w:val="Char Char Char"/>
    <w:basedOn w:val="1"/>
    <w:qFormat/>
    <w:uiPriority w:val="99"/>
    <w:rPr>
      <w:rFonts w:ascii="Tahoma" w:hAnsi="Tahoma"/>
      <w:sz w:val="24"/>
      <w:szCs w:val="20"/>
    </w:rPr>
  </w:style>
  <w:style w:type="paragraph" w:customStyle="1" w:styleId="249">
    <w:name w:val="马刚标题3"/>
    <w:basedOn w:val="1"/>
    <w:next w:val="1"/>
    <w:qFormat/>
    <w:uiPriority w:val="99"/>
    <w:pPr>
      <w:keepNext/>
      <w:keepLines/>
      <w:tabs>
        <w:tab w:val="left" w:pos="567"/>
        <w:tab w:val="left" w:pos="735"/>
      </w:tabs>
      <w:spacing w:before="120" w:after="60" w:line="413" w:lineRule="auto"/>
      <w:ind w:left="567" w:hanging="567"/>
      <w:outlineLvl w:val="2"/>
    </w:pPr>
    <w:rPr>
      <w:rFonts w:ascii="黑体" w:hAnsi="Arial" w:eastAsia="黑体"/>
      <w:b/>
      <w:bCs/>
      <w:sz w:val="24"/>
      <w:szCs w:val="20"/>
    </w:rPr>
  </w:style>
  <w:style w:type="paragraph" w:customStyle="1" w:styleId="250">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1">
    <w:name w:val="二级条标题"/>
    <w:basedOn w:val="1"/>
    <w:next w:val="250"/>
    <w:qFormat/>
    <w:uiPriority w:val="99"/>
    <w:pPr>
      <w:widowControl/>
      <w:tabs>
        <w:tab w:val="left" w:pos="2240"/>
      </w:tabs>
      <w:ind w:hanging="420"/>
      <w:outlineLvl w:val="3"/>
    </w:pPr>
    <w:rPr>
      <w:rFonts w:eastAsia="黑体"/>
      <w:szCs w:val="20"/>
    </w:rPr>
  </w:style>
  <w:style w:type="paragraph" w:customStyle="1" w:styleId="252">
    <w:name w:val="Char Char1 Char Char Char Char1 Char Char Char Char Char Char"/>
    <w:basedOn w:val="1"/>
    <w:qFormat/>
    <w:uiPriority w:val="99"/>
    <w:rPr>
      <w:rFonts w:ascii="Tahoma" w:hAnsi="Tahoma"/>
      <w:sz w:val="24"/>
      <w:szCs w:val="20"/>
    </w:rPr>
  </w:style>
  <w:style w:type="paragraph" w:customStyle="1" w:styleId="253">
    <w:name w:val="正文表标题"/>
    <w:next w:val="250"/>
    <w:qFormat/>
    <w:uiPriority w:val="99"/>
    <w:pPr>
      <w:tabs>
        <w:tab w:val="left" w:pos="900"/>
      </w:tabs>
      <w:ind w:left="900" w:hanging="420"/>
      <w:jc w:val="center"/>
    </w:pPr>
    <w:rPr>
      <w:rFonts w:ascii="黑体" w:hAnsi="Times New Roman" w:eastAsia="黑体" w:cs="Times New Roman"/>
      <w:sz w:val="21"/>
      <w:lang w:val="en-US" w:eastAsia="zh-CN" w:bidi="ar-SA"/>
    </w:rPr>
  </w:style>
  <w:style w:type="paragraph" w:customStyle="1" w:styleId="254">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55">
    <w:name w:val="Char Char Char Char Char Char Char Char Char Char Char Char Char Char Char Char Char Char Char Char Char1"/>
    <w:basedOn w:val="1"/>
    <w:qFormat/>
    <w:uiPriority w:val="99"/>
    <w:rPr>
      <w:rFonts w:ascii="Tahoma" w:hAnsi="Tahoma"/>
      <w:sz w:val="24"/>
      <w:szCs w:val="20"/>
    </w:rPr>
  </w:style>
  <w:style w:type="paragraph" w:customStyle="1" w:styleId="256">
    <w:name w:val="样式2"/>
    <w:basedOn w:val="1"/>
    <w:qFormat/>
    <w:uiPriority w:val="99"/>
    <w:pPr>
      <w:spacing w:line="360" w:lineRule="auto"/>
      <w:ind w:left="200" w:leftChars="200"/>
    </w:pPr>
    <w:rPr>
      <w:b/>
      <w:sz w:val="24"/>
    </w:rPr>
  </w:style>
  <w:style w:type="paragraph" w:customStyle="1" w:styleId="257">
    <w:name w:val="部分1"/>
    <w:basedOn w:val="1"/>
    <w:qFormat/>
    <w:uiPriority w:val="99"/>
    <w:pPr>
      <w:keepNext/>
      <w:pageBreakBefore/>
      <w:tabs>
        <w:tab w:val="left" w:pos="360"/>
      </w:tabs>
      <w:spacing w:line="360" w:lineRule="auto"/>
      <w:jc w:val="center"/>
      <w:outlineLvl w:val="0"/>
    </w:pPr>
    <w:rPr>
      <w:rFonts w:eastAsia="黑体"/>
      <w:b/>
      <w:kern w:val="44"/>
      <w:sz w:val="36"/>
      <w:szCs w:val="20"/>
    </w:rPr>
  </w:style>
  <w:style w:type="paragraph" w:customStyle="1" w:styleId="258">
    <w:name w:val="Item List Char Char"/>
    <w:qFormat/>
    <w:uiPriority w:val="99"/>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59">
    <w:name w:val="马刚标题4"/>
    <w:basedOn w:val="249"/>
    <w:next w:val="1"/>
    <w:qFormat/>
    <w:uiPriority w:val="99"/>
    <w:pPr>
      <w:tabs>
        <w:tab w:val="left" w:pos="1050"/>
      </w:tabs>
      <w:spacing w:before="100" w:after="40"/>
      <w:outlineLvl w:val="3"/>
    </w:pPr>
    <w:rPr>
      <w:b w:val="0"/>
    </w:rPr>
  </w:style>
  <w:style w:type="paragraph" w:customStyle="1" w:styleId="260">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261">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2312" w:eastAsia="方正仿宋_GB2312"/>
      <w:b/>
      <w:bCs/>
      <w:sz w:val="24"/>
    </w:rPr>
  </w:style>
  <w:style w:type="paragraph" w:customStyle="1" w:styleId="262">
    <w:name w:val="样式 标题 3H3sect1.2.3BOD 0Heading 3 - oldh3l3CTLevel 3 Head..."/>
    <w:basedOn w:val="5"/>
    <w:qFormat/>
    <w:uiPriority w:val="99"/>
    <w:pPr>
      <w:spacing w:beforeLines="50" w:afterLines="50" w:line="240" w:lineRule="auto"/>
    </w:pPr>
    <w:rPr>
      <w:sz w:val="30"/>
      <w:szCs w:val="20"/>
    </w:rPr>
  </w:style>
  <w:style w:type="paragraph" w:customStyle="1" w:styleId="263">
    <w:name w:val="Table Text Char"/>
    <w:qFormat/>
    <w:uiPriority w:val="99"/>
    <w:pPr>
      <w:snapToGrid w:val="0"/>
      <w:spacing w:before="80" w:after="80"/>
    </w:pPr>
    <w:rPr>
      <w:rFonts w:ascii="Arial" w:hAnsi="Arial" w:eastAsia="宋体" w:cs="Arial"/>
      <w:sz w:val="18"/>
      <w:szCs w:val="28"/>
      <w:lang w:val="en-US" w:eastAsia="zh-CN" w:bidi="ar-SA"/>
    </w:rPr>
  </w:style>
  <w:style w:type="paragraph" w:customStyle="1" w:styleId="264">
    <w:name w:val="Pa5"/>
    <w:basedOn w:val="1"/>
    <w:next w:val="1"/>
    <w:qFormat/>
    <w:uiPriority w:val="99"/>
    <w:pPr>
      <w:adjustRightInd w:val="0"/>
      <w:spacing w:line="241" w:lineRule="atLeast"/>
    </w:pPr>
    <w:rPr>
      <w:rFonts w:ascii="汉仪大黑简" w:eastAsia="汉仪大黑简"/>
      <w:sz w:val="24"/>
    </w:rPr>
  </w:style>
  <w:style w:type="paragraph" w:customStyle="1" w:styleId="265">
    <w:name w:val="样式 段后: 0.25 行"/>
    <w:basedOn w:val="1"/>
    <w:qFormat/>
    <w:uiPriority w:val="99"/>
    <w:pPr>
      <w:widowControl/>
      <w:spacing w:afterLines="25" w:line="300" w:lineRule="auto"/>
      <w:ind w:firstLine="420" w:firstLineChars="200"/>
    </w:pPr>
    <w:rPr>
      <w:rFonts w:ascii="Arial" w:hAnsi="Arial"/>
      <w:sz w:val="22"/>
      <w:szCs w:val="20"/>
      <w:lang w:eastAsia="en-US"/>
    </w:rPr>
  </w:style>
  <w:style w:type="paragraph" w:customStyle="1" w:styleId="266">
    <w:name w:val="qw"/>
    <w:qFormat/>
    <w:uiPriority w:val="99"/>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67">
    <w:name w:val="样式 样式 首行缩进:  2 字符 + 行距: 1.5 倍行距"/>
    <w:basedOn w:val="1"/>
    <w:qFormat/>
    <w:uiPriority w:val="99"/>
    <w:pPr>
      <w:spacing w:line="360" w:lineRule="auto"/>
      <w:ind w:firstLine="470" w:firstLineChars="196"/>
    </w:pPr>
    <w:rPr>
      <w:sz w:val="24"/>
      <w:szCs w:val="20"/>
    </w:rPr>
  </w:style>
  <w:style w:type="paragraph" w:customStyle="1" w:styleId="268">
    <w:name w:val="_Style 82"/>
    <w:qFormat/>
    <w:uiPriority w:val="99"/>
    <w:rPr>
      <w:rFonts w:ascii="Times New Roman" w:hAnsi="Times New Roman" w:eastAsia="宋体" w:cs="Times New Roman"/>
      <w:sz w:val="22"/>
      <w:szCs w:val="22"/>
      <w:lang w:val="en-US" w:eastAsia="zh-CN" w:bidi="ar-SA"/>
    </w:rPr>
  </w:style>
  <w:style w:type="paragraph" w:customStyle="1" w:styleId="269">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70">
    <w:name w:val="样式 样式 首行缩进:  0.74 厘米 行距: 1.5 倍行距 + 段后: 0.5 行"/>
    <w:basedOn w:val="1"/>
    <w:qFormat/>
    <w:uiPriority w:val="99"/>
    <w:pPr>
      <w:spacing w:line="360" w:lineRule="auto"/>
      <w:ind w:firstLine="420"/>
    </w:pPr>
    <w:rPr>
      <w:rFonts w:ascii="方正仿宋_GB2312" w:eastAsia="方正仿宋_GB2312"/>
      <w:bCs/>
      <w:sz w:val="24"/>
      <w:szCs w:val="20"/>
    </w:rPr>
  </w:style>
  <w:style w:type="paragraph" w:customStyle="1" w:styleId="271">
    <w:name w:val="Char Char1"/>
    <w:basedOn w:val="1"/>
    <w:qFormat/>
    <w:uiPriority w:val="99"/>
    <w:rPr>
      <w:rFonts w:ascii="Tahoma" w:hAnsi="Tahoma"/>
      <w:sz w:val="24"/>
      <w:szCs w:val="20"/>
    </w:rPr>
  </w:style>
  <w:style w:type="paragraph" w:customStyle="1" w:styleId="272">
    <w:name w:val="Char1 Char Char Char"/>
    <w:basedOn w:val="1"/>
    <w:qFormat/>
    <w:uiPriority w:val="99"/>
    <w:rPr>
      <w:rFonts w:ascii="Tahoma" w:hAnsi="Tahoma" w:cs="Tahoma"/>
      <w:sz w:val="24"/>
      <w:szCs w:val="20"/>
    </w:rPr>
  </w:style>
  <w:style w:type="paragraph" w:customStyle="1" w:styleId="273">
    <w:name w:val="标题2，章节第二层"/>
    <w:basedOn w:val="1"/>
    <w:next w:val="274"/>
    <w:qFormat/>
    <w:uiPriority w:val="99"/>
    <w:pPr>
      <w:tabs>
        <w:tab w:val="left" w:pos="630"/>
        <w:tab w:val="left" w:pos="992"/>
      </w:tabs>
      <w:adjustRightInd w:val="0"/>
      <w:snapToGrid w:val="0"/>
      <w:spacing w:beforeLines="100" w:afterLines="100" w:line="300" w:lineRule="auto"/>
      <w:ind w:left="992" w:hanging="567"/>
      <w:outlineLvl w:val="1"/>
    </w:pPr>
    <w:rPr>
      <w:rFonts w:ascii="Arial" w:hAnsi="Arial" w:eastAsia="黑体"/>
      <w:sz w:val="32"/>
    </w:rPr>
  </w:style>
  <w:style w:type="paragraph" w:customStyle="1" w:styleId="274">
    <w:name w:val="正文格式"/>
    <w:basedOn w:val="1"/>
    <w:qFormat/>
    <w:uiPriority w:val="99"/>
    <w:pPr>
      <w:widowControl/>
      <w:adjustRightInd w:val="0"/>
      <w:snapToGrid w:val="0"/>
      <w:spacing w:beforeLines="25" w:line="360" w:lineRule="auto"/>
      <w:ind w:left="178" w:right="44" w:rightChars="21" w:hanging="178" w:hangingChars="85"/>
      <w:textAlignment w:val="baseline"/>
    </w:pPr>
    <w:rPr>
      <w:bCs/>
    </w:rPr>
  </w:style>
  <w:style w:type="paragraph" w:customStyle="1" w:styleId="275">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sz w:val="20"/>
      <w:szCs w:val="20"/>
    </w:rPr>
  </w:style>
  <w:style w:type="paragraph" w:customStyle="1" w:styleId="276">
    <w:name w:val="font6"/>
    <w:basedOn w:val="1"/>
    <w:qFormat/>
    <w:uiPriority w:val="99"/>
    <w:pPr>
      <w:widowControl/>
      <w:spacing w:before="100" w:beforeAutospacing="1" w:after="100" w:afterAutospacing="1"/>
    </w:pPr>
    <w:rPr>
      <w:b/>
      <w:bCs/>
      <w:sz w:val="20"/>
      <w:szCs w:val="20"/>
    </w:rPr>
  </w:style>
  <w:style w:type="paragraph" w:customStyle="1" w:styleId="277">
    <w:name w:val="xl58"/>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278">
    <w:name w:val="font10"/>
    <w:basedOn w:val="1"/>
    <w:qFormat/>
    <w:uiPriority w:val="99"/>
    <w:pPr>
      <w:widowControl/>
      <w:spacing w:before="100" w:beforeAutospacing="1" w:after="100" w:afterAutospacing="1"/>
    </w:pPr>
    <w:rPr>
      <w:rFonts w:ascii="方正仿宋_GB2312" w:eastAsia="方正仿宋_GB2312"/>
      <w:b/>
      <w:bCs/>
      <w:sz w:val="18"/>
      <w:szCs w:val="18"/>
    </w:rPr>
  </w:style>
  <w:style w:type="paragraph" w:customStyle="1" w:styleId="279">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280">
    <w:name w:val="样式"/>
    <w:basedOn w:val="1"/>
    <w:qFormat/>
    <w:uiPriority w:val="99"/>
    <w:pPr>
      <w:snapToGrid w:val="0"/>
      <w:spacing w:before="120" w:after="120" w:line="360" w:lineRule="auto"/>
    </w:pPr>
    <w:rPr>
      <w:sz w:val="24"/>
      <w:szCs w:val="20"/>
    </w:rPr>
  </w:style>
  <w:style w:type="paragraph" w:customStyle="1" w:styleId="281">
    <w:name w:val="a0"/>
    <w:basedOn w:val="1"/>
    <w:qFormat/>
    <w:uiPriority w:val="99"/>
    <w:pPr>
      <w:widowControl/>
      <w:spacing w:before="100" w:beforeAutospacing="1" w:after="100" w:afterAutospacing="1"/>
    </w:pPr>
    <w:rPr>
      <w:sz w:val="24"/>
    </w:rPr>
  </w:style>
  <w:style w:type="paragraph" w:customStyle="1" w:styleId="282">
    <w:name w:val="retrait3"/>
    <w:basedOn w:val="1"/>
    <w:qFormat/>
    <w:uiPriority w:val="99"/>
    <w:pPr>
      <w:widowControl/>
      <w:spacing w:before="20" w:after="20"/>
      <w:ind w:left="851"/>
    </w:pPr>
    <w:rPr>
      <w:rFonts w:ascii="Arial" w:hAnsi="Arial"/>
      <w:sz w:val="24"/>
      <w:szCs w:val="20"/>
      <w:lang w:val="en-GB"/>
    </w:rPr>
  </w:style>
  <w:style w:type="paragraph" w:customStyle="1" w:styleId="283">
    <w:name w:val="图标"/>
    <w:basedOn w:val="1"/>
    <w:next w:val="1"/>
    <w:qFormat/>
    <w:uiPriority w:val="99"/>
    <w:pPr>
      <w:tabs>
        <w:tab w:val="left" w:pos="567"/>
        <w:tab w:val="left" w:pos="840"/>
      </w:tabs>
      <w:adjustRightInd w:val="0"/>
      <w:snapToGrid w:val="0"/>
      <w:spacing w:before="120" w:after="120" w:line="320" w:lineRule="atLeast"/>
      <w:ind w:left="840" w:hanging="420"/>
      <w:jc w:val="center"/>
      <w:textAlignment w:val="baseline"/>
    </w:pPr>
    <w:rPr>
      <w:rFonts w:eastAsia="方正仿宋_GB2312"/>
      <w:sz w:val="24"/>
      <w:szCs w:val="20"/>
    </w:rPr>
  </w:style>
  <w:style w:type="paragraph" w:customStyle="1" w:styleId="284">
    <w:name w:val="Char1 Char Char Char1"/>
    <w:basedOn w:val="1"/>
    <w:qFormat/>
    <w:uiPriority w:val="99"/>
    <w:rPr>
      <w:rFonts w:ascii="Tahoma" w:hAnsi="Tahoma"/>
      <w:sz w:val="24"/>
      <w:szCs w:val="20"/>
    </w:rPr>
  </w:style>
  <w:style w:type="paragraph" w:customStyle="1" w:styleId="285">
    <w:name w:val="样式 样式 标题 3H3sect1.2.3BOD 0Heading 3 - oldh3l3CTLevel 3 Head... +..."/>
    <w:basedOn w:val="1"/>
    <w:qFormat/>
    <w:uiPriority w:val="99"/>
    <w:pPr>
      <w:keepNext/>
      <w:keepLines/>
      <w:spacing w:beforeLines="50" w:afterLines="50"/>
      <w:outlineLvl w:val="2"/>
    </w:pPr>
    <w:rPr>
      <w:b/>
      <w:bCs/>
      <w:sz w:val="24"/>
      <w:szCs w:val="20"/>
    </w:rPr>
  </w:style>
  <w:style w:type="paragraph" w:customStyle="1" w:styleId="286">
    <w:name w:val="Char Char1 Char1"/>
    <w:basedOn w:val="1"/>
    <w:qFormat/>
    <w:uiPriority w:val="99"/>
    <w:pPr>
      <w:widowControl/>
      <w:spacing w:after="160" w:line="240" w:lineRule="exact"/>
    </w:pPr>
    <w:rPr>
      <w:rFonts w:ascii="Verdana" w:hAnsi="Verdana"/>
      <w:sz w:val="20"/>
      <w:szCs w:val="20"/>
      <w:lang w:eastAsia="en-US"/>
    </w:rPr>
  </w:style>
  <w:style w:type="paragraph" w:customStyle="1" w:styleId="287">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8">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i/>
      <w:iCs/>
      <w:sz w:val="20"/>
      <w:szCs w:val="20"/>
    </w:rPr>
  </w:style>
  <w:style w:type="paragraph" w:customStyle="1" w:styleId="289">
    <w:name w:val="正文2"/>
    <w:basedOn w:val="1"/>
    <w:qFormat/>
    <w:uiPriority w:val="99"/>
    <w:pPr>
      <w:spacing w:before="156" w:line="360" w:lineRule="auto"/>
      <w:ind w:firstLine="510" w:firstLineChars="200"/>
    </w:pPr>
    <w:rPr>
      <w:sz w:val="24"/>
      <w:szCs w:val="20"/>
    </w:rPr>
  </w:style>
  <w:style w:type="paragraph" w:customStyle="1" w:styleId="290">
    <w:name w:val="7"/>
    <w:basedOn w:val="1"/>
    <w:next w:val="59"/>
    <w:qFormat/>
    <w:uiPriority w:val="99"/>
    <w:pPr>
      <w:widowControl/>
      <w:spacing w:before="100" w:beforeAutospacing="1" w:after="100" w:afterAutospacing="1"/>
    </w:pPr>
    <w:rPr>
      <w:sz w:val="24"/>
      <w:szCs w:val="20"/>
    </w:rPr>
  </w:style>
  <w:style w:type="paragraph" w:customStyle="1" w:styleId="291">
    <w:name w:val="Char Char Char Char Char Char Char Char Char Char Char1 Char Char Char1"/>
    <w:basedOn w:val="1"/>
    <w:qFormat/>
    <w:uiPriority w:val="99"/>
    <w:pPr>
      <w:ind w:firstLine="200" w:firstLineChars="200"/>
    </w:pPr>
    <w:rPr>
      <w:rFonts w:ascii="Tahoma" w:hAnsi="Tahoma"/>
      <w:sz w:val="24"/>
    </w:rPr>
  </w:style>
  <w:style w:type="paragraph" w:customStyle="1" w:styleId="292">
    <w:name w:val="font13"/>
    <w:basedOn w:val="1"/>
    <w:qFormat/>
    <w:uiPriority w:val="99"/>
    <w:pPr>
      <w:widowControl/>
      <w:spacing w:before="100" w:beforeAutospacing="1" w:after="100" w:afterAutospacing="1"/>
    </w:pPr>
    <w:rPr>
      <w:i/>
      <w:iCs/>
      <w:sz w:val="36"/>
      <w:szCs w:val="36"/>
    </w:rPr>
  </w:style>
  <w:style w:type="paragraph" w:customStyle="1" w:styleId="293">
    <w:name w:val="默认段落字体 Para Char"/>
    <w:basedOn w:val="1"/>
    <w:qFormat/>
    <w:uiPriority w:val="99"/>
    <w:pPr>
      <w:adjustRightInd w:val="0"/>
      <w:spacing w:line="360" w:lineRule="auto"/>
    </w:pPr>
    <w:rPr>
      <w:sz w:val="24"/>
    </w:rPr>
  </w:style>
  <w:style w:type="paragraph" w:customStyle="1" w:styleId="294">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95">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6">
    <w:name w:val="无间隔1"/>
    <w:qFormat/>
    <w:uiPriority w:val="99"/>
    <w:pPr>
      <w:widowControl w:val="0"/>
      <w:jc w:val="both"/>
    </w:pPr>
    <w:rPr>
      <w:rFonts w:ascii="Times New Roman" w:hAnsi="Times New Roman" w:eastAsia="微软雅黑" w:cs="Times New Roman"/>
      <w:kern w:val="2"/>
      <w:sz w:val="24"/>
      <w:szCs w:val="22"/>
      <w:lang w:val="en-US" w:eastAsia="zh-CN" w:bidi="ar-SA"/>
    </w:rPr>
  </w:style>
  <w:style w:type="paragraph" w:customStyle="1" w:styleId="297">
    <w:name w:val="符号与编号 Char Char"/>
    <w:basedOn w:val="1"/>
    <w:qFormat/>
    <w:uiPriority w:val="99"/>
    <w:pPr>
      <w:tabs>
        <w:tab w:val="left" w:pos="840"/>
      </w:tabs>
      <w:spacing w:afterLines="50" w:line="400" w:lineRule="atLeast"/>
      <w:ind w:left="839" w:hanging="419"/>
    </w:pPr>
    <w:rPr>
      <w:sz w:val="24"/>
    </w:rPr>
  </w:style>
  <w:style w:type="paragraph" w:customStyle="1" w:styleId="298">
    <w:name w:val="Char Char Char Char Char Char Char Char Char Char Char1"/>
    <w:basedOn w:val="1"/>
    <w:qFormat/>
    <w:uiPriority w:val="99"/>
    <w:rPr>
      <w:rFonts w:ascii="Tahoma" w:hAnsi="Tahoma" w:cs="Tahoma"/>
      <w:sz w:val="24"/>
      <w:szCs w:val="20"/>
    </w:rPr>
  </w:style>
  <w:style w:type="paragraph" w:customStyle="1" w:styleId="299">
    <w:name w:val="标题1，章节第一层"/>
    <w:basedOn w:val="274"/>
    <w:next w:val="274"/>
    <w:qFormat/>
    <w:uiPriority w:val="99"/>
    <w:pPr>
      <w:tabs>
        <w:tab w:val="left" w:pos="693"/>
      </w:tabs>
      <w:spacing w:beforeLines="0"/>
      <w:ind w:left="482"/>
      <w:outlineLvl w:val="0"/>
    </w:pPr>
    <w:rPr>
      <w:color w:val="000000"/>
      <w:sz w:val="24"/>
      <w:szCs w:val="24"/>
    </w:rPr>
  </w:style>
  <w:style w:type="paragraph" w:customStyle="1" w:styleId="300">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01">
    <w:name w:val="样式 首行缩进:  2 字符"/>
    <w:basedOn w:val="1"/>
    <w:qFormat/>
    <w:uiPriority w:val="99"/>
    <w:pPr>
      <w:spacing w:line="360" w:lineRule="auto"/>
      <w:ind w:firstLine="480" w:firstLineChars="200"/>
    </w:pPr>
    <w:rPr>
      <w:sz w:val="24"/>
      <w:szCs w:val="20"/>
    </w:rPr>
  </w:style>
  <w:style w:type="paragraph" w:customStyle="1" w:styleId="302">
    <w:name w:val="标题5，章节第五层"/>
    <w:basedOn w:val="1"/>
    <w:next w:val="1"/>
    <w:qFormat/>
    <w:uiPriority w:val="99"/>
    <w:pPr>
      <w:tabs>
        <w:tab w:val="left" w:pos="1050"/>
        <w:tab w:val="left" w:pos="2100"/>
      </w:tabs>
      <w:spacing w:before="78"/>
      <w:ind w:left="2100" w:hanging="420"/>
      <w:outlineLvl w:val="4"/>
    </w:pPr>
    <w:rPr>
      <w:rFonts w:ascii="Arial" w:hAnsi="Arial" w:eastAsia="华文细黑"/>
      <w:sz w:val="30"/>
    </w:rPr>
  </w:style>
  <w:style w:type="paragraph" w:customStyle="1" w:styleId="303">
    <w:name w:val="表格"/>
    <w:basedOn w:val="1"/>
    <w:qFormat/>
    <w:uiPriority w:val="99"/>
    <w:pPr>
      <w:snapToGrid w:val="0"/>
      <w:ind w:firstLine="21" w:firstLineChars="21"/>
    </w:pPr>
    <w:rPr>
      <w:sz w:val="20"/>
      <w:szCs w:val="20"/>
    </w:rPr>
  </w:style>
  <w:style w:type="paragraph" w:customStyle="1" w:styleId="304">
    <w:name w:val="正文1"/>
    <w:basedOn w:val="1"/>
    <w:next w:val="1"/>
    <w:qFormat/>
    <w:uiPriority w:val="99"/>
    <w:pPr>
      <w:spacing w:before="156" w:line="360" w:lineRule="auto"/>
      <w:ind w:firstLine="510" w:firstLineChars="200"/>
    </w:pPr>
    <w:rPr>
      <w:sz w:val="24"/>
      <w:szCs w:val="20"/>
    </w:rPr>
  </w:style>
  <w:style w:type="paragraph" w:customStyle="1" w:styleId="305">
    <w:name w:val="批注主题1"/>
    <w:basedOn w:val="18"/>
    <w:next w:val="18"/>
    <w:qFormat/>
    <w:uiPriority w:val="99"/>
    <w:rPr>
      <w:b/>
      <w:bCs/>
    </w:rPr>
  </w:style>
  <w:style w:type="paragraph" w:customStyle="1" w:styleId="306">
    <w:name w:val="样式3"/>
    <w:basedOn w:val="1"/>
    <w:next w:val="1"/>
    <w:qFormat/>
    <w:uiPriority w:val="99"/>
    <w:pPr>
      <w:spacing w:line="360" w:lineRule="auto"/>
    </w:pPr>
    <w:rPr>
      <w:szCs w:val="20"/>
    </w:rPr>
  </w:style>
  <w:style w:type="paragraph" w:customStyle="1" w:styleId="307">
    <w:name w:val="Char Char Char Char Char Char Char Char Char1"/>
    <w:basedOn w:val="1"/>
    <w:qFormat/>
    <w:uiPriority w:val="99"/>
    <w:pPr>
      <w:tabs>
        <w:tab w:val="left" w:pos="360"/>
      </w:tabs>
      <w:ind w:left="360" w:hanging="360" w:hangingChars="200"/>
    </w:pPr>
    <w:rPr>
      <w:sz w:val="24"/>
    </w:rPr>
  </w:style>
  <w:style w:type="paragraph" w:customStyle="1" w:styleId="308">
    <w:name w:val="正文--wdh"/>
    <w:basedOn w:val="1"/>
    <w:qFormat/>
    <w:uiPriority w:val="99"/>
    <w:pPr>
      <w:spacing w:line="360" w:lineRule="auto"/>
    </w:pPr>
    <w:rPr>
      <w:sz w:val="24"/>
    </w:rPr>
  </w:style>
  <w:style w:type="paragraph" w:customStyle="1" w:styleId="309">
    <w:name w:val="Char Char Char Char Char Char Char Char Char Char Char Char Char Char Char Char Char Char Char Char Char Char Char"/>
    <w:basedOn w:val="1"/>
    <w:qFormat/>
    <w:uiPriority w:val="99"/>
    <w:rPr>
      <w:rFonts w:ascii="Tahoma" w:hAnsi="Tahoma"/>
      <w:sz w:val="24"/>
      <w:szCs w:val="20"/>
    </w:rPr>
  </w:style>
  <w:style w:type="paragraph" w:customStyle="1" w:styleId="310">
    <w:name w:val="Char"/>
    <w:basedOn w:val="1"/>
    <w:qFormat/>
    <w:uiPriority w:val="99"/>
    <w:pPr>
      <w:spacing w:afterLines="50" w:line="360" w:lineRule="auto"/>
    </w:pPr>
    <w:rPr>
      <w:rFonts w:ascii="Tahoma" w:hAnsi="Tahoma"/>
      <w:sz w:val="24"/>
      <w:szCs w:val="20"/>
    </w:rPr>
  </w:style>
  <w:style w:type="paragraph" w:customStyle="1" w:styleId="311">
    <w:name w:val="Char1"/>
    <w:basedOn w:val="1"/>
    <w:qFormat/>
    <w:uiPriority w:val="99"/>
    <w:rPr>
      <w:rFonts w:ascii="方正仿宋_GB2312" w:eastAsia="方正仿宋_GB2312"/>
      <w:b/>
      <w:sz w:val="32"/>
      <w:szCs w:val="32"/>
    </w:rPr>
  </w:style>
  <w:style w:type="paragraph" w:customStyle="1" w:styleId="312">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13">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b/>
      <w:bCs/>
      <w:sz w:val="20"/>
      <w:szCs w:val="20"/>
    </w:rPr>
  </w:style>
  <w:style w:type="paragraph" w:customStyle="1" w:styleId="314">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b/>
      <w:bCs/>
      <w:sz w:val="20"/>
      <w:szCs w:val="20"/>
    </w:rPr>
  </w:style>
  <w:style w:type="paragraph" w:customStyle="1" w:styleId="315">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316">
    <w:name w:val="font14"/>
    <w:basedOn w:val="1"/>
    <w:qFormat/>
    <w:uiPriority w:val="99"/>
    <w:pPr>
      <w:widowControl/>
      <w:spacing w:before="100" w:beforeAutospacing="1" w:after="100" w:afterAutospacing="1"/>
    </w:pPr>
    <w:rPr>
      <w:sz w:val="36"/>
      <w:szCs w:val="36"/>
    </w:rPr>
  </w:style>
  <w:style w:type="paragraph" w:customStyle="1" w:styleId="317">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318">
    <w:name w:val="正文文本 21"/>
    <w:basedOn w:val="1"/>
    <w:qFormat/>
    <w:uiPriority w:val="99"/>
    <w:pPr>
      <w:widowControl/>
      <w:overflowPunct w:val="0"/>
      <w:adjustRightInd w:val="0"/>
      <w:ind w:left="720" w:hanging="720"/>
      <w:textAlignment w:val="baseline"/>
    </w:pPr>
    <w:rPr>
      <w:sz w:val="24"/>
      <w:szCs w:val="20"/>
      <w:lang w:val="en-GB"/>
    </w:rPr>
  </w:style>
  <w:style w:type="paragraph" w:customStyle="1" w:styleId="319">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20">
    <w:name w:val="Char Char Char Char Char Char Char Char Char Char Char Char Char Char Char Char Char Char Char Char Char Char Char1"/>
    <w:basedOn w:val="1"/>
    <w:qFormat/>
    <w:uiPriority w:val="99"/>
    <w:rPr>
      <w:rFonts w:ascii="Tahoma" w:hAnsi="Tahoma" w:cs="Tahoma"/>
      <w:sz w:val="24"/>
      <w:szCs w:val="20"/>
    </w:rPr>
  </w:style>
  <w:style w:type="paragraph" w:customStyle="1" w:styleId="321">
    <w:name w:val="正文文本 New New"/>
    <w:basedOn w:val="1"/>
    <w:qFormat/>
    <w:uiPriority w:val="99"/>
    <w:pPr>
      <w:widowControl/>
      <w:spacing w:before="60" w:after="60" w:line="360" w:lineRule="auto"/>
      <w:ind w:firstLine="200" w:firstLineChars="200"/>
    </w:pPr>
    <w:rPr>
      <w:rFonts w:eastAsia="华文楷体"/>
      <w:sz w:val="24"/>
    </w:rPr>
  </w:style>
  <w:style w:type="paragraph" w:customStyle="1" w:styleId="322">
    <w:name w:val="Char Char110"/>
    <w:basedOn w:val="1"/>
    <w:qFormat/>
    <w:uiPriority w:val="99"/>
    <w:rPr>
      <w:rFonts w:ascii="Tahoma" w:hAnsi="Tahoma" w:cs="Tahoma"/>
      <w:sz w:val="24"/>
      <w:szCs w:val="20"/>
    </w:rPr>
  </w:style>
  <w:style w:type="paragraph" w:customStyle="1" w:styleId="323">
    <w:name w:val="表头_5"/>
    <w:basedOn w:val="1"/>
    <w:qFormat/>
    <w:uiPriority w:val="99"/>
    <w:pPr>
      <w:adjustRightInd w:val="0"/>
      <w:spacing w:line="360" w:lineRule="auto"/>
      <w:textAlignment w:val="baseline"/>
    </w:pPr>
    <w:rPr>
      <w:b/>
      <w:bCs/>
      <w:sz w:val="28"/>
    </w:rPr>
  </w:style>
  <w:style w:type="paragraph" w:customStyle="1" w:styleId="324">
    <w:name w:val="华宇段落1 Char"/>
    <w:basedOn w:val="1"/>
    <w:qFormat/>
    <w:uiPriority w:val="99"/>
    <w:pPr>
      <w:spacing w:line="360" w:lineRule="auto"/>
      <w:ind w:firstLine="200" w:firstLineChars="200"/>
    </w:pPr>
    <w:rPr>
      <w:bCs/>
      <w:sz w:val="24"/>
    </w:rPr>
  </w:style>
  <w:style w:type="paragraph" w:customStyle="1" w:styleId="325">
    <w:name w:val="Char Char Char Char Char Char Char Char Char Char Char Char Char Char1"/>
    <w:basedOn w:val="1"/>
    <w:qFormat/>
    <w:uiPriority w:val="99"/>
    <w:rPr>
      <w:rFonts w:ascii="Tahoma" w:hAnsi="Tahoma" w:cs="Tahoma"/>
      <w:sz w:val="24"/>
      <w:szCs w:val="20"/>
    </w:rPr>
  </w:style>
  <w:style w:type="paragraph" w:customStyle="1" w:styleId="326">
    <w:name w:val="文档正文"/>
    <w:basedOn w:val="1"/>
    <w:qFormat/>
    <w:uiPriority w:val="99"/>
    <w:pPr>
      <w:spacing w:line="360" w:lineRule="auto"/>
    </w:pPr>
    <w:rPr>
      <w:b/>
      <w:bCs/>
    </w:rPr>
  </w:style>
  <w:style w:type="paragraph" w:customStyle="1" w:styleId="327">
    <w:name w:val="Default Text"/>
    <w:basedOn w:val="1"/>
    <w:qFormat/>
    <w:uiPriority w:val="99"/>
    <w:pPr>
      <w:widowControl/>
    </w:pPr>
    <w:rPr>
      <w:sz w:val="24"/>
      <w:szCs w:val="20"/>
      <w:lang w:eastAsia="en-US"/>
    </w:rPr>
  </w:style>
  <w:style w:type="paragraph" w:customStyle="1" w:styleId="328">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sz w:val="20"/>
      <w:szCs w:val="20"/>
    </w:rPr>
  </w:style>
  <w:style w:type="paragraph" w:customStyle="1" w:styleId="329">
    <w:name w:val="xl45"/>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330">
    <w:name w:val="Char Char Char Char Char"/>
    <w:basedOn w:val="1"/>
    <w:qFormat/>
    <w:uiPriority w:val="99"/>
    <w:rPr>
      <w:rFonts w:ascii="Tahoma" w:hAnsi="Tahoma"/>
      <w:sz w:val="24"/>
      <w:szCs w:val="20"/>
    </w:rPr>
  </w:style>
  <w:style w:type="paragraph" w:customStyle="1" w:styleId="331">
    <w:name w:val="纯文本1"/>
    <w:basedOn w:val="1"/>
    <w:qFormat/>
    <w:uiPriority w:val="99"/>
    <w:pPr>
      <w:adjustRightInd w:val="0"/>
      <w:textAlignment w:val="baseline"/>
    </w:pPr>
    <w:rPr>
      <w:rFonts w:eastAsia="方正仿宋_GB2312"/>
      <w:sz w:val="28"/>
      <w:szCs w:val="20"/>
    </w:rPr>
  </w:style>
  <w:style w:type="paragraph" w:customStyle="1" w:styleId="332">
    <w:name w:val="font5"/>
    <w:basedOn w:val="1"/>
    <w:qFormat/>
    <w:uiPriority w:val="99"/>
    <w:pPr>
      <w:widowControl/>
      <w:spacing w:before="100" w:beforeAutospacing="1" w:after="100" w:afterAutospacing="1"/>
    </w:pPr>
    <w:rPr>
      <w:sz w:val="18"/>
      <w:szCs w:val="18"/>
    </w:rPr>
  </w:style>
  <w:style w:type="paragraph" w:customStyle="1" w:styleId="333">
    <w:name w:val="章标题"/>
    <w:next w:val="250"/>
    <w:qFormat/>
    <w:uiPriority w:val="99"/>
    <w:pPr>
      <w:spacing w:beforeLines="50" w:afterLines="50"/>
      <w:jc w:val="both"/>
      <w:outlineLvl w:val="1"/>
    </w:pPr>
    <w:rPr>
      <w:rFonts w:ascii="Times New Roman" w:hAnsi="Times New Roman" w:eastAsia="黑体" w:cs="Times New Roman"/>
      <w:sz w:val="21"/>
      <w:lang w:val="en-US" w:eastAsia="zh-CN" w:bidi="ar-SA"/>
    </w:rPr>
  </w:style>
  <w:style w:type="paragraph" w:customStyle="1" w:styleId="334">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335">
    <w:name w:val="正文文本缩进1"/>
    <w:basedOn w:val="1"/>
    <w:qFormat/>
    <w:uiPriority w:val="99"/>
    <w:pPr>
      <w:spacing w:after="120"/>
      <w:ind w:left="420" w:leftChars="200"/>
    </w:pPr>
  </w:style>
  <w:style w:type="paragraph" w:customStyle="1" w:styleId="336">
    <w:name w:val="1"/>
    <w:basedOn w:val="1"/>
    <w:next w:val="57"/>
    <w:qFormat/>
    <w:uiPriority w:val="99"/>
    <w:pPr>
      <w:spacing w:line="360" w:lineRule="auto"/>
    </w:pPr>
    <w:rPr>
      <w:rFonts w:eastAsia="方正仿宋_GB2312"/>
      <w:sz w:val="24"/>
    </w:rPr>
  </w:style>
  <w:style w:type="paragraph" w:customStyle="1" w:styleId="337">
    <w:name w:val="table_1stline"/>
    <w:basedOn w:val="1"/>
    <w:qFormat/>
    <w:uiPriority w:val="99"/>
    <w:pPr>
      <w:widowControl/>
      <w:spacing w:before="120"/>
    </w:pPr>
    <w:rPr>
      <w:bCs/>
      <w:sz w:val="20"/>
      <w:szCs w:val="20"/>
      <w:lang w:val="de-DE" w:eastAsia="de-DE"/>
    </w:rPr>
  </w:style>
  <w:style w:type="paragraph" w:customStyle="1" w:styleId="338">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339">
    <w:name w:val="111111"/>
    <w:basedOn w:val="1"/>
    <w:qFormat/>
    <w:uiPriority w:val="99"/>
    <w:pPr>
      <w:spacing w:before="120" w:after="120"/>
      <w:jc w:val="center"/>
    </w:pPr>
    <w:rPr>
      <w:rFonts w:eastAsia="黑体"/>
      <w:b/>
      <w:bCs/>
    </w:rPr>
  </w:style>
  <w:style w:type="paragraph" w:customStyle="1" w:styleId="340">
    <w:name w:val="丁华正文"/>
    <w:basedOn w:val="53"/>
    <w:qFormat/>
    <w:uiPriority w:val="99"/>
    <w:pPr>
      <w:adjustRightInd w:val="0"/>
      <w:snapToGrid w:val="0"/>
      <w:spacing w:before="0" w:after="0" w:line="360" w:lineRule="auto"/>
      <w:ind w:left="0" w:firstLine="510"/>
    </w:pPr>
    <w:rPr>
      <w:rFonts w:hAnsi="Arial"/>
      <w:bCs w:val="0"/>
      <w:color w:val="000000"/>
      <w:szCs w:val="16"/>
    </w:rPr>
  </w:style>
  <w:style w:type="paragraph" w:customStyle="1" w:styleId="341">
    <w:name w:val="条1"/>
    <w:basedOn w:val="1"/>
    <w:qFormat/>
    <w:uiPriority w:val="99"/>
    <w:pPr>
      <w:tabs>
        <w:tab w:val="left" w:pos="780"/>
      </w:tabs>
      <w:spacing w:before="156" w:line="360" w:lineRule="auto"/>
      <w:ind w:left="780" w:hanging="360"/>
    </w:pPr>
    <w:rPr>
      <w:rFonts w:eastAsia="黑体"/>
      <w:sz w:val="24"/>
      <w:szCs w:val="20"/>
    </w:rPr>
  </w:style>
  <w:style w:type="paragraph" w:customStyle="1" w:styleId="342">
    <w:name w:val="标题4，章节第四层"/>
    <w:basedOn w:val="1"/>
    <w:next w:val="1"/>
    <w:qFormat/>
    <w:uiPriority w:val="99"/>
    <w:pPr>
      <w:tabs>
        <w:tab w:val="left" w:pos="0"/>
      </w:tabs>
      <w:spacing w:line="360" w:lineRule="auto"/>
      <w:outlineLvl w:val="3"/>
    </w:pPr>
    <w:rPr>
      <w:b/>
      <w:sz w:val="24"/>
    </w:rPr>
  </w:style>
  <w:style w:type="paragraph" w:customStyle="1" w:styleId="343">
    <w:name w:val="Char Char1 Char"/>
    <w:basedOn w:val="1"/>
    <w:qFormat/>
    <w:uiPriority w:val="99"/>
    <w:pPr>
      <w:widowControl/>
      <w:spacing w:after="160" w:line="240" w:lineRule="exact"/>
    </w:pPr>
    <w:rPr>
      <w:rFonts w:ascii="Verdana" w:hAnsi="Verdana"/>
      <w:sz w:val="20"/>
      <w:szCs w:val="20"/>
      <w:lang w:eastAsia="en-US"/>
    </w:rPr>
  </w:style>
  <w:style w:type="paragraph" w:customStyle="1" w:styleId="344">
    <w:name w:val="公文标题 2"/>
    <w:basedOn w:val="1"/>
    <w:next w:val="242"/>
    <w:qFormat/>
    <w:uiPriority w:val="99"/>
    <w:pPr>
      <w:outlineLvl w:val="1"/>
    </w:pPr>
    <w:rPr>
      <w:rFonts w:ascii="方正仿宋_GB2312" w:eastAsia="方正仿宋_GB2312"/>
      <w:kern w:val="28"/>
      <w:sz w:val="28"/>
    </w:rPr>
  </w:style>
  <w:style w:type="paragraph" w:customStyle="1" w:styleId="345">
    <w:name w:val="项目符号，一级"/>
    <w:basedOn w:val="274"/>
    <w:next w:val="274"/>
    <w:qFormat/>
    <w:uiPriority w:val="99"/>
    <w:pPr>
      <w:tabs>
        <w:tab w:val="left" w:pos="1320"/>
      </w:tabs>
      <w:spacing w:line="240" w:lineRule="atLeast"/>
      <w:ind w:left="376" w:leftChars="179" w:firstLine="0"/>
    </w:pPr>
    <w:rPr>
      <w:bCs w:val="0"/>
      <w:color w:val="000000"/>
      <w:szCs w:val="24"/>
    </w:rPr>
  </w:style>
  <w:style w:type="paragraph" w:customStyle="1" w:styleId="346">
    <w:name w:val="font11"/>
    <w:basedOn w:val="1"/>
    <w:qFormat/>
    <w:uiPriority w:val="99"/>
    <w:pPr>
      <w:widowControl/>
      <w:spacing w:before="100" w:beforeAutospacing="1" w:after="100" w:afterAutospacing="1"/>
    </w:pPr>
    <w:rPr>
      <w:b/>
      <w:bCs/>
      <w:sz w:val="18"/>
      <w:szCs w:val="18"/>
    </w:rPr>
  </w:style>
  <w:style w:type="paragraph" w:customStyle="1" w:styleId="347">
    <w:name w:val="样式 段后: 0.5 行 左  0.75 字符"/>
    <w:basedOn w:val="1"/>
    <w:qFormat/>
    <w:uiPriority w:val="99"/>
    <w:pPr>
      <w:widowControl/>
      <w:spacing w:line="360" w:lineRule="auto"/>
      <w:ind w:firstLine="420" w:firstLineChars="200"/>
    </w:pPr>
    <w:rPr>
      <w:rFonts w:hAnsi="Arial" w:cs="Arial"/>
    </w:rPr>
  </w:style>
  <w:style w:type="paragraph" w:customStyle="1" w:styleId="348">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49">
    <w:name w:val="表蕊"/>
    <w:basedOn w:val="1"/>
    <w:qFormat/>
    <w:uiPriority w:val="99"/>
    <w:pPr>
      <w:adjustRightInd w:val="0"/>
      <w:spacing w:line="320" w:lineRule="atLeast"/>
      <w:textAlignment w:val="baseline"/>
    </w:pPr>
    <w:rPr>
      <w:rFonts w:eastAsia="方正仿宋_GB2312"/>
      <w:spacing w:val="-10"/>
      <w:szCs w:val="20"/>
    </w:rPr>
  </w:style>
  <w:style w:type="paragraph" w:customStyle="1" w:styleId="350">
    <w:name w:val="Char11"/>
    <w:basedOn w:val="1"/>
    <w:qFormat/>
    <w:uiPriority w:val="99"/>
    <w:rPr>
      <w:rFonts w:ascii="方正仿宋_GB2312" w:eastAsia="方正仿宋_GB2312"/>
      <w:b/>
      <w:sz w:val="32"/>
      <w:szCs w:val="32"/>
    </w:rPr>
  </w:style>
  <w:style w:type="paragraph" w:customStyle="1" w:styleId="351">
    <w:name w:val="符号与编号 Char"/>
    <w:basedOn w:val="1"/>
    <w:qFormat/>
    <w:uiPriority w:val="99"/>
    <w:pPr>
      <w:tabs>
        <w:tab w:val="left" w:pos="720"/>
      </w:tabs>
      <w:spacing w:afterLines="50" w:line="400" w:lineRule="atLeast"/>
      <w:ind w:left="720"/>
    </w:pPr>
    <w:rPr>
      <w:sz w:val="24"/>
    </w:rPr>
  </w:style>
  <w:style w:type="paragraph" w:customStyle="1" w:styleId="352">
    <w:name w:val="标题3"/>
    <w:basedOn w:val="5"/>
    <w:qFormat/>
    <w:uiPriority w:val="99"/>
    <w:pPr>
      <w:keepNext w:val="0"/>
      <w:keepLines w:val="0"/>
      <w:spacing w:before="0" w:after="0" w:line="360" w:lineRule="auto"/>
    </w:pPr>
    <w:rPr>
      <w:rFonts w:eastAsia="方正仿宋_GB2312"/>
      <w:b w:val="0"/>
      <w:sz w:val="30"/>
    </w:rPr>
  </w:style>
  <w:style w:type="paragraph" w:customStyle="1" w:styleId="353">
    <w:name w:val="表格内文字"/>
    <w:basedOn w:val="1"/>
    <w:qFormat/>
    <w:uiPriority w:val="99"/>
    <w:pPr>
      <w:spacing w:line="300" w:lineRule="atLeast"/>
    </w:pPr>
    <w:rPr>
      <w:sz w:val="18"/>
    </w:rPr>
  </w:style>
  <w:style w:type="paragraph" w:customStyle="1" w:styleId="354">
    <w:name w:val="正文 居中"/>
    <w:basedOn w:val="1"/>
    <w:qFormat/>
    <w:uiPriority w:val="99"/>
    <w:pPr>
      <w:spacing w:line="360" w:lineRule="auto"/>
      <w:jc w:val="center"/>
    </w:pPr>
    <w:rPr>
      <w:sz w:val="24"/>
      <w:szCs w:val="20"/>
    </w:rPr>
  </w:style>
  <w:style w:type="paragraph" w:customStyle="1" w:styleId="355">
    <w:name w:val="正文 + Arial Char"/>
    <w:basedOn w:val="1"/>
    <w:qFormat/>
    <w:uiPriority w:val="99"/>
    <w:pPr>
      <w:widowControl/>
      <w:tabs>
        <w:tab w:val="left" w:pos="315"/>
      </w:tabs>
      <w:spacing w:line="300" w:lineRule="auto"/>
      <w:ind w:left="315" w:hanging="315"/>
    </w:pPr>
    <w:rPr>
      <w:rFonts w:ascii="Arial" w:hAnsi="Arial" w:cs="Arial"/>
      <w:b/>
      <w:color w:val="000000"/>
      <w:szCs w:val="20"/>
    </w:rPr>
  </w:style>
  <w:style w:type="paragraph" w:customStyle="1" w:styleId="356">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i/>
      <w:iCs/>
      <w:sz w:val="20"/>
      <w:szCs w:val="20"/>
    </w:rPr>
  </w:style>
  <w:style w:type="paragraph" w:customStyle="1" w:styleId="357">
    <w:name w:val="列表内容"/>
    <w:basedOn w:val="1"/>
    <w:next w:val="1"/>
    <w:qFormat/>
    <w:uiPriority w:val="99"/>
    <w:pPr>
      <w:widowControl/>
      <w:tabs>
        <w:tab w:val="left" w:pos="840"/>
      </w:tabs>
      <w:ind w:left="840" w:hanging="420"/>
    </w:pPr>
    <w:rPr>
      <w:sz w:val="18"/>
    </w:rPr>
  </w:style>
  <w:style w:type="paragraph" w:customStyle="1" w:styleId="358">
    <w:name w:val="Char Char1 Char Char2 Char Char"/>
    <w:basedOn w:val="1"/>
    <w:qFormat/>
    <w:uiPriority w:val="99"/>
    <w:pPr>
      <w:widowControl/>
      <w:spacing w:after="160" w:line="240" w:lineRule="exact"/>
    </w:pPr>
  </w:style>
  <w:style w:type="paragraph" w:customStyle="1" w:styleId="359">
    <w:name w:val="方案文档"/>
    <w:basedOn w:val="1"/>
    <w:qFormat/>
    <w:uiPriority w:val="99"/>
    <w:pPr>
      <w:spacing w:before="60" w:after="60" w:line="360" w:lineRule="auto"/>
      <w:jc w:val="center"/>
    </w:pPr>
    <w:rPr>
      <w:sz w:val="24"/>
      <w:szCs w:val="20"/>
      <w:lang w:val="zh-CN"/>
    </w:rPr>
  </w:style>
  <w:style w:type="paragraph" w:customStyle="1" w:styleId="360">
    <w:name w:val="tableau"/>
    <w:basedOn w:val="1"/>
    <w:qFormat/>
    <w:uiPriority w:val="99"/>
    <w:pPr>
      <w:widowControl/>
      <w:spacing w:before="20" w:after="20"/>
      <w:jc w:val="center"/>
    </w:pPr>
    <w:rPr>
      <w:rFonts w:ascii="Arial" w:hAnsi="Arial"/>
      <w:sz w:val="16"/>
      <w:szCs w:val="20"/>
      <w:lang w:val="en-GB" w:eastAsia="en-US"/>
    </w:rPr>
  </w:style>
  <w:style w:type="paragraph" w:customStyle="1" w:styleId="361">
    <w:name w:val="样式 标题 2第一章 标题 2Heading 2 HiddenHeading 2 CCBSheading 2H2h2..."/>
    <w:basedOn w:val="4"/>
    <w:qFormat/>
    <w:uiPriority w:val="99"/>
    <w:pPr>
      <w:keepLines w:val="0"/>
      <w:tabs>
        <w:tab w:val="left" w:pos="360"/>
      </w:tabs>
      <w:adjustRightInd w:val="0"/>
      <w:spacing w:beforeLines="50" w:afterLines="50" w:line="240" w:lineRule="auto"/>
      <w:ind w:left="360" w:hanging="360"/>
      <w:jc w:val="center"/>
      <w:textAlignment w:val="baseline"/>
    </w:pPr>
    <w:rPr>
      <w:rFonts w:ascii="黑体" w:hAnsi="Times New Roman"/>
      <w:b w:val="0"/>
      <w:bCs w:val="0"/>
      <w:szCs w:val="20"/>
    </w:rPr>
  </w:style>
  <w:style w:type="paragraph" w:customStyle="1" w:styleId="362">
    <w:name w:val="Char Char Char Char1"/>
    <w:basedOn w:val="17"/>
    <w:qFormat/>
    <w:uiPriority w:val="99"/>
    <w:pPr>
      <w:adjustRightInd w:val="0"/>
      <w:snapToGrid w:val="0"/>
      <w:spacing w:line="360" w:lineRule="auto"/>
    </w:pPr>
    <w:rPr>
      <w:rFonts w:ascii="Tahoma" w:hAnsi="Tahoma"/>
    </w:rPr>
  </w:style>
  <w:style w:type="paragraph" w:customStyle="1" w:styleId="363">
    <w:name w:val="标题1"/>
    <w:basedOn w:val="1"/>
    <w:next w:val="1"/>
    <w:qFormat/>
    <w:uiPriority w:val="99"/>
    <w:pPr>
      <w:tabs>
        <w:tab w:val="left" w:pos="9193"/>
        <w:tab w:val="left" w:pos="9827"/>
      </w:tabs>
      <w:snapToGrid w:val="0"/>
      <w:spacing w:line="700" w:lineRule="atLeast"/>
      <w:jc w:val="center"/>
    </w:pPr>
    <w:rPr>
      <w:rFonts w:ascii="方正小标宋_GBK" w:eastAsia="方正小标宋_GBK"/>
      <w:sz w:val="44"/>
      <w:szCs w:val="20"/>
    </w:rPr>
  </w:style>
  <w:style w:type="paragraph" w:customStyle="1" w:styleId="364">
    <w:name w:val="Normal Indent1"/>
    <w:basedOn w:val="1"/>
    <w:qFormat/>
    <w:uiPriority w:val="99"/>
    <w:pPr>
      <w:ind w:firstLine="420"/>
    </w:pPr>
    <w:rPr>
      <w:sz w:val="20"/>
      <w:szCs w:val="20"/>
    </w:rPr>
  </w:style>
  <w:style w:type="paragraph" w:customStyle="1" w:styleId="365">
    <w:name w:val="Char Char1 Char Char Char Char Char Char Char"/>
    <w:basedOn w:val="1"/>
    <w:qFormat/>
    <w:uiPriority w:val="99"/>
    <w:rPr>
      <w:rFonts w:ascii="Tahoma" w:hAnsi="Tahoma" w:cs="Tahoma"/>
      <w:sz w:val="24"/>
      <w:szCs w:val="20"/>
    </w:rPr>
  </w:style>
  <w:style w:type="paragraph" w:customStyle="1" w:styleId="366">
    <w:name w:val="font9"/>
    <w:basedOn w:val="1"/>
    <w:qFormat/>
    <w:uiPriority w:val="99"/>
    <w:pPr>
      <w:widowControl/>
      <w:spacing w:before="100" w:beforeAutospacing="1" w:after="100" w:afterAutospacing="1"/>
    </w:pPr>
    <w:rPr>
      <w:b/>
      <w:bCs/>
      <w:sz w:val="20"/>
      <w:szCs w:val="20"/>
    </w:rPr>
  </w:style>
  <w:style w:type="paragraph" w:customStyle="1" w:styleId="367">
    <w:name w:val="正文 A"/>
    <w:qFormat/>
    <w:uiPriority w:val="99"/>
    <w:pPr>
      <w:widowControl w:val="0"/>
      <w:pBdr>
        <w:top w:val="none" w:color="FFFFFF" w:sz="0" w:space="31"/>
        <w:left w:val="none" w:color="FFFFFF" w:sz="0" w:space="31"/>
        <w:bottom w:val="none" w:color="FFFFFF" w:sz="0" w:space="31"/>
        <w:right w:val="none" w:color="FFFFFF" w:sz="0" w:space="31"/>
      </w:pBdr>
      <w:jc w:val="both"/>
    </w:pPr>
    <w:rPr>
      <w:rFonts w:ascii="Arial Black" w:hAnsi="Arial Black" w:eastAsia="宋体" w:cs="Arial Black"/>
      <w:color w:val="000000"/>
      <w:sz w:val="21"/>
      <w:szCs w:val="22"/>
      <w:lang w:val="en-US" w:eastAsia="zh-CN" w:bidi="ar-SA"/>
    </w:rPr>
  </w:style>
  <w:style w:type="paragraph" w:customStyle="1" w:styleId="368">
    <w:name w:val="Char Char Char Char Char Char Char1 Char"/>
    <w:basedOn w:val="1"/>
    <w:qFormat/>
    <w:uiPriority w:val="99"/>
    <w:rPr>
      <w:rFonts w:ascii="Tahoma" w:hAnsi="Tahoma" w:cs="Tahoma"/>
      <w:sz w:val="24"/>
      <w:szCs w:val="20"/>
    </w:rPr>
  </w:style>
  <w:style w:type="paragraph" w:customStyle="1" w:styleId="369">
    <w:name w:val="小四 段落 宋体 Char"/>
    <w:basedOn w:val="15"/>
    <w:qFormat/>
    <w:uiPriority w:val="99"/>
    <w:pPr>
      <w:tabs>
        <w:tab w:val="clear" w:pos="2952"/>
      </w:tabs>
      <w:ind w:left="0" w:right="-33" w:firstLine="600" w:firstLineChars="200"/>
    </w:pPr>
    <w:rPr>
      <w:rFonts w:ascii="方正仿宋_GB2312" w:eastAsia="方正仿宋_GB2312"/>
      <w:sz w:val="30"/>
      <w:szCs w:val="30"/>
    </w:rPr>
  </w:style>
  <w:style w:type="paragraph" w:customStyle="1" w:styleId="370">
    <w:name w:val="标准小四"/>
    <w:basedOn w:val="1"/>
    <w:qFormat/>
    <w:uiPriority w:val="99"/>
    <w:pPr>
      <w:spacing w:line="360" w:lineRule="auto"/>
      <w:ind w:firstLine="480" w:firstLineChars="200"/>
    </w:pPr>
    <w:rPr>
      <w:rFonts w:ascii="Arial" w:hAnsi="Arial"/>
      <w:sz w:val="24"/>
    </w:rPr>
  </w:style>
  <w:style w:type="paragraph" w:customStyle="1" w:styleId="371">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sz w:val="24"/>
    </w:rPr>
  </w:style>
  <w:style w:type="paragraph" w:customStyle="1" w:styleId="372">
    <w:name w:val="xl25"/>
    <w:basedOn w:val="1"/>
    <w:qFormat/>
    <w:uiPriority w:val="99"/>
    <w:pPr>
      <w:widowControl/>
      <w:pBdr>
        <w:right w:val="single" w:color="auto" w:sz="4" w:space="0"/>
      </w:pBdr>
      <w:spacing w:before="100" w:beforeAutospacing="1" w:after="100" w:afterAutospacing="1"/>
      <w:jc w:val="center"/>
    </w:pPr>
  </w:style>
  <w:style w:type="paragraph" w:customStyle="1" w:styleId="373">
    <w:name w:val="greytypebeni"/>
    <w:basedOn w:val="1"/>
    <w:qFormat/>
    <w:uiPriority w:val="99"/>
    <w:pPr>
      <w:widowControl/>
    </w:pPr>
    <w:rPr>
      <w:sz w:val="24"/>
    </w:rPr>
  </w:style>
  <w:style w:type="paragraph" w:customStyle="1" w:styleId="374">
    <w:name w:val="Body Text(ch)"/>
    <w:basedOn w:val="1"/>
    <w:next w:val="21"/>
    <w:qFormat/>
    <w:uiPriority w:val="99"/>
    <w:pPr>
      <w:spacing w:after="120"/>
    </w:pPr>
    <w:rPr>
      <w:rFonts w:hAnsi="Arial"/>
      <w:bCs/>
      <w:iCs/>
    </w:rPr>
  </w:style>
  <w:style w:type="paragraph" w:customStyle="1" w:styleId="375">
    <w:name w:val="样式 标题 2H2h2sect 1.2Heading 2 HiddenHeading 2 CCBSheading 2..."/>
    <w:basedOn w:val="4"/>
    <w:qFormat/>
    <w:uiPriority w:val="99"/>
    <w:pPr>
      <w:tabs>
        <w:tab w:val="left" w:pos="576"/>
      </w:tabs>
      <w:adjustRightInd w:val="0"/>
      <w:spacing w:line="240" w:lineRule="auto"/>
      <w:ind w:left="576" w:hanging="36"/>
    </w:pPr>
    <w:rPr>
      <w:rFonts w:ascii="宋体" w:hAnsi="宋体" w:eastAsia="宋体"/>
      <w:sz w:val="28"/>
      <w:szCs w:val="20"/>
    </w:rPr>
  </w:style>
  <w:style w:type="paragraph" w:customStyle="1" w:styleId="376">
    <w:name w:val="a"/>
    <w:basedOn w:val="1"/>
    <w:qFormat/>
    <w:uiPriority w:val="99"/>
    <w:pPr>
      <w:widowControl/>
      <w:spacing w:before="100" w:beforeAutospacing="1" w:after="100" w:afterAutospacing="1"/>
    </w:pPr>
    <w:rPr>
      <w:sz w:val="24"/>
    </w:rPr>
  </w:style>
  <w:style w:type="paragraph" w:customStyle="1" w:styleId="377">
    <w:name w:val="小四 段落 宋体 Char Char Char"/>
    <w:basedOn w:val="15"/>
    <w:qFormat/>
    <w:uiPriority w:val="99"/>
    <w:pPr>
      <w:tabs>
        <w:tab w:val="clear" w:pos="2952"/>
      </w:tabs>
      <w:spacing w:line="360" w:lineRule="auto"/>
      <w:ind w:left="0" w:right="-33" w:firstLine="545" w:firstLineChars="227"/>
    </w:pPr>
    <w:rPr>
      <w:sz w:val="24"/>
    </w:rPr>
  </w:style>
  <w:style w:type="paragraph" w:customStyle="1" w:styleId="378">
    <w:name w:val="Body Text 211"/>
    <w:basedOn w:val="1"/>
    <w:qFormat/>
    <w:uiPriority w:val="99"/>
    <w:pPr>
      <w:widowControl/>
      <w:overflowPunct w:val="0"/>
      <w:adjustRightInd w:val="0"/>
      <w:ind w:left="720" w:hanging="720"/>
      <w:textAlignment w:val="baseline"/>
    </w:pPr>
    <w:rPr>
      <w:sz w:val="24"/>
      <w:szCs w:val="20"/>
      <w:lang w:val="en-GB"/>
    </w:rPr>
  </w:style>
  <w:style w:type="paragraph" w:customStyle="1" w:styleId="379">
    <w:name w:val="Char Char Char Char Char Char Char Char1"/>
    <w:basedOn w:val="1"/>
    <w:qFormat/>
    <w:uiPriority w:val="99"/>
    <w:pPr>
      <w:widowControl/>
      <w:spacing w:after="160" w:line="240" w:lineRule="exact"/>
    </w:pPr>
    <w:rPr>
      <w:rFonts w:ascii="Verdana" w:hAnsi="Verdana"/>
      <w:sz w:val="20"/>
      <w:szCs w:val="20"/>
      <w:lang w:eastAsia="en-US"/>
    </w:rPr>
  </w:style>
  <w:style w:type="paragraph" w:customStyle="1" w:styleId="380">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i/>
      <w:iCs/>
      <w:sz w:val="20"/>
      <w:szCs w:val="20"/>
    </w:rPr>
  </w:style>
  <w:style w:type="paragraph" w:customStyle="1" w:styleId="381">
    <w:name w:val="标题3，章节第三层"/>
    <w:basedOn w:val="1"/>
    <w:next w:val="274"/>
    <w:qFormat/>
    <w:uiPriority w:val="99"/>
    <w:pPr>
      <w:adjustRightInd w:val="0"/>
      <w:snapToGrid w:val="0"/>
      <w:spacing w:before="78" w:line="300" w:lineRule="auto"/>
      <w:outlineLvl w:val="2"/>
    </w:pPr>
    <w:rPr>
      <w:rFonts w:ascii="Arial" w:hAnsi="Arial" w:eastAsia="华文细黑"/>
      <w:sz w:val="30"/>
    </w:rPr>
  </w:style>
  <w:style w:type="paragraph" w:customStyle="1" w:styleId="382">
    <w:name w:val="样式4 Char"/>
    <w:basedOn w:val="1"/>
    <w:qFormat/>
    <w:uiPriority w:val="99"/>
    <w:pPr>
      <w:widowControl/>
      <w:spacing w:line="360" w:lineRule="auto"/>
      <w:ind w:firstLine="480"/>
    </w:pPr>
    <w:rPr>
      <w:color w:val="000000"/>
      <w:sz w:val="24"/>
    </w:rPr>
  </w:style>
  <w:style w:type="paragraph" w:customStyle="1" w:styleId="383">
    <w:name w:val="Body Text 21"/>
    <w:basedOn w:val="1"/>
    <w:qFormat/>
    <w:uiPriority w:val="99"/>
    <w:pPr>
      <w:widowControl/>
      <w:overflowPunct w:val="0"/>
      <w:adjustRightInd w:val="0"/>
      <w:ind w:left="720" w:hanging="720"/>
      <w:textAlignment w:val="baseline"/>
    </w:pPr>
    <w:rPr>
      <w:sz w:val="24"/>
      <w:szCs w:val="20"/>
      <w:lang w:val="en-GB"/>
    </w:rPr>
  </w:style>
  <w:style w:type="paragraph" w:customStyle="1" w:styleId="384">
    <w:name w:val="普通文字"/>
    <w:basedOn w:val="1"/>
    <w:next w:val="1"/>
    <w:qFormat/>
    <w:uiPriority w:val="99"/>
    <w:rPr>
      <w:sz w:val="24"/>
      <w:szCs w:val="20"/>
    </w:rPr>
  </w:style>
  <w:style w:type="paragraph" w:customStyle="1" w:styleId="385">
    <w:name w:val="列出段落1"/>
    <w:basedOn w:val="1"/>
    <w:qFormat/>
    <w:uiPriority w:val="99"/>
    <w:pPr>
      <w:ind w:firstLine="420" w:firstLineChars="200"/>
    </w:pPr>
    <w:rPr>
      <w:rFonts w:ascii="Calibri" w:hAnsi="Calibri"/>
      <w:szCs w:val="22"/>
    </w:rPr>
  </w:style>
  <w:style w:type="paragraph" w:customStyle="1" w:styleId="386">
    <w:name w:val="xl4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sz w:val="24"/>
    </w:rPr>
  </w:style>
  <w:style w:type="paragraph" w:customStyle="1" w:styleId="387">
    <w:name w:val="正文 New"/>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388">
    <w:name w:val="font12"/>
    <w:basedOn w:val="1"/>
    <w:qFormat/>
    <w:uiPriority w:val="99"/>
    <w:pPr>
      <w:widowControl/>
      <w:spacing w:before="100" w:beforeAutospacing="1" w:after="100" w:afterAutospacing="1"/>
    </w:pPr>
    <w:rPr>
      <w:sz w:val="36"/>
      <w:szCs w:val="36"/>
    </w:rPr>
  </w:style>
  <w:style w:type="paragraph" w:customStyle="1" w:styleId="389">
    <w:name w:val="马刚标题1"/>
    <w:basedOn w:val="3"/>
    <w:next w:val="1"/>
    <w:qFormat/>
    <w:uiPriority w:val="99"/>
    <w:pPr>
      <w:tabs>
        <w:tab w:val="left" w:pos="315"/>
        <w:tab w:val="left" w:pos="567"/>
      </w:tabs>
      <w:spacing w:before="400" w:after="120"/>
      <w:ind w:left="567" w:hanging="567"/>
    </w:pPr>
    <w:rPr>
      <w:rFonts w:eastAsia="黑体"/>
      <w:b w:val="0"/>
      <w:bCs w:val="0"/>
      <w:sz w:val="32"/>
      <w:szCs w:val="20"/>
    </w:rPr>
  </w:style>
  <w:style w:type="paragraph" w:customStyle="1" w:styleId="390">
    <w:name w:val="Char Char Char Char Char Char Char Char Char Char Char Char Char Char Char Char Char Char Char Char Char"/>
    <w:basedOn w:val="1"/>
    <w:qFormat/>
    <w:uiPriority w:val="99"/>
    <w:rPr>
      <w:rFonts w:ascii="Tahoma" w:hAnsi="Tahoma" w:cs="Tahoma"/>
      <w:sz w:val="24"/>
      <w:szCs w:val="20"/>
    </w:rPr>
  </w:style>
  <w:style w:type="paragraph" w:customStyle="1" w:styleId="391">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392">
    <w:name w:val="Char Char1 Char Char Char Char"/>
    <w:basedOn w:val="17"/>
    <w:qFormat/>
    <w:uiPriority w:val="99"/>
    <w:pPr>
      <w:adjustRightInd w:val="0"/>
      <w:spacing w:line="436" w:lineRule="exact"/>
      <w:ind w:left="357"/>
      <w:outlineLvl w:val="3"/>
    </w:pPr>
    <w:rPr>
      <w:rFonts w:ascii="Tahoma" w:hAnsi="Tahoma" w:cs="Tahoma"/>
      <w:b/>
    </w:rPr>
  </w:style>
  <w:style w:type="paragraph" w:customStyle="1" w:styleId="393">
    <w:name w:val="普通正文"/>
    <w:basedOn w:val="1"/>
    <w:qFormat/>
    <w:uiPriority w:val="99"/>
    <w:pPr>
      <w:adjustRightInd w:val="0"/>
      <w:spacing w:before="120" w:after="120" w:line="360" w:lineRule="auto"/>
      <w:ind w:firstLine="480"/>
      <w:textAlignment w:val="baseline"/>
    </w:pPr>
    <w:rPr>
      <w:rFonts w:ascii="Arial" w:hAnsi="Arial"/>
      <w:sz w:val="24"/>
    </w:rPr>
  </w:style>
  <w:style w:type="paragraph" w:customStyle="1" w:styleId="394">
    <w:name w:val="Char Char Char Char Char Char Char Char Char Char Char Char Char Char"/>
    <w:basedOn w:val="1"/>
    <w:qFormat/>
    <w:uiPriority w:val="99"/>
    <w:rPr>
      <w:rFonts w:ascii="Tahoma" w:hAnsi="Tahoma"/>
      <w:sz w:val="24"/>
      <w:szCs w:val="20"/>
    </w:rPr>
  </w:style>
  <w:style w:type="paragraph" w:customStyle="1" w:styleId="395">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i/>
      <w:iCs/>
      <w:sz w:val="20"/>
      <w:szCs w:val="20"/>
    </w:rPr>
  </w:style>
  <w:style w:type="paragraph" w:customStyle="1" w:styleId="396">
    <w:name w:val="正文 首行缩进:  2 字符 Char Char"/>
    <w:basedOn w:val="1"/>
    <w:qFormat/>
    <w:uiPriority w:val="99"/>
    <w:pPr>
      <w:spacing w:line="360" w:lineRule="auto"/>
      <w:ind w:firstLine="480"/>
    </w:pPr>
    <w:rPr>
      <w:rFonts w:ascii="方正仿宋_GB2312" w:eastAsia="方正仿宋_GB2312"/>
      <w:bCs/>
      <w:sz w:val="24"/>
    </w:rPr>
  </w:style>
  <w:style w:type="paragraph" w:customStyle="1" w:styleId="397">
    <w:name w:val="4"/>
    <w:basedOn w:val="1"/>
    <w:next w:val="53"/>
    <w:qFormat/>
    <w:uiPriority w:val="99"/>
    <w:pPr>
      <w:spacing w:line="360" w:lineRule="auto"/>
      <w:ind w:firstLine="420"/>
    </w:pPr>
    <w:rPr>
      <w:color w:val="FF0000"/>
      <w:sz w:val="24"/>
    </w:rPr>
  </w:style>
  <w:style w:type="paragraph" w:customStyle="1" w:styleId="398">
    <w:name w:val="font7"/>
    <w:basedOn w:val="1"/>
    <w:qFormat/>
    <w:uiPriority w:val="99"/>
    <w:pPr>
      <w:widowControl/>
      <w:spacing w:before="100" w:beforeAutospacing="1" w:after="100" w:afterAutospacing="1"/>
    </w:pPr>
    <w:rPr>
      <w:b/>
      <w:bCs/>
      <w:sz w:val="24"/>
    </w:rPr>
  </w:style>
  <w:style w:type="paragraph" w:customStyle="1" w:styleId="399">
    <w:name w:val="Char Char Char Char Char Char Char Char Char Char"/>
    <w:basedOn w:val="1"/>
    <w:qFormat/>
    <w:uiPriority w:val="99"/>
    <w:pPr>
      <w:adjustRightInd w:val="0"/>
      <w:spacing w:line="360" w:lineRule="auto"/>
    </w:pPr>
    <w:rPr>
      <w:sz w:val="24"/>
      <w:szCs w:val="20"/>
    </w:rPr>
  </w:style>
  <w:style w:type="paragraph" w:customStyle="1" w:styleId="400">
    <w:name w:val="Char Char Char Char Char Char Char Char Char Char Char Char Char"/>
    <w:basedOn w:val="1"/>
    <w:qFormat/>
    <w:uiPriority w:val="99"/>
    <w:pPr>
      <w:widowControl/>
      <w:spacing w:after="160" w:line="240" w:lineRule="exact"/>
    </w:pPr>
  </w:style>
  <w:style w:type="paragraph" w:customStyle="1" w:styleId="401">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402">
    <w:name w:val="列出段落2"/>
    <w:basedOn w:val="1"/>
    <w:qFormat/>
    <w:uiPriority w:val="99"/>
    <w:pPr>
      <w:widowControl/>
      <w:ind w:left="720"/>
    </w:pPr>
    <w:rPr>
      <w:rFonts w:ascii="Arial" w:hAnsi="Arial" w:eastAsia="黑体" w:cs="Arial"/>
      <w:sz w:val="24"/>
      <w:lang w:eastAsia="en-US"/>
    </w:rPr>
  </w:style>
  <w:style w:type="paragraph" w:customStyle="1" w:styleId="403">
    <w:name w:val="默认段落字体 Para Char Char Char Char Char Char Char"/>
    <w:basedOn w:val="1"/>
    <w:qFormat/>
    <w:uiPriority w:val="99"/>
    <w:rPr>
      <w:rFonts w:ascii="Tahoma" w:hAnsi="Tahoma"/>
      <w:sz w:val="24"/>
      <w:szCs w:val="20"/>
    </w:rPr>
  </w:style>
  <w:style w:type="paragraph" w:customStyle="1" w:styleId="404">
    <w:name w:val="正文--表格内正文"/>
    <w:basedOn w:val="1"/>
    <w:qFormat/>
    <w:uiPriority w:val="99"/>
    <w:pPr>
      <w:spacing w:beforeLines="50" w:line="240" w:lineRule="atLeast"/>
      <w:jc w:val="center"/>
    </w:pPr>
    <w:rPr>
      <w:color w:val="000000"/>
      <w:sz w:val="24"/>
    </w:rPr>
  </w:style>
  <w:style w:type="paragraph" w:customStyle="1" w:styleId="405">
    <w:name w:val="标题 4宋体"/>
    <w:basedOn w:val="6"/>
    <w:qFormat/>
    <w:uiPriority w:val="99"/>
    <w:pPr>
      <w:keepLines w:val="0"/>
      <w:adjustRightInd w:val="0"/>
      <w:spacing w:before="0" w:after="0" w:line="360" w:lineRule="auto"/>
    </w:pPr>
    <w:rPr>
      <w:rFonts w:ascii="宋体" w:hAnsi="宋体" w:eastAsia="宋体"/>
      <w:bCs/>
      <w:color w:val="000000"/>
      <w:sz w:val="24"/>
    </w:rPr>
  </w:style>
  <w:style w:type="paragraph" w:customStyle="1" w:styleId="406">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07">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sz w:val="24"/>
    </w:rPr>
  </w:style>
  <w:style w:type="paragraph" w:customStyle="1" w:styleId="408">
    <w:name w:val="符号与编号"/>
    <w:basedOn w:val="1"/>
    <w:qFormat/>
    <w:uiPriority w:val="99"/>
    <w:pPr>
      <w:tabs>
        <w:tab w:val="left" w:pos="900"/>
      </w:tabs>
      <w:spacing w:afterLines="50" w:line="400" w:lineRule="atLeast"/>
      <w:ind w:left="900" w:hanging="420"/>
    </w:pPr>
    <w:rPr>
      <w:sz w:val="24"/>
    </w:rPr>
  </w:style>
  <w:style w:type="paragraph" w:customStyle="1" w:styleId="409">
    <w:name w:val="zw"/>
    <w:basedOn w:val="1"/>
    <w:qFormat/>
    <w:uiPriority w:val="99"/>
    <w:pPr>
      <w:widowControl/>
      <w:spacing w:line="360" w:lineRule="auto"/>
      <w:ind w:firstLine="480" w:firstLineChars="200"/>
    </w:pPr>
    <w:rPr>
      <w:bCs/>
      <w:sz w:val="24"/>
      <w:szCs w:val="20"/>
    </w:rPr>
  </w:style>
  <w:style w:type="paragraph" w:customStyle="1" w:styleId="410">
    <w:name w:val="一级标题"/>
    <w:basedOn w:val="1"/>
    <w:qFormat/>
    <w:uiPriority w:val="99"/>
    <w:pPr>
      <w:tabs>
        <w:tab w:val="left" w:pos="903"/>
      </w:tabs>
      <w:spacing w:line="360" w:lineRule="auto"/>
      <w:ind w:left="900" w:hanging="420"/>
    </w:pPr>
    <w:rPr>
      <w:rFonts w:ascii="Arial" w:hAnsi="Arial" w:cs="Arial"/>
      <w:sz w:val="24"/>
      <w:szCs w:val="20"/>
    </w:rPr>
  </w:style>
  <w:style w:type="paragraph" w:customStyle="1" w:styleId="411">
    <w:name w:val="段落"/>
    <w:qFormat/>
    <w:uiPriority w:val="99"/>
    <w:pPr>
      <w:adjustRightInd w:val="0"/>
      <w:snapToGrid w:val="0"/>
      <w:spacing w:before="120" w:after="120" w:line="360" w:lineRule="auto"/>
      <w:ind w:firstLine="480" w:firstLineChars="200"/>
      <w:jc w:val="both"/>
    </w:pPr>
    <w:rPr>
      <w:rFonts w:ascii="Times New Roman" w:hAnsi="Times New Roman" w:eastAsia="方正仿宋_GB2312" w:cs="Times New Roman"/>
      <w:kern w:val="2"/>
      <w:sz w:val="24"/>
      <w:szCs w:val="24"/>
      <w:lang w:val="en-US" w:eastAsia="zh-CN" w:bidi="ar-SA"/>
    </w:rPr>
  </w:style>
  <w:style w:type="paragraph" w:customStyle="1" w:styleId="412">
    <w:name w:val="font8"/>
    <w:basedOn w:val="1"/>
    <w:qFormat/>
    <w:uiPriority w:val="99"/>
    <w:pPr>
      <w:widowControl/>
      <w:spacing w:before="100" w:beforeAutospacing="1" w:after="100" w:afterAutospacing="1"/>
    </w:pPr>
    <w:rPr>
      <w:b/>
      <w:bCs/>
      <w:i/>
      <w:iCs/>
      <w:sz w:val="20"/>
      <w:szCs w:val="20"/>
    </w:rPr>
  </w:style>
  <w:style w:type="paragraph" w:customStyle="1" w:styleId="413">
    <w:name w:val="丁华标题2"/>
    <w:basedOn w:val="4"/>
    <w:next w:val="340"/>
    <w:qFormat/>
    <w:uiPriority w:val="99"/>
    <w:pPr>
      <w:tabs>
        <w:tab w:val="left" w:pos="567"/>
      </w:tabs>
      <w:adjustRightInd w:val="0"/>
      <w:spacing w:before="120" w:after="120"/>
      <w:ind w:left="567" w:hanging="567"/>
    </w:pPr>
    <w:rPr>
      <w:color w:val="000000"/>
      <w:sz w:val="28"/>
      <w:szCs w:val="20"/>
    </w:rPr>
  </w:style>
  <w:style w:type="paragraph" w:customStyle="1" w:styleId="41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b/>
      <w:bCs/>
      <w:sz w:val="20"/>
      <w:szCs w:val="20"/>
    </w:rPr>
  </w:style>
  <w:style w:type="paragraph" w:customStyle="1" w:styleId="415">
    <w:name w:val="小四 段落 宋体"/>
    <w:basedOn w:val="15"/>
    <w:qFormat/>
    <w:uiPriority w:val="99"/>
    <w:pPr>
      <w:tabs>
        <w:tab w:val="clear" w:pos="2952"/>
      </w:tabs>
      <w:spacing w:line="360" w:lineRule="auto"/>
      <w:ind w:left="113" w:right="113" w:firstLine="425"/>
    </w:pPr>
    <w:rPr>
      <w:sz w:val="24"/>
    </w:rPr>
  </w:style>
  <w:style w:type="paragraph" w:customStyle="1" w:styleId="416">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17">
    <w:name w:val="List Paragraph1"/>
    <w:basedOn w:val="1"/>
    <w:qFormat/>
    <w:uiPriority w:val="99"/>
    <w:pPr>
      <w:widowControl/>
      <w:ind w:left="720"/>
    </w:pPr>
    <w:rPr>
      <w:rFonts w:ascii="Arial" w:hAnsi="Arial" w:eastAsia="黑体"/>
      <w:sz w:val="24"/>
      <w:lang w:eastAsia="en-US"/>
    </w:rPr>
  </w:style>
  <w:style w:type="paragraph" w:customStyle="1" w:styleId="418">
    <w:name w:val="Char Char Char Char Char Char Char Char"/>
    <w:basedOn w:val="1"/>
    <w:qFormat/>
    <w:uiPriority w:val="99"/>
    <w:pPr>
      <w:widowControl/>
      <w:spacing w:after="160" w:line="240" w:lineRule="exact"/>
    </w:pPr>
    <w:rPr>
      <w:rFonts w:ascii="Verdana" w:hAnsi="Verdana"/>
      <w:sz w:val="20"/>
      <w:szCs w:val="20"/>
      <w:lang w:eastAsia="en-US"/>
    </w:rPr>
  </w:style>
  <w:style w:type="paragraph" w:customStyle="1" w:styleId="419">
    <w:name w:val="批注框文本1"/>
    <w:basedOn w:val="1"/>
    <w:qFormat/>
    <w:uiPriority w:val="99"/>
    <w:rPr>
      <w:sz w:val="18"/>
      <w:szCs w:val="18"/>
    </w:rPr>
  </w:style>
  <w:style w:type="paragraph" w:customStyle="1" w:styleId="420">
    <w:name w:val="默认段落字体 Para Char Char Char Char Char Char Char Char Char1 Char Char Char Char Char Char Char"/>
    <w:basedOn w:val="17"/>
    <w:qFormat/>
    <w:uiPriority w:val="99"/>
    <w:rPr>
      <w:szCs w:val="20"/>
    </w:rPr>
  </w:style>
  <w:style w:type="paragraph" w:customStyle="1" w:styleId="421">
    <w:name w:val="Pa6"/>
    <w:basedOn w:val="1"/>
    <w:next w:val="1"/>
    <w:qFormat/>
    <w:uiPriority w:val="99"/>
    <w:pPr>
      <w:adjustRightInd w:val="0"/>
      <w:spacing w:line="241" w:lineRule="atLeast"/>
    </w:pPr>
    <w:rPr>
      <w:rFonts w:ascii="汉仪大黑简" w:eastAsia="汉仪大黑简"/>
      <w:sz w:val="24"/>
    </w:rPr>
  </w:style>
  <w:style w:type="paragraph" w:customStyle="1" w:styleId="422">
    <w:name w:val="xl4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423">
    <w:name w:val="列出段落11"/>
    <w:basedOn w:val="1"/>
    <w:qFormat/>
    <w:uiPriority w:val="99"/>
    <w:pPr>
      <w:spacing w:beforeLines="50" w:afterLines="50"/>
      <w:ind w:firstLine="200" w:firstLineChars="200"/>
    </w:pPr>
    <w:rPr>
      <w:rFonts w:ascii="Calibri" w:hAnsi="Calibri"/>
      <w:szCs w:val="22"/>
    </w:rPr>
  </w:style>
  <w:style w:type="paragraph" w:customStyle="1" w:styleId="424">
    <w:name w:val="Char Char Char Char Char Char Char1"/>
    <w:basedOn w:val="1"/>
    <w:qFormat/>
    <w:uiPriority w:val="99"/>
    <w:rPr>
      <w:rFonts w:ascii="Tahoma" w:hAnsi="Tahoma"/>
      <w:sz w:val="24"/>
      <w:szCs w:val="20"/>
    </w:rPr>
  </w:style>
  <w:style w:type="paragraph" w:customStyle="1" w:styleId="425">
    <w:name w:val="大标题"/>
    <w:basedOn w:val="1"/>
    <w:next w:val="1"/>
    <w:qFormat/>
    <w:uiPriority w:val="99"/>
    <w:pPr>
      <w:pageBreakBefore/>
      <w:tabs>
        <w:tab w:val="left" w:pos="420"/>
      </w:tabs>
      <w:spacing w:line="360" w:lineRule="auto"/>
      <w:ind w:hanging="420" w:firstLineChars="200"/>
      <w:outlineLvl w:val="0"/>
    </w:pPr>
    <w:rPr>
      <w:b/>
      <w:iCs/>
      <w:sz w:val="44"/>
    </w:rPr>
  </w:style>
  <w:style w:type="paragraph" w:customStyle="1" w:styleId="426">
    <w:name w:val="Char2 Char Char Char Char Char Char1"/>
    <w:basedOn w:val="1"/>
    <w:qFormat/>
    <w:uiPriority w:val="99"/>
    <w:pPr>
      <w:keepNext/>
      <w:widowControl/>
      <w:tabs>
        <w:tab w:val="left" w:pos="425"/>
      </w:tabs>
      <w:adjustRightInd w:val="0"/>
      <w:spacing w:before="80" w:after="80"/>
      <w:ind w:hanging="425"/>
    </w:pPr>
    <w:rPr>
      <w:rFonts w:ascii="Arial" w:hAnsi="Arial" w:cs="Arial"/>
      <w:sz w:val="20"/>
      <w:szCs w:val="20"/>
    </w:rPr>
  </w:style>
  <w:style w:type="paragraph" w:customStyle="1" w:styleId="427">
    <w:name w:val="Char Char"/>
    <w:basedOn w:val="1"/>
    <w:qFormat/>
    <w:uiPriority w:val="99"/>
    <w:rPr>
      <w:rFonts w:ascii="Tahoma" w:hAnsi="Tahoma"/>
      <w:sz w:val="24"/>
      <w:szCs w:val="20"/>
    </w:rPr>
  </w:style>
  <w:style w:type="paragraph" w:customStyle="1" w:styleId="428">
    <w:name w:val="Char Char Char Char"/>
    <w:basedOn w:val="17"/>
    <w:qFormat/>
    <w:uiPriority w:val="99"/>
    <w:pPr>
      <w:adjustRightInd w:val="0"/>
      <w:snapToGrid w:val="0"/>
      <w:spacing w:line="360" w:lineRule="auto"/>
    </w:pPr>
    <w:rPr>
      <w:rFonts w:ascii="Tahoma" w:hAnsi="Tahoma"/>
    </w:rPr>
  </w:style>
  <w:style w:type="paragraph" w:customStyle="1" w:styleId="429">
    <w:name w:val="ewb-con-p2"/>
    <w:basedOn w:val="1"/>
    <w:qFormat/>
    <w:uiPriority w:val="99"/>
    <w:pPr>
      <w:widowControl/>
      <w:spacing w:before="100" w:beforeAutospacing="1" w:after="100" w:afterAutospacing="1"/>
    </w:pPr>
    <w:rPr>
      <w:sz w:val="24"/>
    </w:rPr>
  </w:style>
  <w:style w:type="paragraph" w:customStyle="1" w:styleId="430">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43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432">
    <w:name w:val="Char Char Char1"/>
    <w:basedOn w:val="17"/>
    <w:qFormat/>
    <w:uiPriority w:val="99"/>
    <w:pPr>
      <w:spacing w:line="436" w:lineRule="exact"/>
    </w:pPr>
  </w:style>
  <w:style w:type="paragraph" w:customStyle="1" w:styleId="433">
    <w:name w:val="段 Char"/>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34">
    <w:name w:val="正文 首行缩进:  2 字符 Char"/>
    <w:basedOn w:val="1"/>
    <w:qFormat/>
    <w:uiPriority w:val="99"/>
    <w:pPr>
      <w:spacing w:line="360" w:lineRule="auto"/>
      <w:ind w:firstLine="480"/>
    </w:pPr>
    <w:rPr>
      <w:sz w:val="24"/>
      <w:szCs w:val="20"/>
    </w:rPr>
  </w:style>
  <w:style w:type="paragraph" w:customStyle="1" w:styleId="435">
    <w:name w:val="正文 New New New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6">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437">
    <w:name w:val="表格内容"/>
    <w:basedOn w:val="1"/>
    <w:qFormat/>
    <w:uiPriority w:val="99"/>
    <w:pPr>
      <w:widowControl/>
      <w:adjustRightInd w:val="0"/>
      <w:spacing w:before="60" w:line="300" w:lineRule="auto"/>
      <w:jc w:val="center"/>
      <w:textAlignment w:val="bottom"/>
    </w:pPr>
    <w:rPr>
      <w:szCs w:val="20"/>
    </w:rPr>
  </w:style>
  <w:style w:type="paragraph" w:customStyle="1" w:styleId="438">
    <w:name w:val="正文lzq"/>
    <w:basedOn w:val="1"/>
    <w:qFormat/>
    <w:uiPriority w:val="99"/>
    <w:pPr>
      <w:adjustRightInd w:val="0"/>
      <w:spacing w:line="360" w:lineRule="auto"/>
      <w:ind w:firstLine="480"/>
      <w:textAlignment w:val="baseline"/>
    </w:pPr>
    <w:rPr>
      <w:sz w:val="24"/>
      <w:szCs w:val="20"/>
    </w:rPr>
  </w:style>
  <w:style w:type="paragraph" w:customStyle="1" w:styleId="439">
    <w:name w:val="附录1"/>
    <w:qFormat/>
    <w:uiPriority w:val="99"/>
    <w:pPr>
      <w:tabs>
        <w:tab w:val="left" w:pos="907"/>
      </w:tabs>
      <w:snapToGrid w:val="0"/>
      <w:spacing w:before="240" w:line="600" w:lineRule="atLeast"/>
      <w:ind w:left="902" w:hanging="420"/>
    </w:pPr>
    <w:rPr>
      <w:rFonts w:ascii="Times New Roman" w:hAnsi="Times New Roman" w:eastAsia="宋体" w:cs="Times New Roman"/>
      <w:b/>
      <w:i/>
      <w:sz w:val="28"/>
      <w:lang w:val="en-US" w:eastAsia="zh-CN" w:bidi="ar-SA"/>
    </w:rPr>
  </w:style>
  <w:style w:type="paragraph" w:customStyle="1" w:styleId="440">
    <w:name w:val="Char Char Char Char Char Char Char Char Char"/>
    <w:basedOn w:val="1"/>
    <w:qFormat/>
    <w:uiPriority w:val="99"/>
    <w:pPr>
      <w:tabs>
        <w:tab w:val="left" w:pos="360"/>
      </w:tabs>
      <w:ind w:left="200" w:hanging="200" w:hangingChars="200"/>
    </w:pPr>
    <w:rPr>
      <w:sz w:val="24"/>
    </w:rPr>
  </w:style>
  <w:style w:type="paragraph" w:customStyle="1" w:styleId="441">
    <w:name w:val="项目符号：一级"/>
    <w:basedOn w:val="274"/>
    <w:next w:val="274"/>
    <w:qFormat/>
    <w:uiPriority w:val="99"/>
    <w:pPr>
      <w:ind w:right="-134" w:rightChars="-64"/>
    </w:pPr>
    <w:rPr>
      <w:bCs w:val="0"/>
    </w:rPr>
  </w:style>
  <w:style w:type="paragraph" w:customStyle="1" w:styleId="442">
    <w:name w:val="content_lineheight"/>
    <w:basedOn w:val="1"/>
    <w:qFormat/>
    <w:uiPriority w:val="99"/>
    <w:pPr>
      <w:widowControl/>
      <w:spacing w:before="100" w:beforeAutospacing="1" w:after="100" w:afterAutospacing="1"/>
    </w:pPr>
    <w:rPr>
      <w:sz w:val="24"/>
    </w:rPr>
  </w:style>
  <w:style w:type="paragraph" w:customStyle="1" w:styleId="443">
    <w:name w:val="项目符号，二级"/>
    <w:basedOn w:val="274"/>
    <w:next w:val="274"/>
    <w:qFormat/>
    <w:uiPriority w:val="99"/>
    <w:pPr>
      <w:tabs>
        <w:tab w:val="left" w:pos="1211"/>
        <w:tab w:val="left" w:pos="1337"/>
      </w:tabs>
      <w:ind w:left="1337" w:right="-27" w:firstLine="480"/>
    </w:pPr>
    <w:rPr>
      <w:bCs w:val="0"/>
      <w:color w:val="000000"/>
      <w:sz w:val="24"/>
      <w:szCs w:val="24"/>
    </w:rPr>
  </w:style>
  <w:style w:type="paragraph" w:customStyle="1" w:styleId="444">
    <w:name w:val="小四 段落 宋体 Char Char"/>
    <w:basedOn w:val="1"/>
    <w:qFormat/>
    <w:uiPriority w:val="99"/>
    <w:pPr>
      <w:spacing w:line="360" w:lineRule="auto"/>
      <w:ind w:firstLine="480" w:firstLineChars="200"/>
    </w:pPr>
    <w:rPr>
      <w:sz w:val="24"/>
    </w:rPr>
  </w:style>
  <w:style w:type="paragraph" w:customStyle="1" w:styleId="445">
    <w:name w:val="正文文本缩进 31"/>
    <w:basedOn w:val="1"/>
    <w:qFormat/>
    <w:uiPriority w:val="99"/>
    <w:pPr>
      <w:tabs>
        <w:tab w:val="left" w:pos="0"/>
      </w:tabs>
      <w:spacing w:line="360" w:lineRule="auto"/>
      <w:ind w:firstLine="504" w:firstLineChars="209"/>
    </w:pPr>
    <w:rPr>
      <w:b/>
      <w:bCs/>
      <w:sz w:val="24"/>
    </w:rPr>
  </w:style>
  <w:style w:type="paragraph" w:customStyle="1" w:styleId="446">
    <w:name w:val="标题 41"/>
    <w:basedOn w:val="1"/>
    <w:qFormat/>
    <w:uiPriority w:val="99"/>
    <w:pPr>
      <w:ind w:left="618"/>
      <w:outlineLvl w:val="4"/>
    </w:pPr>
    <w:rPr>
      <w:b/>
      <w:bCs/>
      <w:sz w:val="24"/>
      <w:lang w:val="zh-CN"/>
    </w:rPr>
  </w:style>
  <w:style w:type="paragraph" w:customStyle="1" w:styleId="447">
    <w:name w:val="msolistparagraph"/>
    <w:basedOn w:val="1"/>
    <w:qFormat/>
    <w:uiPriority w:val="99"/>
    <w:pPr>
      <w:spacing w:line="400" w:lineRule="exact"/>
      <w:ind w:left="420" w:firstLine="420" w:firstLineChars="200"/>
    </w:pPr>
    <w:rPr>
      <w:rFonts w:ascii="Calibri" w:hAnsi="Calibri"/>
    </w:rPr>
  </w:style>
  <w:style w:type="paragraph" w:customStyle="1" w:styleId="448">
    <w:name w:val="Blockquote"/>
    <w:basedOn w:val="1"/>
    <w:qFormat/>
    <w:uiPriority w:val="99"/>
    <w:pPr>
      <w:adjustRightInd w:val="0"/>
      <w:spacing w:before="100" w:after="100"/>
      <w:ind w:left="360" w:right="360"/>
    </w:pPr>
    <w:rPr>
      <w:sz w:val="24"/>
    </w:rPr>
  </w:style>
  <w:style w:type="character" w:customStyle="1" w:styleId="449">
    <w:name w:val="无"/>
    <w:qFormat/>
    <w:uiPriority w:val="0"/>
  </w:style>
  <w:style w:type="character" w:customStyle="1" w:styleId="450">
    <w:name w:val="Hyperlink.1"/>
    <w:qFormat/>
    <w:uiPriority w:val="0"/>
    <w:rPr>
      <w:rFonts w:ascii="宋体" w:hAnsi="宋体" w:eastAsia="宋体" w:cs="宋体"/>
      <w:shd w:val="clear" w:color="auto" w:fill="auto"/>
      <w:lang w:val="zh-TW" w:eastAsia="zh-TW"/>
    </w:rPr>
  </w:style>
  <w:style w:type="table" w:customStyle="1" w:styleId="451">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452">
    <w:name w:val="not([class*=suffix])"/>
    <w:basedOn w:val="67"/>
    <w:qFormat/>
    <w:uiPriority w:val="0"/>
  </w:style>
  <w:style w:type="character" w:customStyle="1" w:styleId="453">
    <w:name w:val="not([class*=suffix])1"/>
    <w:basedOn w:val="67"/>
    <w:qFormat/>
    <w:uiPriority w:val="0"/>
    <w:rPr>
      <w:sz w:val="13"/>
      <w:szCs w:val="13"/>
    </w:rPr>
  </w:style>
  <w:style w:type="paragraph" w:customStyle="1" w:styleId="454">
    <w:name w:val="Table Paragraph"/>
    <w:basedOn w:val="1"/>
    <w:qFormat/>
    <w:uiPriority w:val="1"/>
    <w:rPr>
      <w:sz w:val="22"/>
      <w:szCs w:val="22"/>
      <w:lang w:val="zh-CN" w:bidi="zh-CN"/>
    </w:rPr>
  </w:style>
  <w:style w:type="paragraph" w:customStyle="1" w:styleId="455">
    <w:name w:val="BodyText"/>
    <w:basedOn w:val="1"/>
    <w:qFormat/>
    <w:uiPriority w:val="0"/>
    <w:pPr>
      <w:spacing w:after="120"/>
      <w:textAlignment w:val="baseline"/>
    </w:pPr>
    <w:rPr>
      <w:rFonts w:ascii="Calibri"/>
      <w:sz w:val="20"/>
      <w:szCs w:val="20"/>
    </w:rPr>
  </w:style>
  <w:style w:type="character" w:customStyle="1" w:styleId="456">
    <w:name w:val="样式 仿宋"/>
    <w:qFormat/>
    <w:uiPriority w:val="0"/>
    <w:rPr>
      <w:rFonts w:ascii="仿宋" w:hAnsi="仿宋" w:eastAsia="仿宋"/>
      <w:kern w:val="1"/>
    </w:rPr>
  </w:style>
  <w:style w:type="character" w:customStyle="1" w:styleId="457">
    <w:name w:val="font51"/>
    <w:basedOn w:val="67"/>
    <w:qFormat/>
    <w:uiPriority w:val="0"/>
    <w:rPr>
      <w:rFonts w:hint="default" w:ascii="Times New Roman" w:hAnsi="Times New Roman" w:cs="Times New Roman"/>
      <w:color w:val="000000"/>
      <w:sz w:val="20"/>
      <w:szCs w:val="20"/>
      <w:u w:val="none"/>
    </w:rPr>
  </w:style>
  <w:style w:type="character" w:customStyle="1" w:styleId="458">
    <w:name w:val="first-child"/>
    <w:basedOn w:val="67"/>
    <w:qFormat/>
    <w:uiPriority w:val="0"/>
  </w:style>
  <w:style w:type="character" w:customStyle="1" w:styleId="459">
    <w:name w:val="layui-this"/>
    <w:basedOn w:val="67"/>
    <w:qFormat/>
    <w:uiPriority w:val="0"/>
    <w:rPr>
      <w:bdr w:val="single" w:color="EEEEEE" w:sz="4" w:space="0"/>
      <w:shd w:val="clear" w:color="auto" w:fill="FFFFFF"/>
    </w:rPr>
  </w:style>
  <w:style w:type="character" w:customStyle="1" w:styleId="460">
    <w:name w:val="label"/>
    <w:basedOn w:val="67"/>
    <w:qFormat/>
    <w:uiPriority w:val="0"/>
    <w:rPr>
      <w:color w:val="999999"/>
    </w:rPr>
  </w:style>
  <w:style w:type="character" w:customStyle="1" w:styleId="461">
    <w:name w:val="layui-laypage-curr"/>
    <w:basedOn w:val="67"/>
    <w:qFormat/>
    <w:uiPriority w:val="0"/>
  </w:style>
  <w:style w:type="character" w:customStyle="1" w:styleId="462">
    <w:name w:val="hover13"/>
    <w:basedOn w:val="67"/>
    <w:qFormat/>
    <w:uiPriority w:val="0"/>
  </w:style>
  <w:style w:type="character" w:customStyle="1" w:styleId="463">
    <w:name w:val="first-child1"/>
    <w:basedOn w:val="67"/>
    <w:qFormat/>
    <w:uiPriority w:val="0"/>
  </w:style>
  <w:style w:type="character" w:customStyle="1" w:styleId="464">
    <w:name w:val="layui-this2"/>
    <w:basedOn w:val="67"/>
    <w:qFormat/>
    <w:uiPriority w:val="0"/>
    <w:rPr>
      <w:bdr w:val="single" w:color="EEEEEE" w:sz="4" w:space="0"/>
      <w:shd w:val="clear" w:color="auto" w:fill="FFFFFF"/>
    </w:rPr>
  </w:style>
  <w:style w:type="paragraph" w:customStyle="1" w:styleId="465">
    <w:name w:val="正文首行缩进 21"/>
    <w:basedOn w:val="22"/>
    <w:next w:val="1"/>
    <w:qFormat/>
    <w:uiPriority w:val="0"/>
    <w:pPr>
      <w:spacing w:after="0" w:line="360" w:lineRule="auto"/>
      <w:ind w:left="0" w:leftChars="0" w:firstLine="420" w:firstLineChars="200"/>
    </w:pPr>
    <w:rPr>
      <w:kern w:val="2"/>
      <w:sz w:val="21"/>
    </w:rPr>
  </w:style>
  <w:style w:type="paragraph" w:customStyle="1" w:styleId="466">
    <w:name w:val="p15"/>
    <w:basedOn w:val="1"/>
    <w:semiHidden/>
    <w:qFormat/>
    <w:uiPriority w:val="0"/>
    <w:pPr>
      <w:widowControl/>
      <w:autoSpaceDE/>
      <w:autoSpaceDN/>
      <w:jc w:val="both"/>
    </w:pPr>
    <w:rPr>
      <w:rFonts w:cs="Calibri"/>
      <w:b/>
      <w:kern w:val="2"/>
    </w:rPr>
  </w:style>
  <w:style w:type="paragraph" w:customStyle="1" w:styleId="467">
    <w:name w:val="修订1"/>
    <w:hidden/>
    <w:semiHidden/>
    <w:qFormat/>
    <w:uiPriority w:val="99"/>
    <w:rPr>
      <w:rFonts w:ascii="宋体" w:hAnsi="宋体" w:eastAsia="宋体" w:cs="宋体"/>
      <w:sz w:val="21"/>
      <w:szCs w:val="21"/>
      <w:lang w:val="en-US" w:eastAsia="zh-CN" w:bidi="ar-SA"/>
    </w:rPr>
  </w:style>
  <w:style w:type="paragraph" w:customStyle="1" w:styleId="468">
    <w:name w:val="修订2"/>
    <w:hidden/>
    <w:semiHidden/>
    <w:qFormat/>
    <w:uiPriority w:val="99"/>
    <w:rPr>
      <w:rFonts w:ascii="宋体" w:hAnsi="宋体" w:eastAsia="宋体" w:cs="宋体"/>
      <w:sz w:val="21"/>
      <w:szCs w:val="21"/>
      <w:lang w:val="en-US" w:eastAsia="zh-CN" w:bidi="ar-SA"/>
    </w:rPr>
  </w:style>
  <w:style w:type="paragraph" w:customStyle="1" w:styleId="469">
    <w:name w:val="修订3"/>
    <w:hidden/>
    <w:semiHidden/>
    <w:qFormat/>
    <w:uiPriority w:val="99"/>
    <w:rPr>
      <w:rFonts w:ascii="宋体" w:hAnsi="宋体" w:eastAsia="宋体" w:cs="宋体"/>
      <w:sz w:val="21"/>
      <w:szCs w:val="21"/>
      <w:lang w:val="en-US" w:eastAsia="zh-CN" w:bidi="ar-SA"/>
    </w:rPr>
  </w:style>
  <w:style w:type="paragraph" w:customStyle="1" w:styleId="470">
    <w:name w:val="修订4"/>
    <w:hidden/>
    <w:semiHidden/>
    <w:qFormat/>
    <w:uiPriority w:val="99"/>
    <w:rPr>
      <w:rFonts w:ascii="宋体" w:hAnsi="宋体" w:eastAsia="宋体" w:cs="宋体"/>
      <w:sz w:val="21"/>
      <w:szCs w:val="21"/>
      <w:lang w:val="en-US" w:eastAsia="zh-CN" w:bidi="ar-SA"/>
    </w:rPr>
  </w:style>
  <w:style w:type="paragraph" w:customStyle="1" w:styleId="471">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472">
    <w:name w:val="hover14"/>
    <w:basedOn w:val="67"/>
    <w:qFormat/>
    <w:uiPriority w:val="0"/>
  </w:style>
  <w:style w:type="character" w:customStyle="1" w:styleId="473">
    <w:name w:val="hover"/>
    <w:basedOn w:val="67"/>
    <w:qFormat/>
    <w:uiPriority w:val="0"/>
  </w:style>
  <w:style w:type="paragraph" w:customStyle="1" w:styleId="474">
    <w:name w:val="Other|1"/>
    <w:basedOn w:val="1"/>
    <w:qFormat/>
    <w:uiPriority w:val="0"/>
    <w:pPr>
      <w:spacing w:line="422" w:lineRule="auto"/>
      <w:ind w:firstLine="400"/>
    </w:pPr>
    <w:rPr>
      <w:sz w:val="22"/>
      <w:szCs w:val="22"/>
      <w:lang w:val="zh-TW" w:eastAsia="zh-TW" w:bidi="zh-TW"/>
    </w:rPr>
  </w:style>
  <w:style w:type="character" w:customStyle="1" w:styleId="475">
    <w:name w:val="one-lines"/>
    <w:basedOn w:val="67"/>
    <w:qFormat/>
    <w:uiPriority w:val="0"/>
  </w:style>
  <w:style w:type="character" w:customStyle="1" w:styleId="476">
    <w:name w:val="two-lines"/>
    <w:basedOn w:val="67"/>
    <w:qFormat/>
    <w:uiPriority w:val="0"/>
  </w:style>
  <w:style w:type="character" w:customStyle="1" w:styleId="477">
    <w:name w:val="hidden"/>
    <w:basedOn w:val="67"/>
    <w:qFormat/>
    <w:uiPriority w:val="0"/>
    <w:rPr>
      <w:vanish/>
    </w:rPr>
  </w:style>
  <w:style w:type="character" w:customStyle="1" w:styleId="478">
    <w:name w:val="nth-child(1)"/>
    <w:basedOn w:val="67"/>
    <w:qFormat/>
    <w:uiPriority w:val="0"/>
  </w:style>
  <w:style w:type="character" w:customStyle="1" w:styleId="479">
    <w:name w:val="nth-child(1)1"/>
    <w:basedOn w:val="67"/>
    <w:qFormat/>
    <w:uiPriority w:val="0"/>
  </w:style>
  <w:style w:type="character" w:customStyle="1" w:styleId="480">
    <w:name w:val="trumbowyg-msg-error"/>
    <w:basedOn w:val="67"/>
    <w:qFormat/>
    <w:uiPriority w:val="0"/>
    <w:rPr>
      <w:color w:val="E74C3C"/>
    </w:rPr>
  </w:style>
  <w:style w:type="character" w:customStyle="1" w:styleId="481">
    <w:name w:val="trumbowyg-msg-error1"/>
    <w:basedOn w:val="67"/>
    <w:qFormat/>
    <w:uiPriority w:val="0"/>
    <w:rPr>
      <w:color w:val="E74C3C"/>
    </w:rPr>
  </w:style>
  <w:style w:type="character" w:customStyle="1" w:styleId="482">
    <w:name w:val="hidden4"/>
    <w:basedOn w:val="67"/>
    <w:qFormat/>
    <w:uiPriority w:val="0"/>
    <w:rPr>
      <w:vanish/>
    </w:rPr>
  </w:style>
  <w:style w:type="paragraph" w:customStyle="1" w:styleId="483">
    <w:name w:val="WPSOffice手动目录 1"/>
    <w:qFormat/>
    <w:uiPriority w:val="0"/>
    <w:rPr>
      <w:rFonts w:ascii="Times New Roman" w:hAnsi="Times New Roman" w:eastAsia="宋体" w:cs="Times New Roman"/>
      <w:lang w:val="en-US" w:eastAsia="zh-CN" w:bidi="ar-SA"/>
    </w:rPr>
  </w:style>
  <w:style w:type="paragraph" w:customStyle="1" w:styleId="484">
    <w:name w:val="标题 11"/>
    <w:basedOn w:val="1"/>
    <w:qFormat/>
    <w:uiPriority w:val="1"/>
    <w:pPr>
      <w:spacing w:before="30"/>
      <w:ind w:left="664" w:right="665"/>
      <w:jc w:val="center"/>
      <w:outlineLvl w:val="1"/>
    </w:pPr>
    <w:rPr>
      <w:b/>
      <w:bCs/>
      <w:sz w:val="32"/>
      <w:szCs w:val="32"/>
    </w:rPr>
  </w:style>
  <w:style w:type="paragraph" w:customStyle="1" w:styleId="485">
    <w:name w:val="标准正文"/>
    <w:basedOn w:val="22"/>
    <w:qFormat/>
    <w:uiPriority w:val="0"/>
    <w:pPr>
      <w:snapToGrid w:val="0"/>
      <w:spacing w:line="360" w:lineRule="auto"/>
      <w:ind w:firstLine="482"/>
    </w:pPr>
    <w:rPr>
      <w:rFonts w:ascii="Times New Roman"/>
    </w:rPr>
  </w:style>
  <w:style w:type="paragraph" w:customStyle="1" w:styleId="486">
    <w:name w:val="Body text|1"/>
    <w:basedOn w:val="1"/>
    <w:qFormat/>
    <w:uiPriority w:val="0"/>
    <w:pPr>
      <w:spacing w:line="468" w:lineRule="auto"/>
      <w:ind w:firstLine="400"/>
    </w:pPr>
    <w:rPr>
      <w:sz w:val="28"/>
      <w:szCs w:val="28"/>
      <w:lang w:val="zh-TW" w:eastAsia="zh-TW" w:bidi="zh-TW"/>
    </w:rPr>
  </w:style>
  <w:style w:type="paragraph" w:customStyle="1" w:styleId="487">
    <w:name w:val="正文_1"/>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AD851F-0C84-4EAF-A77C-901EB8FF7056}">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59</Pages>
  <Words>13266</Words>
  <Characters>14153</Characters>
  <Lines>328</Lines>
  <Paragraphs>92</Paragraphs>
  <TotalTime>47</TotalTime>
  <ScaleCrop>false</ScaleCrop>
  <LinksUpToDate>false</LinksUpToDate>
  <CharactersWithSpaces>14353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2026-06-02T05:42:00Z</dcterms:created>
  <dc:creator>焦翔</dc:creator>
  <cp:lastModifiedBy>小阿花</cp:lastModifiedBy>
  <cp:lastPrinted>2024-08-22T08:24:00Z</cp:lastPrinted>
  <dcterms:modified xsi:type="dcterms:W3CDTF">2026-06-10T09:30:49Z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C637F9967F714923AF3B790907117115_13</vt:lpwstr>
  </property>
  <property fmtid="{D5CDD505-2E9C-101B-9397-08002B2CF9AE}" pid="4" name="commondata">
    <vt:lpwstr>eyJoZGlkIjoiMzRjYzhjMjM2MzIwNWZiYjI5ZGZjZjAyNjdmMTc5ZDgifQ==</vt:lpwstr>
  </property>
  <property fmtid="{D5CDD505-2E9C-101B-9397-08002B2CF9AE}" pid="5" name="KSOTemplateDocerSaveRecord">
    <vt:lpwstr>eyJoZGlkIjoiODVhMGRmZGNiMzliYjEzODNhMWE2YzI0Njk3NWJlNjEiLCJ1c2VySWQiOiI5MzUwNDA0NDUifQ==</vt:lpwstr>
  </property>
</Properties>
</file>