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right="-378" w:rightChars="-180"/>
        <w:jc w:val="center"/>
        <w:rPr>
          <w:rFonts w:ascii="宋体" w:hAnsi="宋体" w:cs="宋体"/>
          <w:sz w:val="36"/>
          <w:szCs w:val="16"/>
        </w:rPr>
      </w:pPr>
    </w:p>
    <w:p>
      <w:pPr>
        <w:ind w:right="-378" w:rightChars="-180"/>
        <w:jc w:val="center"/>
        <w:rPr>
          <w:rFonts w:ascii="宋体" w:hAnsi="宋体" w:cs="宋体"/>
          <w:sz w:val="36"/>
          <w:szCs w:val="16"/>
        </w:rPr>
      </w:pPr>
    </w:p>
    <w:p>
      <w:pPr>
        <w:ind w:right="-378" w:rightChars="-180"/>
        <w:jc w:val="center"/>
        <w:rPr>
          <w:rFonts w:ascii="宋体" w:hAnsi="宋体" w:cs="宋体"/>
          <w:sz w:val="72"/>
          <w:szCs w:val="72"/>
        </w:rPr>
      </w:pPr>
      <w:r>
        <w:rPr>
          <w:rFonts w:hint="eastAsia" w:ascii="宋体" w:hAnsi="宋体" w:cs="宋体"/>
          <w:sz w:val="52"/>
          <w:szCs w:val="52"/>
        </w:rPr>
        <w:t>中国药科大学江宁校区行政楼及会议中心外立面和屋面维修项目</w:t>
      </w:r>
      <w:r>
        <w:rPr>
          <w:rFonts w:hint="eastAsia" w:ascii="宋体" w:hAnsi="宋体" w:cs="宋体"/>
          <w:sz w:val="72"/>
          <w:szCs w:val="72"/>
        </w:rPr>
        <w:t xml:space="preserve">  </w:t>
      </w:r>
    </w:p>
    <w:p>
      <w:pPr>
        <w:ind w:right="-378" w:rightChars="-180"/>
        <w:jc w:val="center"/>
        <w:rPr>
          <w:rFonts w:ascii="宋体" w:hAnsi="宋体" w:cs="宋体"/>
          <w:sz w:val="72"/>
          <w:szCs w:val="72"/>
        </w:rPr>
      </w:pPr>
    </w:p>
    <w:p>
      <w:pPr>
        <w:ind w:right="-378" w:rightChars="-180"/>
        <w:jc w:val="center"/>
        <w:rPr>
          <w:rFonts w:ascii="宋体" w:hAnsi="宋体" w:cs="宋体"/>
          <w:sz w:val="72"/>
          <w:szCs w:val="72"/>
        </w:rPr>
      </w:pPr>
    </w:p>
    <w:p>
      <w:pPr>
        <w:ind w:right="-378" w:rightChars="-180"/>
        <w:jc w:val="center"/>
        <w:rPr>
          <w:rFonts w:ascii="宋体" w:hAnsi="宋体" w:cs="宋体"/>
          <w:sz w:val="72"/>
          <w:szCs w:val="72"/>
        </w:rPr>
      </w:pPr>
    </w:p>
    <w:p>
      <w:pPr>
        <w:ind w:right="-378" w:rightChars="-180"/>
        <w:jc w:val="center"/>
        <w:rPr>
          <w:rFonts w:ascii="宋体" w:hAnsi="宋体" w:cs="宋体"/>
          <w:sz w:val="72"/>
          <w:szCs w:val="72"/>
        </w:rPr>
      </w:pPr>
      <w:r>
        <w:rPr>
          <w:rFonts w:hint="eastAsia" w:ascii="宋体" w:hAnsi="宋体" w:cs="宋体"/>
          <w:sz w:val="72"/>
          <w:szCs w:val="72"/>
        </w:rPr>
        <w:t>招 标 文 件</w:t>
      </w:r>
    </w:p>
    <w:p>
      <w:pPr>
        <w:ind w:right="-378" w:rightChars="-180" w:firstLine="2640" w:firstLineChars="550"/>
        <w:rPr>
          <w:rFonts w:ascii="宋体" w:hAnsi="宋体" w:cs="宋体"/>
          <w:sz w:val="48"/>
          <w:szCs w:val="48"/>
        </w:rPr>
      </w:pPr>
    </w:p>
    <w:p>
      <w:pPr>
        <w:spacing w:line="400" w:lineRule="exact"/>
        <w:ind w:right="-378" w:rightChars="-180" w:firstLine="1960" w:firstLineChars="700"/>
        <w:rPr>
          <w:rFonts w:ascii="宋体" w:hAnsi="宋体" w:cs="宋体"/>
          <w:sz w:val="28"/>
          <w:szCs w:val="28"/>
        </w:rPr>
      </w:pPr>
    </w:p>
    <w:p>
      <w:pPr>
        <w:spacing w:line="400" w:lineRule="exact"/>
        <w:ind w:right="-378" w:rightChars="-180" w:firstLine="1960" w:firstLineChars="700"/>
        <w:rPr>
          <w:rFonts w:ascii="宋体" w:hAnsi="宋体" w:cs="宋体"/>
          <w:sz w:val="28"/>
          <w:szCs w:val="28"/>
        </w:rPr>
      </w:pPr>
      <w:r>
        <w:rPr>
          <w:rFonts w:hint="eastAsia" w:ascii="宋体" w:hAnsi="宋体" w:cs="宋体"/>
          <w:sz w:val="28"/>
          <w:szCs w:val="28"/>
        </w:rPr>
        <w:t>招标编号：DCGPZB025220080（校方编号）</w:t>
      </w:r>
    </w:p>
    <w:p>
      <w:pPr>
        <w:ind w:right="-378" w:rightChars="-180"/>
        <w:jc w:val="center"/>
        <w:rPr>
          <w:rFonts w:ascii="宋体" w:hAnsi="宋体" w:cs="宋体"/>
          <w:sz w:val="28"/>
          <w:szCs w:val="28"/>
        </w:rPr>
      </w:pPr>
      <w:r>
        <w:rPr>
          <w:rFonts w:hint="eastAsia" w:ascii="宋体" w:hAnsi="宋体" w:cs="宋体"/>
          <w:sz w:val="28"/>
          <w:szCs w:val="28"/>
        </w:rPr>
        <w:t xml:space="preserve">            JD-ZB-22037（代理机构编号）</w:t>
      </w:r>
    </w:p>
    <w:p>
      <w:pPr>
        <w:spacing w:line="400" w:lineRule="exact"/>
        <w:ind w:right="-378" w:rightChars="-180"/>
        <w:rPr>
          <w:rFonts w:ascii="宋体" w:hAnsi="宋体" w:cs="宋体"/>
        </w:rPr>
      </w:pPr>
    </w:p>
    <w:p>
      <w:pPr>
        <w:spacing w:line="400" w:lineRule="exact"/>
        <w:ind w:right="-378" w:rightChars="-180"/>
        <w:rPr>
          <w:rFonts w:ascii="宋体" w:hAnsi="宋体" w:cs="宋体"/>
        </w:rPr>
      </w:pPr>
    </w:p>
    <w:p>
      <w:pPr>
        <w:spacing w:line="400" w:lineRule="exact"/>
        <w:ind w:right="-378" w:rightChars="-180"/>
        <w:rPr>
          <w:rFonts w:ascii="宋体" w:hAnsi="宋体" w:cs="宋体"/>
        </w:rPr>
      </w:pPr>
    </w:p>
    <w:p>
      <w:pPr>
        <w:spacing w:line="400" w:lineRule="exact"/>
        <w:ind w:right="-378" w:rightChars="-180"/>
        <w:rPr>
          <w:rFonts w:ascii="宋体" w:hAnsi="宋体" w:cs="宋体"/>
        </w:rPr>
      </w:pPr>
    </w:p>
    <w:p>
      <w:pPr>
        <w:spacing w:line="400" w:lineRule="exact"/>
        <w:ind w:right="-378" w:rightChars="-180"/>
        <w:rPr>
          <w:rFonts w:ascii="宋体" w:hAnsi="宋体" w:cs="宋体"/>
        </w:rPr>
      </w:pPr>
    </w:p>
    <w:p>
      <w:pPr>
        <w:spacing w:line="400" w:lineRule="exact"/>
        <w:ind w:right="-378" w:rightChars="-180"/>
        <w:rPr>
          <w:rFonts w:ascii="宋体" w:hAnsi="宋体" w:cs="宋体"/>
        </w:rPr>
      </w:pPr>
    </w:p>
    <w:p>
      <w:pPr>
        <w:spacing w:line="400" w:lineRule="exact"/>
        <w:ind w:right="-378" w:rightChars="-180"/>
        <w:rPr>
          <w:rFonts w:ascii="宋体" w:hAnsi="宋体" w:cs="宋体"/>
        </w:rPr>
      </w:pPr>
    </w:p>
    <w:p>
      <w:pPr>
        <w:spacing w:line="400" w:lineRule="exact"/>
        <w:ind w:right="-378" w:rightChars="-180"/>
        <w:rPr>
          <w:rFonts w:ascii="宋体" w:hAnsi="宋体" w:cs="宋体"/>
        </w:rPr>
      </w:pPr>
    </w:p>
    <w:p>
      <w:pPr>
        <w:adjustRightInd w:val="0"/>
        <w:snapToGrid w:val="0"/>
        <w:spacing w:line="480" w:lineRule="auto"/>
        <w:ind w:firstLine="1200" w:firstLineChars="400"/>
        <w:rPr>
          <w:rFonts w:ascii="宋体" w:hAnsi="宋体" w:cs="宋体"/>
          <w:snapToGrid w:val="0"/>
          <w:sz w:val="30"/>
          <w:szCs w:val="30"/>
          <w:u w:val="single"/>
        </w:rPr>
      </w:pPr>
      <w:r>
        <w:rPr>
          <w:rFonts w:hint="eastAsia" w:ascii="宋体" w:hAnsi="宋体" w:cs="宋体"/>
          <w:snapToGrid w:val="0"/>
          <w:sz w:val="30"/>
          <w:szCs w:val="30"/>
        </w:rPr>
        <w:t>招   标  人：</w:t>
      </w:r>
      <w:r>
        <w:rPr>
          <w:rFonts w:hint="eastAsia" w:ascii="宋体" w:hAnsi="宋体" w:cs="宋体"/>
          <w:snapToGrid w:val="0"/>
          <w:sz w:val="30"/>
          <w:szCs w:val="30"/>
          <w:u w:val="single"/>
        </w:rPr>
        <w:t xml:space="preserve">中国药科大学 </w:t>
      </w:r>
    </w:p>
    <w:p>
      <w:pPr>
        <w:adjustRightInd w:val="0"/>
        <w:snapToGrid w:val="0"/>
        <w:spacing w:line="480" w:lineRule="auto"/>
        <w:ind w:firstLine="1200" w:firstLineChars="400"/>
        <w:rPr>
          <w:rFonts w:ascii="宋体" w:hAnsi="宋体" w:cs="宋体"/>
          <w:snapToGrid w:val="0"/>
          <w:sz w:val="30"/>
          <w:szCs w:val="30"/>
          <w:u w:val="single"/>
        </w:rPr>
      </w:pPr>
      <w:r>
        <w:rPr>
          <w:rFonts w:hint="eastAsia" w:ascii="宋体" w:hAnsi="宋体" w:cs="宋体"/>
          <w:snapToGrid w:val="0"/>
          <w:sz w:val="30"/>
          <w:szCs w:val="30"/>
        </w:rPr>
        <w:t>代 理 单 位：</w:t>
      </w:r>
      <w:r>
        <w:rPr>
          <w:rFonts w:hint="eastAsia" w:ascii="宋体" w:hAnsi="宋体" w:cs="宋体"/>
          <w:snapToGrid w:val="0"/>
          <w:sz w:val="30"/>
          <w:szCs w:val="30"/>
          <w:u w:val="single"/>
        </w:rPr>
        <w:t>南京金鼎工程造价评估有限责任公司</w:t>
      </w:r>
    </w:p>
    <w:p>
      <w:pPr>
        <w:ind w:firstLine="1200" w:firstLineChars="400"/>
        <w:rPr>
          <w:rFonts w:ascii="宋体" w:hAnsi="宋体" w:cs="宋体"/>
          <w:snapToGrid w:val="0"/>
          <w:sz w:val="28"/>
          <w:szCs w:val="28"/>
        </w:rPr>
      </w:pPr>
      <w:r>
        <w:rPr>
          <w:rFonts w:hint="eastAsia" w:ascii="宋体" w:hAnsi="宋体" w:cs="宋体"/>
          <w:snapToGrid w:val="0"/>
          <w:sz w:val="30"/>
          <w:szCs w:val="30"/>
        </w:rPr>
        <w:t>日       期： 2022年0</w:t>
      </w:r>
      <w:r>
        <w:rPr>
          <w:rFonts w:hint="eastAsia" w:ascii="宋体" w:hAnsi="宋体" w:cs="宋体"/>
          <w:snapToGrid w:val="0"/>
          <w:sz w:val="30"/>
          <w:szCs w:val="30"/>
          <w:lang w:val="en-US" w:eastAsia="zh-CN"/>
        </w:rPr>
        <w:t>6</w:t>
      </w:r>
      <w:r>
        <w:rPr>
          <w:rFonts w:hint="eastAsia" w:ascii="宋体" w:hAnsi="宋体" w:cs="宋体"/>
          <w:snapToGrid w:val="0"/>
          <w:sz w:val="30"/>
          <w:szCs w:val="30"/>
        </w:rPr>
        <w:t>月</w:t>
      </w:r>
    </w:p>
    <w:p>
      <w:pPr>
        <w:rPr>
          <w:rFonts w:ascii="宋体" w:hAnsi="宋体" w:cs="宋体"/>
          <w:snapToGrid w:val="0"/>
          <w:sz w:val="28"/>
          <w:szCs w:val="28"/>
        </w:rPr>
      </w:pPr>
      <w:r>
        <w:rPr>
          <w:rFonts w:hint="eastAsia" w:ascii="宋体" w:hAnsi="宋体" w:cs="宋体"/>
          <w:snapToGrid w:val="0"/>
          <w:sz w:val="28"/>
          <w:szCs w:val="28"/>
        </w:rPr>
        <w:br w:type="page"/>
      </w:r>
    </w:p>
    <w:sdt>
      <w:sdtPr>
        <w:rPr>
          <w:rFonts w:hint="eastAsia" w:ascii="宋体" w:hAnsi="宋体" w:cs="宋体"/>
        </w:rPr>
        <w:id w:val="147452510"/>
        <w:docPartObj>
          <w:docPartGallery w:val="Table of Contents"/>
          <w:docPartUnique/>
        </w:docPartObj>
      </w:sdtPr>
      <w:sdtEndPr>
        <w:rPr>
          <w:rFonts w:hint="eastAsia" w:ascii="宋体" w:hAnsi="宋体" w:cs="宋体"/>
        </w:rPr>
      </w:sdtEndPr>
      <w:sdtContent>
        <w:p>
          <w:pPr>
            <w:jc w:val="center"/>
            <w:rPr>
              <w:rFonts w:ascii="宋体" w:hAnsi="宋体" w:cs="宋体"/>
              <w:sz w:val="44"/>
              <w:szCs w:val="44"/>
            </w:rPr>
          </w:pPr>
          <w:r>
            <w:rPr>
              <w:rFonts w:hint="eastAsia" w:ascii="宋体" w:hAnsi="宋体" w:cs="宋体"/>
              <w:sz w:val="44"/>
              <w:szCs w:val="44"/>
            </w:rPr>
            <w:t>目录</w:t>
          </w:r>
        </w:p>
        <w:p>
          <w:pPr>
            <w:pStyle w:val="2"/>
            <w:rPr>
              <w:rFonts w:ascii="宋体" w:hAnsi="宋体" w:cs="宋体"/>
            </w:rPr>
          </w:pPr>
        </w:p>
        <w:p>
          <w:pPr>
            <w:pStyle w:val="22"/>
            <w:tabs>
              <w:tab w:val="right" w:leader="dot" w:pos="8305"/>
            </w:tabs>
            <w:spacing w:line="360" w:lineRule="auto"/>
            <w:rPr>
              <w:rFonts w:ascii="宋体" w:hAnsi="宋体" w:cs="宋体"/>
              <w:sz w:val="28"/>
              <w:szCs w:val="28"/>
            </w:rPr>
          </w:pPr>
          <w:r>
            <w:rPr>
              <w:rFonts w:hint="eastAsia" w:ascii="宋体" w:hAnsi="宋体" w:cs="宋体"/>
              <w:sz w:val="30"/>
              <w:szCs w:val="30"/>
            </w:rPr>
            <w:fldChar w:fldCharType="begin"/>
          </w:r>
          <w:r>
            <w:rPr>
              <w:rFonts w:hint="eastAsia" w:ascii="宋体" w:hAnsi="宋体" w:cs="宋体"/>
              <w:sz w:val="30"/>
              <w:szCs w:val="30"/>
            </w:rPr>
            <w:instrText xml:space="preserve">TOC \o "1-1" \h \u </w:instrText>
          </w:r>
          <w:r>
            <w:rPr>
              <w:rFonts w:hint="eastAsia" w:ascii="宋体" w:hAnsi="宋体" w:cs="宋体"/>
              <w:sz w:val="30"/>
              <w:szCs w:val="30"/>
            </w:rPr>
            <w:fldChar w:fldCharType="separate"/>
          </w:r>
          <w:r>
            <w:fldChar w:fldCharType="begin"/>
          </w:r>
          <w:r>
            <w:instrText xml:space="preserve"> HYPERLINK \l "_Toc10032" </w:instrText>
          </w:r>
          <w:r>
            <w:fldChar w:fldCharType="separate"/>
          </w:r>
          <w:r>
            <w:rPr>
              <w:rFonts w:hint="eastAsia" w:ascii="宋体" w:hAnsi="宋体" w:cs="宋体"/>
              <w:bCs/>
              <w:kern w:val="0"/>
              <w:sz w:val="28"/>
              <w:szCs w:val="28"/>
            </w:rPr>
            <w:t>第一章 招标公告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_Toc10032 \h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fldChar w:fldCharType="end"/>
          </w:r>
        </w:p>
        <w:p>
          <w:pPr>
            <w:pStyle w:val="22"/>
            <w:tabs>
              <w:tab w:val="right" w:leader="dot" w:pos="8305"/>
            </w:tabs>
            <w:spacing w:line="360" w:lineRule="auto"/>
            <w:rPr>
              <w:rFonts w:ascii="宋体" w:hAnsi="宋体" w:cs="宋体"/>
              <w:sz w:val="28"/>
              <w:szCs w:val="28"/>
            </w:rPr>
          </w:pPr>
          <w:r>
            <w:fldChar w:fldCharType="begin"/>
          </w:r>
          <w:r>
            <w:instrText xml:space="preserve"> HYPERLINK \l "_Toc30756" </w:instrText>
          </w:r>
          <w:r>
            <w:fldChar w:fldCharType="separate"/>
          </w:r>
          <w:r>
            <w:rPr>
              <w:rFonts w:hint="eastAsia" w:ascii="宋体" w:hAnsi="宋体" w:cs="宋体"/>
              <w:sz w:val="28"/>
              <w:szCs w:val="28"/>
            </w:rPr>
            <w:t>第二章 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_Toc30756 \h </w:instrText>
          </w:r>
          <w:r>
            <w:rPr>
              <w:rFonts w:hint="eastAsia" w:ascii="宋体" w:hAnsi="宋体" w:cs="宋体"/>
              <w:sz w:val="28"/>
              <w:szCs w:val="28"/>
            </w:rPr>
            <w:fldChar w:fldCharType="separate"/>
          </w:r>
          <w:r>
            <w:rPr>
              <w:rFonts w:hint="eastAsia" w:ascii="宋体" w:hAnsi="宋体" w:cs="宋体"/>
              <w:sz w:val="28"/>
              <w:szCs w:val="28"/>
            </w:rPr>
            <w:t>5</w:t>
          </w:r>
          <w:r>
            <w:rPr>
              <w:rFonts w:hint="eastAsia" w:ascii="宋体" w:hAnsi="宋体" w:cs="宋体"/>
              <w:sz w:val="28"/>
              <w:szCs w:val="28"/>
            </w:rPr>
            <w:fldChar w:fldCharType="end"/>
          </w:r>
          <w:r>
            <w:rPr>
              <w:rFonts w:hint="eastAsia" w:ascii="宋体" w:hAnsi="宋体" w:cs="宋体"/>
              <w:sz w:val="28"/>
              <w:szCs w:val="28"/>
            </w:rPr>
            <w:fldChar w:fldCharType="end"/>
          </w:r>
        </w:p>
        <w:p>
          <w:pPr>
            <w:pStyle w:val="22"/>
            <w:tabs>
              <w:tab w:val="right" w:leader="dot" w:pos="8305"/>
            </w:tabs>
            <w:spacing w:line="360" w:lineRule="auto"/>
            <w:rPr>
              <w:rFonts w:ascii="宋体" w:hAnsi="宋体" w:cs="宋体"/>
              <w:sz w:val="28"/>
              <w:szCs w:val="28"/>
            </w:rPr>
          </w:pPr>
          <w:r>
            <w:fldChar w:fldCharType="begin"/>
          </w:r>
          <w:r>
            <w:instrText xml:space="preserve"> HYPERLINK \l "_Toc10934" </w:instrText>
          </w:r>
          <w:r>
            <w:fldChar w:fldCharType="separate"/>
          </w:r>
          <w:r>
            <w:rPr>
              <w:rFonts w:hint="eastAsia" w:ascii="宋体" w:hAnsi="宋体" w:cs="宋体"/>
              <w:bCs/>
              <w:kern w:val="44"/>
              <w:sz w:val="28"/>
              <w:szCs w:val="28"/>
            </w:rPr>
            <w:t>第三章 评审标准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_Toc10934 \h </w:instrText>
          </w:r>
          <w:r>
            <w:rPr>
              <w:rFonts w:hint="eastAsia" w:ascii="宋体" w:hAnsi="宋体" w:cs="宋体"/>
              <w:sz w:val="28"/>
              <w:szCs w:val="28"/>
            </w:rPr>
            <w:fldChar w:fldCharType="separate"/>
          </w:r>
          <w:r>
            <w:rPr>
              <w:rFonts w:hint="eastAsia" w:ascii="宋体" w:hAnsi="宋体" w:cs="宋体"/>
              <w:sz w:val="28"/>
              <w:szCs w:val="28"/>
            </w:rPr>
            <w:t>23</w:t>
          </w:r>
          <w:r>
            <w:rPr>
              <w:rFonts w:hint="eastAsia" w:ascii="宋体" w:hAnsi="宋体" w:cs="宋体"/>
              <w:sz w:val="28"/>
              <w:szCs w:val="28"/>
            </w:rPr>
            <w:fldChar w:fldCharType="end"/>
          </w:r>
          <w:r>
            <w:rPr>
              <w:rFonts w:hint="eastAsia" w:ascii="宋体" w:hAnsi="宋体" w:cs="宋体"/>
              <w:sz w:val="28"/>
              <w:szCs w:val="28"/>
            </w:rPr>
            <w:fldChar w:fldCharType="end"/>
          </w:r>
        </w:p>
        <w:p>
          <w:pPr>
            <w:pStyle w:val="22"/>
            <w:tabs>
              <w:tab w:val="right" w:leader="dot" w:pos="8305"/>
            </w:tabs>
            <w:spacing w:line="360" w:lineRule="auto"/>
            <w:rPr>
              <w:rFonts w:ascii="宋体" w:hAnsi="宋体" w:cs="宋体"/>
              <w:sz w:val="28"/>
              <w:szCs w:val="28"/>
            </w:rPr>
          </w:pPr>
          <w:r>
            <w:fldChar w:fldCharType="begin"/>
          </w:r>
          <w:r>
            <w:instrText xml:space="preserve"> HYPERLINK \l "_Toc22562" </w:instrText>
          </w:r>
          <w:r>
            <w:fldChar w:fldCharType="separate"/>
          </w:r>
          <w:r>
            <w:rPr>
              <w:rFonts w:hint="eastAsia" w:ascii="宋体" w:hAnsi="宋体" w:cs="宋体"/>
              <w:bCs/>
              <w:kern w:val="44"/>
              <w:sz w:val="28"/>
              <w:szCs w:val="28"/>
            </w:rPr>
            <w:t>第四章 工程量清单（另附）</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_Toc22562 \h </w:instrText>
          </w:r>
          <w:r>
            <w:rPr>
              <w:rFonts w:hint="eastAsia" w:ascii="宋体" w:hAnsi="宋体" w:cs="宋体"/>
              <w:sz w:val="28"/>
              <w:szCs w:val="28"/>
            </w:rPr>
            <w:fldChar w:fldCharType="separate"/>
          </w:r>
          <w:r>
            <w:rPr>
              <w:rFonts w:hint="eastAsia" w:ascii="宋体" w:hAnsi="宋体" w:cs="宋体"/>
              <w:sz w:val="28"/>
              <w:szCs w:val="28"/>
            </w:rPr>
            <w:t>29</w:t>
          </w:r>
          <w:r>
            <w:rPr>
              <w:rFonts w:hint="eastAsia" w:ascii="宋体" w:hAnsi="宋体" w:cs="宋体"/>
              <w:sz w:val="28"/>
              <w:szCs w:val="28"/>
            </w:rPr>
            <w:fldChar w:fldCharType="end"/>
          </w:r>
          <w:r>
            <w:rPr>
              <w:rFonts w:hint="eastAsia" w:ascii="宋体" w:hAnsi="宋体" w:cs="宋体"/>
              <w:sz w:val="28"/>
              <w:szCs w:val="28"/>
            </w:rPr>
            <w:fldChar w:fldCharType="end"/>
          </w:r>
        </w:p>
        <w:p>
          <w:pPr>
            <w:pStyle w:val="22"/>
            <w:tabs>
              <w:tab w:val="right" w:leader="dot" w:pos="8305"/>
            </w:tabs>
            <w:spacing w:line="360" w:lineRule="auto"/>
            <w:rPr>
              <w:rFonts w:ascii="宋体" w:hAnsi="宋体" w:cs="宋体"/>
              <w:sz w:val="28"/>
              <w:szCs w:val="28"/>
            </w:rPr>
          </w:pPr>
          <w:r>
            <w:fldChar w:fldCharType="begin"/>
          </w:r>
          <w:r>
            <w:instrText xml:space="preserve"> HYPERLINK \l "_Toc8226" </w:instrText>
          </w:r>
          <w:r>
            <w:fldChar w:fldCharType="separate"/>
          </w:r>
          <w:r>
            <w:rPr>
              <w:rFonts w:hint="eastAsia" w:ascii="宋体" w:hAnsi="宋体" w:cs="宋体"/>
              <w:bCs/>
              <w:kern w:val="44"/>
              <w:sz w:val="28"/>
              <w:szCs w:val="28"/>
            </w:rPr>
            <w:t>第五章 合同</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_Toc8226 \h </w:instrText>
          </w:r>
          <w:r>
            <w:rPr>
              <w:rFonts w:hint="eastAsia" w:ascii="宋体" w:hAnsi="宋体" w:cs="宋体"/>
              <w:sz w:val="28"/>
              <w:szCs w:val="28"/>
            </w:rPr>
            <w:fldChar w:fldCharType="separate"/>
          </w:r>
          <w:r>
            <w:rPr>
              <w:rFonts w:hint="eastAsia" w:ascii="宋体" w:hAnsi="宋体" w:cs="宋体"/>
              <w:sz w:val="28"/>
              <w:szCs w:val="28"/>
            </w:rPr>
            <w:t>32</w:t>
          </w:r>
          <w:r>
            <w:rPr>
              <w:rFonts w:hint="eastAsia" w:ascii="宋体" w:hAnsi="宋体" w:cs="宋体"/>
              <w:sz w:val="28"/>
              <w:szCs w:val="28"/>
            </w:rPr>
            <w:fldChar w:fldCharType="end"/>
          </w:r>
          <w:r>
            <w:rPr>
              <w:rFonts w:hint="eastAsia" w:ascii="宋体" w:hAnsi="宋体" w:cs="宋体"/>
              <w:sz w:val="28"/>
              <w:szCs w:val="28"/>
            </w:rPr>
            <w:fldChar w:fldCharType="end"/>
          </w:r>
        </w:p>
        <w:p>
          <w:pPr>
            <w:pStyle w:val="22"/>
            <w:tabs>
              <w:tab w:val="right" w:leader="dot" w:pos="8305"/>
            </w:tabs>
            <w:spacing w:line="360" w:lineRule="auto"/>
          </w:pPr>
          <w:r>
            <w:fldChar w:fldCharType="begin"/>
          </w:r>
          <w:r>
            <w:instrText xml:space="preserve"> HYPERLINK \l "_Toc14408" </w:instrText>
          </w:r>
          <w:r>
            <w:fldChar w:fldCharType="separate"/>
          </w:r>
          <w:r>
            <w:rPr>
              <w:rFonts w:hint="eastAsia" w:ascii="宋体" w:hAnsi="宋体" w:cs="宋体"/>
              <w:bCs/>
              <w:kern w:val="44"/>
              <w:sz w:val="28"/>
              <w:szCs w:val="28"/>
            </w:rPr>
            <w:t>第六章 投标文件格式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_Toc14408 \h </w:instrText>
          </w:r>
          <w:r>
            <w:rPr>
              <w:rFonts w:hint="eastAsia" w:ascii="宋体" w:hAnsi="宋体" w:cs="宋体"/>
              <w:sz w:val="28"/>
              <w:szCs w:val="28"/>
            </w:rPr>
            <w:fldChar w:fldCharType="separate"/>
          </w:r>
          <w:r>
            <w:rPr>
              <w:rFonts w:hint="eastAsia" w:ascii="宋体" w:hAnsi="宋体" w:cs="宋体"/>
              <w:sz w:val="28"/>
              <w:szCs w:val="28"/>
            </w:rPr>
            <w:t>77</w:t>
          </w:r>
          <w:r>
            <w:rPr>
              <w:rFonts w:hint="eastAsia" w:ascii="宋体" w:hAnsi="宋体" w:cs="宋体"/>
              <w:sz w:val="28"/>
              <w:szCs w:val="28"/>
            </w:rPr>
            <w:fldChar w:fldCharType="end"/>
          </w:r>
          <w:r>
            <w:rPr>
              <w:rFonts w:hint="eastAsia" w:ascii="宋体" w:hAnsi="宋体" w:cs="宋体"/>
              <w:sz w:val="28"/>
              <w:szCs w:val="28"/>
            </w:rPr>
            <w:fldChar w:fldCharType="end"/>
          </w:r>
        </w:p>
        <w:p>
          <w:pPr>
            <w:rPr>
              <w:rFonts w:ascii="宋体" w:hAnsi="宋体" w:cs="宋体"/>
            </w:rPr>
          </w:pPr>
          <w:r>
            <w:rPr>
              <w:rFonts w:hint="eastAsia" w:ascii="宋体" w:hAnsi="宋体" w:cs="宋体"/>
              <w:szCs w:val="30"/>
            </w:rPr>
            <w:fldChar w:fldCharType="end"/>
          </w:r>
        </w:p>
      </w:sdtContent>
    </w:sdt>
    <w:p>
      <w:pPr>
        <w:pStyle w:val="12"/>
        <w:tabs>
          <w:tab w:val="left" w:pos="0"/>
          <w:tab w:val="left" w:pos="3165"/>
          <w:tab w:val="center" w:pos="4153"/>
        </w:tabs>
        <w:autoSpaceDE w:val="0"/>
        <w:autoSpaceDN w:val="0"/>
        <w:adjustRightInd w:val="0"/>
        <w:spacing w:before="0" w:after="0" w:line="360" w:lineRule="auto"/>
        <w:jc w:val="center"/>
        <w:rPr>
          <w:rFonts w:ascii="宋体" w:hAnsi="宋体" w:cs="宋体"/>
          <w:sz w:val="32"/>
          <w:szCs w:val="32"/>
        </w:rPr>
        <w:sectPr>
          <w:footerReference r:id="rId3" w:type="first"/>
          <w:pgSz w:w="11911" w:h="16838"/>
          <w:pgMar w:top="1440" w:right="1803" w:bottom="1440" w:left="1803" w:header="0" w:footer="1406" w:gutter="0"/>
          <w:cols w:space="720" w:num="1"/>
          <w:docGrid w:linePitch="312" w:charSpace="0"/>
        </w:sectPr>
      </w:pPr>
      <w:bookmarkStart w:id="0" w:name="_Toc28359001"/>
      <w:bookmarkStart w:id="1" w:name="_Toc35393789"/>
    </w:p>
    <w:bookmarkEnd w:id="0"/>
    <w:bookmarkEnd w:id="1"/>
    <w:p>
      <w:pPr>
        <w:pStyle w:val="16"/>
        <w:kinsoku w:val="0"/>
        <w:overflowPunct w:val="0"/>
        <w:spacing w:line="336" w:lineRule="auto"/>
        <w:jc w:val="center"/>
        <w:outlineLvl w:val="0"/>
        <w:rPr>
          <w:sz w:val="36"/>
          <w:szCs w:val="36"/>
        </w:rPr>
      </w:pPr>
      <w:bookmarkStart w:id="2" w:name="_Toc16763"/>
      <w:bookmarkStart w:id="3" w:name="_Toc10032"/>
      <w:bookmarkStart w:id="4" w:name="_Toc31445"/>
      <w:r>
        <w:rPr>
          <w:rFonts w:hint="eastAsia"/>
          <w:b/>
          <w:bCs/>
          <w:kern w:val="0"/>
          <w:sz w:val="36"/>
          <w:szCs w:val="36"/>
        </w:rPr>
        <w:t>第一章 招标公告</w:t>
      </w:r>
      <w:bookmarkEnd w:id="2"/>
      <w:bookmarkEnd w:id="3"/>
      <w:bookmarkEnd w:id="4"/>
    </w:p>
    <w:p>
      <w:pPr>
        <w:pBdr>
          <w:top w:val="single" w:color="auto" w:sz="4" w:space="1"/>
          <w:left w:val="single" w:color="auto" w:sz="4" w:space="4"/>
          <w:bottom w:val="single" w:color="auto" w:sz="4" w:space="1"/>
          <w:right w:val="single" w:color="auto" w:sz="4" w:space="4"/>
        </w:pBdr>
        <w:spacing w:line="336" w:lineRule="auto"/>
        <w:ind w:firstLine="480" w:firstLineChars="200"/>
        <w:rPr>
          <w:rFonts w:ascii="宋体" w:hAnsi="宋体" w:cs="宋体"/>
          <w:sz w:val="24"/>
          <w:szCs w:val="24"/>
          <w:highlight w:val="none"/>
        </w:rPr>
      </w:pPr>
      <w:bookmarkStart w:id="5" w:name="_Toc35393790"/>
      <w:bookmarkStart w:id="6" w:name="_Toc28359079"/>
      <w:bookmarkStart w:id="7" w:name="_Toc28359002"/>
      <w:bookmarkStart w:id="8" w:name="_Toc35393621"/>
      <w:bookmarkStart w:id="9" w:name="_Hlk24379207"/>
      <w:r>
        <w:rPr>
          <w:rFonts w:hint="eastAsia" w:ascii="宋体" w:hAnsi="宋体" w:cs="宋体"/>
          <w:sz w:val="24"/>
          <w:szCs w:val="24"/>
          <w:highlight w:val="none"/>
        </w:rPr>
        <w:t>项目概况</w:t>
      </w:r>
    </w:p>
    <w:p>
      <w:pPr>
        <w:pBdr>
          <w:top w:val="single" w:color="auto" w:sz="4" w:space="1"/>
          <w:left w:val="single" w:color="auto" w:sz="4" w:space="4"/>
          <w:bottom w:val="single" w:color="auto" w:sz="4" w:space="1"/>
          <w:right w:val="single" w:color="auto" w:sz="4" w:space="4"/>
        </w:pBdr>
        <w:spacing w:line="336" w:lineRule="auto"/>
        <w:ind w:firstLine="480" w:firstLineChars="200"/>
        <w:rPr>
          <w:rFonts w:ascii="宋体" w:hAnsi="宋体" w:cs="宋体"/>
          <w:sz w:val="24"/>
          <w:szCs w:val="24"/>
          <w:highlight w:val="none"/>
        </w:rPr>
      </w:pPr>
      <w:r>
        <w:rPr>
          <w:rFonts w:hint="eastAsia" w:ascii="宋体" w:hAnsi="宋体" w:cs="宋体"/>
          <w:sz w:val="24"/>
          <w:szCs w:val="24"/>
          <w:highlight w:val="none"/>
          <w:u w:val="single"/>
        </w:rPr>
        <w:t>中国药科大学江宁校区行政楼及会议中心外立面和屋面维修项目</w:t>
      </w:r>
      <w:r>
        <w:rPr>
          <w:rFonts w:hint="eastAsia" w:ascii="宋体" w:hAnsi="宋体" w:cs="宋体"/>
          <w:sz w:val="24"/>
          <w:szCs w:val="24"/>
          <w:highlight w:val="none"/>
        </w:rPr>
        <w:t>招标项目的潜在投标人应在南京金鼎工程造价评估有限责任公司（南京市鼓楼区虎踞北路41号）获取招标文件，并于2022年</w:t>
      </w:r>
      <w:r>
        <w:rPr>
          <w:rFonts w:hint="eastAsia" w:ascii="宋体" w:hAnsi="宋体" w:cs="宋体"/>
          <w:sz w:val="24"/>
          <w:szCs w:val="24"/>
          <w:highlight w:val="none"/>
          <w:lang w:val="en-US" w:eastAsia="zh-CN"/>
        </w:rPr>
        <w:t>6</w:t>
      </w:r>
      <w:r>
        <w:rPr>
          <w:rFonts w:hint="eastAsia" w:ascii="宋体" w:hAnsi="宋体" w:cs="宋体"/>
          <w:sz w:val="24"/>
          <w:szCs w:val="24"/>
          <w:highlight w:val="none"/>
        </w:rPr>
        <w:t>月</w:t>
      </w:r>
      <w:r>
        <w:rPr>
          <w:rFonts w:hint="eastAsia" w:ascii="宋体" w:hAnsi="宋体" w:cs="宋体"/>
          <w:sz w:val="24"/>
          <w:szCs w:val="24"/>
          <w:highlight w:val="none"/>
          <w:lang w:val="en-US" w:eastAsia="zh-CN"/>
        </w:rPr>
        <w:t>30</w:t>
      </w:r>
      <w:r>
        <w:rPr>
          <w:rFonts w:hint="eastAsia" w:ascii="宋体" w:hAnsi="宋体" w:cs="宋体"/>
          <w:sz w:val="24"/>
          <w:szCs w:val="24"/>
          <w:highlight w:val="none"/>
        </w:rPr>
        <w:t>日</w:t>
      </w:r>
      <w:r>
        <w:rPr>
          <w:rFonts w:hint="eastAsia" w:ascii="宋体" w:hAnsi="宋体" w:cs="宋体"/>
          <w:sz w:val="24"/>
          <w:szCs w:val="24"/>
          <w:highlight w:val="none"/>
          <w:lang w:val="en-US" w:eastAsia="zh-CN"/>
        </w:rPr>
        <w:t>9点30</w:t>
      </w:r>
      <w:r>
        <w:rPr>
          <w:rFonts w:hint="eastAsia" w:ascii="宋体" w:hAnsi="宋体" w:cs="宋体"/>
          <w:sz w:val="24"/>
          <w:szCs w:val="24"/>
          <w:highlight w:val="none"/>
        </w:rPr>
        <w:t>分</w:t>
      </w:r>
      <w:r>
        <w:rPr>
          <w:rFonts w:hint="eastAsia" w:ascii="宋体" w:hAnsi="宋体" w:cs="宋体"/>
          <w:bCs/>
          <w:sz w:val="24"/>
          <w:szCs w:val="24"/>
          <w:highlight w:val="none"/>
        </w:rPr>
        <w:t>（北京时间）前递交投标文件</w:t>
      </w:r>
      <w:r>
        <w:rPr>
          <w:rFonts w:hint="eastAsia" w:ascii="宋体" w:hAnsi="宋体" w:cs="宋体"/>
          <w:sz w:val="24"/>
          <w:szCs w:val="24"/>
          <w:highlight w:val="none"/>
        </w:rPr>
        <w:t>。</w:t>
      </w:r>
    </w:p>
    <w:p>
      <w:pPr>
        <w:pStyle w:val="5"/>
        <w:spacing w:before="0" w:after="0" w:line="336" w:lineRule="auto"/>
        <w:rPr>
          <w:rFonts w:ascii="宋体" w:hAnsi="宋体" w:eastAsia="宋体" w:cs="宋体"/>
          <w:sz w:val="24"/>
          <w:szCs w:val="24"/>
          <w:highlight w:val="none"/>
        </w:rPr>
      </w:pPr>
    </w:p>
    <w:p>
      <w:pPr>
        <w:pStyle w:val="5"/>
        <w:spacing w:before="0" w:after="0" w:line="336" w:lineRule="auto"/>
        <w:rPr>
          <w:rFonts w:ascii="宋体" w:hAnsi="宋体" w:eastAsia="宋体" w:cs="宋体"/>
          <w:sz w:val="24"/>
          <w:szCs w:val="24"/>
          <w:highlight w:val="none"/>
        </w:rPr>
      </w:pPr>
      <w:r>
        <w:rPr>
          <w:rFonts w:hint="eastAsia" w:ascii="宋体" w:hAnsi="宋体" w:eastAsia="宋体" w:cs="宋体"/>
          <w:sz w:val="24"/>
          <w:szCs w:val="24"/>
          <w:highlight w:val="none"/>
        </w:rPr>
        <w:t>一、项目基本情况</w:t>
      </w:r>
      <w:bookmarkEnd w:id="5"/>
      <w:bookmarkEnd w:id="6"/>
      <w:bookmarkEnd w:id="7"/>
      <w:bookmarkEnd w:id="8"/>
    </w:p>
    <w:p>
      <w:pPr>
        <w:spacing w:line="336" w:lineRule="auto"/>
        <w:ind w:firstLine="480" w:firstLineChars="200"/>
        <w:rPr>
          <w:rFonts w:ascii="宋体" w:hAnsi="宋体" w:cs="宋体"/>
          <w:sz w:val="28"/>
          <w:szCs w:val="28"/>
          <w:highlight w:val="none"/>
        </w:rPr>
      </w:pPr>
      <w:r>
        <w:rPr>
          <w:rFonts w:hint="eastAsia" w:ascii="宋体" w:hAnsi="宋体" w:cs="宋体"/>
          <w:sz w:val="24"/>
          <w:szCs w:val="24"/>
          <w:highlight w:val="none"/>
        </w:rPr>
        <w:t>项目编号：DCGPZB025220080（校方编号）</w:t>
      </w:r>
    </w:p>
    <w:p>
      <w:pPr>
        <w:spacing w:line="336" w:lineRule="auto"/>
        <w:ind w:firstLine="1680" w:firstLineChars="700"/>
        <w:rPr>
          <w:rFonts w:ascii="宋体" w:hAnsi="宋体" w:cs="宋体"/>
          <w:sz w:val="24"/>
          <w:szCs w:val="24"/>
          <w:highlight w:val="none"/>
        </w:rPr>
      </w:pPr>
      <w:r>
        <w:rPr>
          <w:rFonts w:hint="eastAsia" w:ascii="宋体" w:hAnsi="宋体" w:cs="宋体"/>
          <w:sz w:val="24"/>
          <w:szCs w:val="24"/>
          <w:highlight w:val="none"/>
        </w:rPr>
        <w:t>JD-ZB-22037（代理机构编号）</w:t>
      </w:r>
    </w:p>
    <w:p>
      <w:pPr>
        <w:spacing w:line="336" w:lineRule="auto"/>
        <w:ind w:firstLine="480" w:firstLineChars="200"/>
        <w:rPr>
          <w:rFonts w:ascii="宋体" w:hAnsi="宋体" w:cs="宋体"/>
          <w:sz w:val="24"/>
          <w:szCs w:val="24"/>
          <w:highlight w:val="none"/>
        </w:rPr>
      </w:pPr>
      <w:r>
        <w:rPr>
          <w:rFonts w:hint="eastAsia" w:ascii="宋体" w:hAnsi="宋体" w:cs="宋体"/>
          <w:sz w:val="24"/>
          <w:szCs w:val="24"/>
          <w:highlight w:val="none"/>
        </w:rPr>
        <w:t>项目名称：</w:t>
      </w:r>
      <w:bookmarkEnd w:id="9"/>
      <w:r>
        <w:rPr>
          <w:rFonts w:hint="eastAsia" w:ascii="宋体" w:hAnsi="宋体" w:cs="宋体"/>
          <w:sz w:val="24"/>
          <w:szCs w:val="24"/>
          <w:highlight w:val="none"/>
        </w:rPr>
        <w:t>中国药科大学江宁校区行政楼及会议中心外立面和屋面维修项目</w:t>
      </w:r>
    </w:p>
    <w:p>
      <w:pPr>
        <w:spacing w:line="336" w:lineRule="auto"/>
        <w:ind w:firstLine="480" w:firstLineChars="200"/>
        <w:rPr>
          <w:rFonts w:ascii="宋体" w:hAnsi="宋体" w:cs="宋体"/>
          <w:sz w:val="24"/>
          <w:szCs w:val="24"/>
          <w:highlight w:val="none"/>
        </w:rPr>
      </w:pPr>
      <w:r>
        <w:rPr>
          <w:rFonts w:hint="eastAsia" w:ascii="宋体" w:hAnsi="宋体" w:cs="宋体"/>
          <w:sz w:val="24"/>
          <w:szCs w:val="24"/>
          <w:highlight w:val="none"/>
        </w:rPr>
        <w:t>预算金额：2860000元</w:t>
      </w:r>
    </w:p>
    <w:p>
      <w:pPr>
        <w:spacing w:line="336" w:lineRule="auto"/>
        <w:ind w:firstLine="480" w:firstLineChars="200"/>
        <w:rPr>
          <w:rFonts w:ascii="宋体" w:hAnsi="宋体" w:cs="宋体"/>
          <w:sz w:val="24"/>
          <w:szCs w:val="24"/>
          <w:highlight w:val="none"/>
        </w:rPr>
      </w:pPr>
      <w:r>
        <w:rPr>
          <w:rFonts w:hint="eastAsia" w:ascii="宋体" w:hAnsi="宋体" w:cs="宋体"/>
          <w:sz w:val="24"/>
          <w:szCs w:val="24"/>
          <w:highlight w:val="none"/>
        </w:rPr>
        <w:t>最高限价：2859</w:t>
      </w:r>
      <w:r>
        <w:rPr>
          <w:rFonts w:hint="eastAsia" w:ascii="宋体" w:hAnsi="宋体" w:cs="宋体"/>
          <w:sz w:val="24"/>
          <w:szCs w:val="24"/>
          <w:highlight w:val="none"/>
          <w:lang w:val="en-US" w:eastAsia="zh-CN"/>
        </w:rPr>
        <w:t>071.65</w:t>
      </w:r>
      <w:r>
        <w:rPr>
          <w:rFonts w:hint="eastAsia" w:ascii="宋体" w:hAnsi="宋体" w:cs="宋体"/>
          <w:sz w:val="24"/>
          <w:szCs w:val="24"/>
          <w:highlight w:val="none"/>
        </w:rPr>
        <w:t>元</w:t>
      </w:r>
    </w:p>
    <w:p>
      <w:pPr>
        <w:spacing w:line="336" w:lineRule="auto"/>
        <w:ind w:firstLine="480" w:firstLineChars="200"/>
        <w:rPr>
          <w:rFonts w:ascii="宋体" w:hAnsi="宋体" w:cs="宋体"/>
          <w:sz w:val="24"/>
          <w:szCs w:val="24"/>
          <w:highlight w:val="none"/>
        </w:rPr>
      </w:pPr>
      <w:r>
        <w:rPr>
          <w:rFonts w:hint="eastAsia" w:ascii="宋体" w:hAnsi="宋体" w:cs="宋体"/>
          <w:sz w:val="24"/>
          <w:szCs w:val="24"/>
          <w:highlight w:val="none"/>
        </w:rPr>
        <w:t>采购需求：江宁校区行政楼及会议中心外立面和屋面维修工程，包含幕墙、屋面、外墙面改造、给排水、电气等，详见图纸及工程量清单</w:t>
      </w:r>
    </w:p>
    <w:p>
      <w:pPr>
        <w:spacing w:line="336" w:lineRule="auto"/>
        <w:ind w:firstLine="480" w:firstLineChars="200"/>
        <w:rPr>
          <w:rFonts w:ascii="宋体" w:hAnsi="宋体" w:cs="宋体"/>
          <w:sz w:val="24"/>
          <w:szCs w:val="24"/>
          <w:highlight w:val="none"/>
        </w:rPr>
      </w:pPr>
      <w:r>
        <w:rPr>
          <w:rFonts w:hint="eastAsia" w:ascii="宋体" w:hAnsi="宋体" w:cs="宋体"/>
          <w:sz w:val="24"/>
          <w:szCs w:val="24"/>
          <w:highlight w:val="none"/>
        </w:rPr>
        <w:t>采购方式：公开招标</w:t>
      </w:r>
    </w:p>
    <w:p>
      <w:pPr>
        <w:spacing w:line="336" w:lineRule="auto"/>
        <w:ind w:firstLine="480" w:firstLineChars="200"/>
        <w:rPr>
          <w:rFonts w:ascii="宋体" w:hAnsi="宋体" w:cs="宋体"/>
          <w:sz w:val="24"/>
          <w:szCs w:val="24"/>
          <w:highlight w:val="none"/>
          <w:u w:val="single"/>
        </w:rPr>
      </w:pPr>
      <w:r>
        <w:rPr>
          <w:rFonts w:hint="eastAsia" w:ascii="宋体" w:hAnsi="宋体" w:cs="宋体"/>
          <w:sz w:val="24"/>
          <w:szCs w:val="24"/>
          <w:highlight w:val="none"/>
        </w:rPr>
        <w:t>合同履行期限：合同签订后，接发包人通知后45日历天完成</w:t>
      </w:r>
    </w:p>
    <w:p>
      <w:pPr>
        <w:spacing w:line="336" w:lineRule="auto"/>
        <w:ind w:firstLine="480" w:firstLineChars="200"/>
        <w:rPr>
          <w:rFonts w:ascii="宋体" w:hAnsi="宋体" w:cs="宋体"/>
          <w:sz w:val="24"/>
          <w:szCs w:val="24"/>
          <w:highlight w:val="none"/>
        </w:rPr>
      </w:pPr>
      <w:r>
        <w:rPr>
          <w:rFonts w:hint="eastAsia" w:ascii="宋体" w:hAnsi="宋体" w:cs="宋体"/>
          <w:sz w:val="24"/>
          <w:szCs w:val="24"/>
          <w:highlight w:val="none"/>
        </w:rPr>
        <w:t>本项目不接受联合体投标。</w:t>
      </w:r>
    </w:p>
    <w:p>
      <w:pPr>
        <w:pStyle w:val="5"/>
        <w:spacing w:before="0" w:after="0" w:line="336" w:lineRule="auto"/>
        <w:rPr>
          <w:rFonts w:ascii="宋体" w:hAnsi="宋体" w:eastAsia="宋体" w:cs="宋体"/>
          <w:sz w:val="24"/>
          <w:szCs w:val="24"/>
          <w:highlight w:val="none"/>
        </w:rPr>
      </w:pPr>
      <w:bookmarkStart w:id="10" w:name="_Toc35393791"/>
      <w:bookmarkStart w:id="11" w:name="_Toc28359003"/>
      <w:bookmarkStart w:id="12" w:name="_Toc35393622"/>
      <w:bookmarkStart w:id="13" w:name="_Toc28359080"/>
      <w:r>
        <w:rPr>
          <w:rFonts w:hint="eastAsia" w:ascii="宋体" w:hAnsi="宋体" w:eastAsia="宋体" w:cs="宋体"/>
          <w:sz w:val="24"/>
          <w:szCs w:val="24"/>
          <w:highlight w:val="none"/>
        </w:rPr>
        <w:t>二、申请人的资格要求：</w:t>
      </w:r>
      <w:bookmarkEnd w:id="10"/>
      <w:bookmarkEnd w:id="11"/>
      <w:bookmarkEnd w:id="12"/>
      <w:bookmarkEnd w:id="13"/>
    </w:p>
    <w:p>
      <w:pPr>
        <w:spacing w:line="336" w:lineRule="auto"/>
        <w:ind w:firstLine="480" w:firstLineChars="200"/>
        <w:rPr>
          <w:rFonts w:ascii="宋体" w:hAnsi="宋体" w:cs="宋体"/>
          <w:sz w:val="24"/>
          <w:szCs w:val="24"/>
          <w:highlight w:val="none"/>
        </w:rPr>
      </w:pPr>
      <w:r>
        <w:rPr>
          <w:rFonts w:hint="eastAsia" w:ascii="宋体" w:hAnsi="宋体" w:cs="宋体"/>
          <w:sz w:val="24"/>
          <w:szCs w:val="24"/>
          <w:highlight w:val="none"/>
        </w:rPr>
        <w:t>1.满足《中华人民共和国政府采购法》第二十二条规定，</w:t>
      </w:r>
      <w:r>
        <w:rPr>
          <w:rFonts w:hint="eastAsia" w:ascii="宋体" w:hAnsi="宋体" w:cs="宋体"/>
          <w:color w:val="000000"/>
          <w:sz w:val="24"/>
          <w:szCs w:val="24"/>
          <w:highlight w:val="none"/>
        </w:rPr>
        <w:t>并依照政府采购法实施条例第十七条规定提供材料</w:t>
      </w:r>
      <w:r>
        <w:rPr>
          <w:rFonts w:hint="eastAsia" w:ascii="宋体" w:hAnsi="宋体" w:cs="宋体"/>
          <w:sz w:val="24"/>
          <w:szCs w:val="24"/>
          <w:highlight w:val="none"/>
        </w:rPr>
        <w:t>：</w:t>
      </w:r>
    </w:p>
    <w:p>
      <w:pPr>
        <w:spacing w:line="336" w:lineRule="auto"/>
        <w:ind w:firstLine="480" w:firstLineChars="200"/>
        <w:rPr>
          <w:rFonts w:ascii="宋体" w:hAnsi="宋体" w:cs="宋体"/>
          <w:sz w:val="24"/>
          <w:szCs w:val="24"/>
          <w:highlight w:val="none"/>
        </w:rPr>
      </w:pPr>
      <w:r>
        <w:rPr>
          <w:rFonts w:hint="eastAsia" w:ascii="宋体" w:hAnsi="宋体" w:cs="宋体"/>
          <w:sz w:val="24"/>
          <w:szCs w:val="24"/>
          <w:highlight w:val="none"/>
        </w:rPr>
        <w:t>（1）具有独立承担民事责任的能力（提供法人或者其他组织的营业执照，自然人的身份证）；</w:t>
      </w:r>
    </w:p>
    <w:p>
      <w:pPr>
        <w:spacing w:line="336" w:lineRule="auto"/>
        <w:ind w:firstLine="480" w:firstLineChars="200"/>
        <w:rPr>
          <w:rFonts w:ascii="宋体" w:hAnsi="宋体" w:cs="宋体"/>
          <w:sz w:val="24"/>
          <w:szCs w:val="24"/>
          <w:highlight w:val="none"/>
        </w:rPr>
      </w:pPr>
      <w:r>
        <w:rPr>
          <w:rFonts w:hint="eastAsia" w:ascii="宋体" w:hAnsi="宋体" w:cs="宋体"/>
          <w:sz w:val="24"/>
          <w:szCs w:val="24"/>
          <w:highlight w:val="none"/>
        </w:rPr>
        <w:t>（2）具有良好的商业信誉和健全的财务会计制度（提供参加本次政府采购活动前的会计报表）；</w:t>
      </w:r>
    </w:p>
    <w:p>
      <w:pPr>
        <w:spacing w:line="336"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（3）具有履行合同所必需的设备和专业技术能力（根据项目需求提供履行合同所必需的设备和专业技术能力的证明材料）； </w:t>
      </w:r>
    </w:p>
    <w:p>
      <w:pPr>
        <w:spacing w:line="336" w:lineRule="auto"/>
        <w:ind w:firstLine="480" w:firstLineChars="200"/>
        <w:rPr>
          <w:rFonts w:ascii="宋体" w:hAnsi="宋体" w:cs="宋体"/>
          <w:sz w:val="24"/>
          <w:szCs w:val="24"/>
          <w:highlight w:val="none"/>
        </w:rPr>
      </w:pPr>
      <w:r>
        <w:rPr>
          <w:rFonts w:hint="eastAsia" w:ascii="宋体" w:hAnsi="宋体" w:cs="宋体"/>
          <w:sz w:val="24"/>
          <w:szCs w:val="24"/>
          <w:highlight w:val="none"/>
        </w:rPr>
        <w:t>（4）有依法缴纳税收和社会保障资金的良好记录（提供参加本次政府采购活动前半年内（至少一个月）依法缴纳税收和社会保障资金的相关材料）；</w:t>
      </w:r>
    </w:p>
    <w:p>
      <w:pPr>
        <w:spacing w:line="336" w:lineRule="auto"/>
        <w:ind w:firstLine="480" w:firstLineChars="200"/>
        <w:rPr>
          <w:rFonts w:ascii="宋体" w:hAnsi="宋体" w:cs="宋体"/>
          <w:sz w:val="24"/>
          <w:szCs w:val="24"/>
          <w:highlight w:val="none"/>
        </w:rPr>
      </w:pPr>
      <w:r>
        <w:rPr>
          <w:rFonts w:hint="eastAsia" w:ascii="宋体" w:hAnsi="宋体" w:cs="宋体"/>
          <w:sz w:val="24"/>
          <w:szCs w:val="24"/>
          <w:highlight w:val="none"/>
        </w:rPr>
        <w:t>（5）参加政府采购活动前三年内，在经营活动中没有重大违法记录（提供参加本次政府采购活动前3年内在经营活动中没有重大违法记录的书面声明）</w:t>
      </w:r>
      <w:bookmarkStart w:id="331" w:name="_GoBack"/>
      <w:bookmarkEnd w:id="331"/>
      <w:r>
        <w:rPr>
          <w:rFonts w:hint="eastAsia" w:ascii="宋体" w:hAnsi="宋体" w:cs="宋体"/>
          <w:sz w:val="24"/>
          <w:szCs w:val="24"/>
          <w:highlight w:val="none"/>
        </w:rPr>
        <w:t>；</w:t>
      </w:r>
    </w:p>
    <w:p>
      <w:pPr>
        <w:spacing w:line="336" w:lineRule="auto"/>
        <w:ind w:firstLine="480" w:firstLineChars="200"/>
        <w:rPr>
          <w:rFonts w:ascii="宋体" w:hAnsi="宋体" w:cs="宋体"/>
          <w:sz w:val="24"/>
          <w:szCs w:val="24"/>
          <w:highlight w:val="none"/>
        </w:rPr>
      </w:pPr>
      <w:r>
        <w:rPr>
          <w:rFonts w:hint="eastAsia" w:ascii="宋体" w:hAnsi="宋体" w:cs="宋体"/>
          <w:sz w:val="24"/>
          <w:szCs w:val="24"/>
          <w:highlight w:val="none"/>
        </w:rPr>
        <w:t>（6）法律、行政法规规定的其他条件（提供项目实施所必须的许可资质证明材料）：无。</w:t>
      </w:r>
    </w:p>
    <w:p>
      <w:pPr>
        <w:spacing w:line="336" w:lineRule="auto"/>
        <w:ind w:firstLine="480" w:firstLineChars="200"/>
        <w:rPr>
          <w:rFonts w:ascii="宋体" w:hAnsi="宋体"/>
          <w:sz w:val="24"/>
          <w:szCs w:val="24"/>
          <w:highlight w:val="none"/>
        </w:rPr>
      </w:pPr>
      <w:bookmarkStart w:id="14" w:name="_Toc28359004"/>
      <w:bookmarkStart w:id="15" w:name="_Toc28359081"/>
      <w:r>
        <w:rPr>
          <w:rFonts w:hint="eastAsia" w:ascii="宋体" w:hAnsi="宋体" w:cs="宋体"/>
          <w:sz w:val="24"/>
          <w:szCs w:val="24"/>
          <w:highlight w:val="none"/>
        </w:rPr>
        <w:t>2.落实政府采购政策需满足的资格要求：</w:t>
      </w:r>
      <w:r>
        <w:rPr>
          <w:rFonts w:hint="eastAsia" w:ascii="宋体" w:hAnsi="宋体"/>
          <w:sz w:val="24"/>
          <w:szCs w:val="24"/>
          <w:highlight w:val="none"/>
        </w:rPr>
        <w:t>本项目为专门面向中小企业采购的项目，供应商须为中小微企业、监狱企业、残疾人福利性单位（须提供中小企业或残疾人福利性、监狱单位证明原件）。非中小型企业参与本项目投标，将做无效标处理。</w:t>
      </w:r>
    </w:p>
    <w:p>
      <w:pPr>
        <w:spacing w:line="336" w:lineRule="auto"/>
        <w:ind w:firstLine="480" w:firstLineChars="200"/>
        <w:rPr>
          <w:rFonts w:ascii="宋体" w:hAnsi="宋体" w:cs="宋体"/>
          <w:sz w:val="24"/>
          <w:szCs w:val="24"/>
          <w:highlight w:val="none"/>
        </w:rPr>
      </w:pPr>
      <w:r>
        <w:rPr>
          <w:rFonts w:hint="eastAsia" w:ascii="宋体" w:hAnsi="宋体" w:cs="宋体"/>
          <w:sz w:val="24"/>
          <w:szCs w:val="24"/>
          <w:highlight w:val="none"/>
        </w:rPr>
        <w:t>3.本项目的特定资格要求：</w:t>
      </w:r>
      <w:bookmarkStart w:id="16" w:name="_Toc35393792"/>
      <w:bookmarkStart w:id="17" w:name="_Toc35393623"/>
    </w:p>
    <w:p>
      <w:pPr>
        <w:spacing w:line="336" w:lineRule="auto"/>
        <w:ind w:firstLine="480" w:firstLineChars="200"/>
        <w:rPr>
          <w:rFonts w:ascii="宋体" w:hAnsi="宋体" w:cs="宋体"/>
          <w:sz w:val="24"/>
          <w:szCs w:val="24"/>
          <w:highlight w:val="none"/>
        </w:rPr>
      </w:pPr>
      <w:r>
        <w:rPr>
          <w:rFonts w:hint="eastAsia" w:ascii="宋体" w:hAnsi="宋体" w:cs="宋体"/>
          <w:sz w:val="24"/>
          <w:szCs w:val="24"/>
          <w:highlight w:val="none"/>
        </w:rPr>
        <w:t>（1）企业具有建筑工程施工总承包三级（含）以上资质（提供资质证书复印件并加盖公章）</w:t>
      </w:r>
    </w:p>
    <w:p>
      <w:pPr>
        <w:spacing w:line="336" w:lineRule="auto"/>
        <w:ind w:firstLine="480" w:firstLineChars="200"/>
        <w:rPr>
          <w:rFonts w:ascii="宋体" w:hAnsi="宋体" w:cs="宋体"/>
          <w:sz w:val="24"/>
          <w:szCs w:val="24"/>
          <w:highlight w:val="none"/>
        </w:rPr>
      </w:pPr>
      <w:r>
        <w:rPr>
          <w:rFonts w:hint="eastAsia" w:ascii="宋体" w:hAnsi="宋体" w:cs="宋体"/>
          <w:sz w:val="24"/>
          <w:szCs w:val="24"/>
          <w:highlight w:val="none"/>
        </w:rPr>
        <w:t>（2）项目负责人具有注册建造师证建筑工程二级（含）以上并具有有效的安全生产考核合格证书（B类证）,提供投标人为其缴纳的2021年11月-2022年4月的社会保险证明，须有社保中心章或社保中心参保缴费证明电子专用章，如投标单位因疫情迟缴或免缴社保可提供由社保中心出具的证明（疫情防控期间建设工程企业资质证书有效期延期和注册执业人员注册证书（含安全生产考核合格证书B类）有效期延期执行国家及省、市相关文件规定 ）</w:t>
      </w:r>
    </w:p>
    <w:p>
      <w:pPr>
        <w:spacing w:line="336" w:lineRule="auto"/>
        <w:ind w:firstLine="480" w:firstLineChars="200"/>
        <w:rPr>
          <w:rFonts w:ascii="宋体" w:hAnsi="宋体" w:cs="宋体"/>
          <w:sz w:val="24"/>
          <w:szCs w:val="24"/>
          <w:highlight w:val="none"/>
        </w:rPr>
      </w:pPr>
      <w:r>
        <w:rPr>
          <w:rFonts w:hint="eastAsia" w:ascii="宋体" w:hAnsi="宋体" w:cs="宋体"/>
          <w:sz w:val="24"/>
          <w:szCs w:val="24"/>
          <w:highlight w:val="none"/>
        </w:rPr>
        <w:t>（3）企业具备安全生产条件，并取得安全生产许可证（疫情期间建筑业企业资质证书延期遵循《住房和城乡建设部办公厅关于建设工程企业资质延续有关事项的通知》相关规定）</w:t>
      </w:r>
    </w:p>
    <w:p>
      <w:pPr>
        <w:pStyle w:val="2"/>
        <w:spacing w:line="336" w:lineRule="auto"/>
        <w:ind w:left="0" w:leftChars="0" w:firstLine="480" w:firstLineChars="200"/>
        <w:rPr>
          <w:rFonts w:ascii="宋体" w:hAnsi="宋体" w:cs="宋体"/>
          <w:highlight w:val="none"/>
        </w:rPr>
      </w:pPr>
      <w:r>
        <w:rPr>
          <w:rFonts w:hint="eastAsia" w:ascii="宋体" w:hAnsi="宋体" w:cs="宋体"/>
          <w:sz w:val="24"/>
          <w:szCs w:val="24"/>
          <w:highlight w:val="none"/>
        </w:rPr>
        <w:t xml:space="preserve">（4）疫情防控期间建设工程企业资质证书有效期延期和注册执业人员注册证书（含安全生产考核合格证书B类）有效期延期执行国家及省、市相关文件规定。 </w:t>
      </w:r>
    </w:p>
    <w:p>
      <w:pPr>
        <w:spacing w:line="336" w:lineRule="auto"/>
        <w:ind w:firstLine="480" w:firstLineChars="200"/>
        <w:rPr>
          <w:rFonts w:ascii="宋体" w:hAnsi="宋体" w:cs="宋体"/>
          <w:sz w:val="24"/>
          <w:szCs w:val="24"/>
          <w:highlight w:val="none"/>
        </w:rPr>
      </w:pPr>
      <w:r>
        <w:rPr>
          <w:rFonts w:hint="eastAsia" w:ascii="宋体" w:hAnsi="宋体" w:cs="宋体"/>
          <w:sz w:val="24"/>
          <w:szCs w:val="24"/>
          <w:highlight w:val="none"/>
        </w:rPr>
        <w:t>4、拒绝下述条件的供应商参加本次采购活动：</w:t>
      </w:r>
    </w:p>
    <w:p>
      <w:pPr>
        <w:spacing w:line="336" w:lineRule="auto"/>
        <w:ind w:firstLine="480" w:firstLineChars="200"/>
        <w:rPr>
          <w:rFonts w:ascii="宋体" w:hAnsi="宋体" w:cs="宋体"/>
          <w:sz w:val="24"/>
          <w:szCs w:val="24"/>
          <w:highlight w:val="none"/>
        </w:rPr>
      </w:pPr>
      <w:r>
        <w:rPr>
          <w:rFonts w:hint="eastAsia" w:ascii="宋体" w:hAnsi="宋体" w:cs="宋体"/>
          <w:sz w:val="24"/>
          <w:szCs w:val="24"/>
          <w:highlight w:val="none"/>
        </w:rPr>
        <w:t>（1）单位负责人为同一人或者存在直接控股、管理关系的不同供应商，不得参加同一合同项下的政府采购活动（提供承诺函加盖公章）；</w:t>
      </w:r>
    </w:p>
    <w:p>
      <w:pPr>
        <w:spacing w:line="336" w:lineRule="auto"/>
        <w:ind w:firstLine="480" w:firstLineChars="200"/>
        <w:rPr>
          <w:rFonts w:ascii="宋体" w:hAnsi="宋体" w:cs="宋体"/>
          <w:sz w:val="24"/>
          <w:szCs w:val="24"/>
          <w:highlight w:val="none"/>
        </w:rPr>
      </w:pPr>
      <w:r>
        <w:rPr>
          <w:rFonts w:hint="eastAsia" w:ascii="宋体" w:hAnsi="宋体" w:cs="宋体"/>
          <w:sz w:val="24"/>
          <w:szCs w:val="24"/>
          <w:highlight w:val="none"/>
        </w:rPr>
        <w:t>（2）为采购项目提供整体设计、规范编制、项目实施单位或者项目管理、监理等服务的供应商，不得再参加该采购项目的其他采购活动；</w:t>
      </w:r>
    </w:p>
    <w:p>
      <w:pPr>
        <w:spacing w:line="336" w:lineRule="auto"/>
        <w:ind w:firstLine="480" w:firstLineChars="200"/>
        <w:rPr>
          <w:rFonts w:ascii="宋体" w:hAnsi="宋体" w:cs="宋体"/>
          <w:sz w:val="24"/>
          <w:szCs w:val="24"/>
          <w:highlight w:val="none"/>
        </w:rPr>
      </w:pPr>
      <w:r>
        <w:rPr>
          <w:rFonts w:hint="eastAsia" w:ascii="宋体" w:hAnsi="宋体" w:cs="宋体"/>
          <w:sz w:val="24"/>
          <w:szCs w:val="24"/>
          <w:highlight w:val="none"/>
        </w:rPr>
        <w:t>（3）拒绝列入失信被执行人、重大税收违法案件当事人名单、政府采购严重违法失信行为记录名单的供应商参与政府采购活动。采购代理机构在供应商购买采购文件时，通过“信用中国”网站(</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INCLUDEPICTURE \d "C:\\Users\\Administrator\\AppData\\Roaming\\Tencent\\QQTempSys\\%W@GJ$ACOF(TYDYECOKVDYB.png" \* MERGEFORMATINET </w:instrText>
      </w:r>
      <w:r>
        <w:rPr>
          <w:rFonts w:hint="eastAsia" w:ascii="宋体" w:hAnsi="宋体" w:cs="宋体"/>
          <w:sz w:val="24"/>
          <w:szCs w:val="24"/>
          <w:highlight w:val="none"/>
        </w:rPr>
        <w:fldChar w:fldCharType="separate"/>
      </w:r>
      <w:r>
        <w:rPr>
          <w:rFonts w:hint="eastAsia" w:ascii="宋体" w:hAnsi="宋体" w:cs="宋体"/>
          <w:sz w:val="24"/>
          <w:szCs w:val="24"/>
          <w:highlight w:val="none"/>
        </w:rPr>
        <w:drawing>
          <wp:inline distT="0" distB="0" distL="114300" distR="114300">
            <wp:extent cx="190500" cy="142875"/>
            <wp:effectExtent l="0" t="0" r="0" b="9525"/>
            <wp:docPr id="6" name="图片 1"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IMG_257"/>
                    <pic:cNvPicPr>
                      <a:picLocks noChangeAspect="1"/>
                    </pic:cNvPicPr>
                  </pic:nvPicPr>
                  <pic:blipFill>
                    <a:blip r:embed="rId7" cstate="print"/>
                    <a:stretch>
                      <a:fillRect/>
                    </a:stretch>
                  </pic:blipFill>
                  <pic:spPr>
                    <a:xfrm>
                      <a:off x="0" y="0"/>
                      <a:ext cx="190500" cy="142875"/>
                    </a:xfrm>
                    <a:prstGeom prst="rect">
                      <a:avLst/>
                    </a:prstGeom>
                    <a:noFill/>
                    <a:ln>
                      <a:noFill/>
                    </a:ln>
                  </pic:spPr>
                </pic:pic>
              </a:graphicData>
            </a:graphic>
          </wp:inline>
        </w:drawing>
      </w:r>
      <w:r>
        <w:rPr>
          <w:rFonts w:hint="eastAsia" w:ascii="宋体" w:hAnsi="宋体" w:cs="宋体"/>
          <w:sz w:val="24"/>
          <w:szCs w:val="24"/>
          <w:highlight w:val="none"/>
        </w:rPr>
        <w:fldChar w:fldCharType="end"/>
      </w:r>
      <w:r>
        <w:rPr>
          <w:rFonts w:hint="eastAsia" w:ascii="宋体" w:hAnsi="宋体" w:cs="宋体"/>
          <w:sz w:val="24"/>
          <w:szCs w:val="24"/>
          <w:highlight w:val="none"/>
        </w:rPr>
        <w:t>www.creditchina.gov.cn)、中国政府采购网(</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INCLUDEPICTURE \d "C:\\Users\\Administrator\\AppData\\Roaming\\Tencent\\QQTempSys\\%W@GJ$ACOF(TYDYECOKVDYB.png" \* MERGEFORMATINET </w:instrText>
      </w:r>
      <w:r>
        <w:rPr>
          <w:rFonts w:hint="eastAsia" w:ascii="宋体" w:hAnsi="宋体" w:cs="宋体"/>
          <w:sz w:val="24"/>
          <w:szCs w:val="24"/>
          <w:highlight w:val="none"/>
        </w:rPr>
        <w:fldChar w:fldCharType="separate"/>
      </w:r>
      <w:r>
        <w:rPr>
          <w:rFonts w:hint="eastAsia" w:ascii="宋体" w:hAnsi="宋体" w:cs="宋体"/>
          <w:sz w:val="24"/>
          <w:szCs w:val="24"/>
          <w:highlight w:val="none"/>
        </w:rPr>
        <w:drawing>
          <wp:inline distT="0" distB="0" distL="114300" distR="114300">
            <wp:extent cx="190500" cy="142875"/>
            <wp:effectExtent l="0" t="0" r="0" b="9525"/>
            <wp:docPr id="7"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IMG_257"/>
                    <pic:cNvPicPr>
                      <a:picLocks noChangeAspect="1"/>
                    </pic:cNvPicPr>
                  </pic:nvPicPr>
                  <pic:blipFill>
                    <a:blip r:embed="rId7" cstate="print"/>
                    <a:stretch>
                      <a:fillRect/>
                    </a:stretch>
                  </pic:blipFill>
                  <pic:spPr>
                    <a:xfrm>
                      <a:off x="0" y="0"/>
                      <a:ext cx="190500" cy="142875"/>
                    </a:xfrm>
                    <a:prstGeom prst="rect">
                      <a:avLst/>
                    </a:prstGeom>
                    <a:noFill/>
                    <a:ln>
                      <a:noFill/>
                    </a:ln>
                  </pic:spPr>
                </pic:pic>
              </a:graphicData>
            </a:graphic>
          </wp:inline>
        </w:drawing>
      </w:r>
      <w:r>
        <w:rPr>
          <w:rFonts w:hint="eastAsia" w:ascii="宋体" w:hAnsi="宋体" w:cs="宋体"/>
          <w:sz w:val="24"/>
          <w:szCs w:val="24"/>
          <w:highlight w:val="none"/>
        </w:rPr>
        <w:fldChar w:fldCharType="end"/>
      </w:r>
      <w:r>
        <w:rPr>
          <w:rFonts w:hint="eastAsia" w:ascii="宋体" w:hAnsi="宋体" w:cs="宋体"/>
          <w:sz w:val="24"/>
          <w:szCs w:val="24"/>
          <w:highlight w:val="none"/>
        </w:rPr>
        <w:t>www.ccgp.gov.cn) 等渠道查询供应商在采购公告发布之日前的信用记录并保存。</w:t>
      </w:r>
    </w:p>
    <w:p>
      <w:pPr>
        <w:spacing w:line="336" w:lineRule="auto"/>
        <w:ind w:firstLine="480" w:firstLineChars="200"/>
        <w:rPr>
          <w:rFonts w:ascii="宋体" w:hAnsi="宋体" w:cs="宋体"/>
          <w:sz w:val="24"/>
          <w:szCs w:val="24"/>
          <w:highlight w:val="none"/>
        </w:rPr>
      </w:pPr>
      <w:r>
        <w:rPr>
          <w:rFonts w:hint="eastAsia" w:ascii="宋体" w:hAnsi="宋体" w:cs="宋体"/>
          <w:sz w:val="24"/>
          <w:szCs w:val="24"/>
          <w:highlight w:val="none"/>
        </w:rPr>
        <w:t>5、是否接受进口产品：否</w:t>
      </w:r>
    </w:p>
    <w:p>
      <w:pPr>
        <w:spacing w:line="336" w:lineRule="auto"/>
        <w:ind w:firstLine="480" w:firstLineChars="200"/>
        <w:rPr>
          <w:rFonts w:ascii="宋体" w:hAnsi="宋体" w:cs="宋体"/>
          <w:sz w:val="24"/>
          <w:szCs w:val="24"/>
          <w:highlight w:val="none"/>
        </w:rPr>
      </w:pPr>
      <w:r>
        <w:rPr>
          <w:rFonts w:hint="eastAsia" w:ascii="宋体" w:hAnsi="宋体" w:cs="宋体"/>
          <w:sz w:val="24"/>
          <w:szCs w:val="24"/>
          <w:highlight w:val="none"/>
        </w:rPr>
        <w:t>6、本次项目不接受联合体供应商。</w:t>
      </w:r>
    </w:p>
    <w:p>
      <w:pPr>
        <w:pStyle w:val="5"/>
        <w:spacing w:before="0" w:after="0" w:line="336" w:lineRule="auto"/>
        <w:ind w:firstLine="482" w:firstLineChars="200"/>
        <w:rPr>
          <w:rFonts w:ascii="宋体" w:hAnsi="宋体" w:eastAsia="宋体" w:cs="宋体"/>
          <w:sz w:val="24"/>
          <w:szCs w:val="24"/>
          <w:highlight w:val="none"/>
        </w:rPr>
      </w:pPr>
      <w:r>
        <w:rPr>
          <w:rFonts w:hint="eastAsia" w:ascii="宋体" w:hAnsi="宋体" w:eastAsia="宋体" w:cs="宋体"/>
          <w:sz w:val="24"/>
          <w:szCs w:val="24"/>
          <w:highlight w:val="none"/>
        </w:rPr>
        <w:t>三、获取招标文件</w:t>
      </w:r>
      <w:bookmarkEnd w:id="14"/>
      <w:bookmarkEnd w:id="15"/>
      <w:bookmarkEnd w:id="16"/>
      <w:bookmarkEnd w:id="17"/>
    </w:p>
    <w:p>
      <w:pPr>
        <w:spacing w:line="336" w:lineRule="auto"/>
        <w:ind w:firstLine="540"/>
        <w:rPr>
          <w:rFonts w:ascii="宋体" w:hAnsi="宋体" w:cs="宋体"/>
          <w:sz w:val="24"/>
          <w:szCs w:val="24"/>
          <w:highlight w:val="none"/>
        </w:rPr>
      </w:pPr>
      <w:r>
        <w:rPr>
          <w:rFonts w:hint="eastAsia" w:ascii="宋体" w:hAnsi="宋体" w:cs="宋体"/>
          <w:sz w:val="24"/>
          <w:szCs w:val="24"/>
          <w:highlight w:val="none"/>
        </w:rPr>
        <w:t>时间：</w:t>
      </w:r>
      <w:r>
        <w:rPr>
          <w:rFonts w:hint="eastAsia" w:ascii="宋体" w:hAnsi="宋体" w:cs="宋体"/>
          <w:sz w:val="24"/>
          <w:szCs w:val="24"/>
          <w:highlight w:val="none"/>
          <w:u w:val="single"/>
        </w:rPr>
        <w:t>2022年</w:t>
      </w:r>
      <w:r>
        <w:rPr>
          <w:rFonts w:hint="eastAsia" w:ascii="宋体" w:hAnsi="宋体" w:cs="宋体"/>
          <w:sz w:val="24"/>
          <w:szCs w:val="24"/>
          <w:highlight w:val="none"/>
          <w:u w:val="single"/>
          <w:lang w:val="en-US" w:eastAsia="zh-CN"/>
        </w:rPr>
        <w:t>6</w:t>
      </w:r>
      <w:r>
        <w:rPr>
          <w:rFonts w:hint="eastAsia" w:ascii="宋体" w:hAnsi="宋体" w:cs="宋体"/>
          <w:sz w:val="24"/>
          <w:szCs w:val="24"/>
          <w:highlight w:val="none"/>
          <w:u w:val="single"/>
        </w:rPr>
        <w:t>月</w:t>
      </w:r>
      <w:r>
        <w:rPr>
          <w:rFonts w:hint="eastAsia" w:ascii="宋体" w:hAnsi="宋体" w:cs="宋体"/>
          <w:sz w:val="24"/>
          <w:szCs w:val="24"/>
          <w:highlight w:val="none"/>
          <w:u w:val="single"/>
          <w:lang w:val="en-US" w:eastAsia="zh-CN"/>
        </w:rPr>
        <w:t>9</w:t>
      </w:r>
      <w:r>
        <w:rPr>
          <w:rFonts w:hint="eastAsia" w:ascii="宋体" w:hAnsi="宋体" w:cs="宋体"/>
          <w:sz w:val="24"/>
          <w:szCs w:val="24"/>
          <w:highlight w:val="none"/>
          <w:u w:val="single"/>
        </w:rPr>
        <w:t>日</w:t>
      </w:r>
      <w:r>
        <w:rPr>
          <w:rFonts w:hint="eastAsia" w:ascii="宋体" w:hAnsi="宋体" w:cs="宋体"/>
          <w:sz w:val="24"/>
          <w:szCs w:val="24"/>
          <w:highlight w:val="none"/>
        </w:rPr>
        <w:t>至</w:t>
      </w:r>
      <w:r>
        <w:rPr>
          <w:rFonts w:hint="eastAsia" w:ascii="宋体" w:hAnsi="宋体" w:cs="宋体"/>
          <w:sz w:val="24"/>
          <w:szCs w:val="24"/>
          <w:highlight w:val="none"/>
          <w:u w:val="single"/>
        </w:rPr>
        <w:t>2022年</w:t>
      </w:r>
      <w:r>
        <w:rPr>
          <w:rFonts w:hint="eastAsia" w:ascii="宋体" w:hAnsi="宋体" w:cs="宋体"/>
          <w:sz w:val="24"/>
          <w:szCs w:val="24"/>
          <w:highlight w:val="none"/>
          <w:u w:val="single"/>
          <w:lang w:val="en-US" w:eastAsia="zh-CN"/>
        </w:rPr>
        <w:t>6</w:t>
      </w:r>
      <w:r>
        <w:rPr>
          <w:rFonts w:hint="eastAsia" w:ascii="宋体" w:hAnsi="宋体" w:cs="宋体"/>
          <w:sz w:val="24"/>
          <w:szCs w:val="24"/>
          <w:highlight w:val="none"/>
          <w:u w:val="single"/>
        </w:rPr>
        <w:t>月</w:t>
      </w:r>
      <w:r>
        <w:rPr>
          <w:rFonts w:hint="eastAsia" w:ascii="宋体" w:hAnsi="宋体" w:cs="宋体"/>
          <w:sz w:val="24"/>
          <w:szCs w:val="24"/>
          <w:highlight w:val="none"/>
          <w:u w:val="single"/>
          <w:lang w:val="en-US" w:eastAsia="zh-CN"/>
        </w:rPr>
        <w:t>15</w:t>
      </w:r>
      <w:r>
        <w:rPr>
          <w:rFonts w:hint="eastAsia" w:ascii="宋体" w:hAnsi="宋体" w:cs="宋体"/>
          <w:sz w:val="24"/>
          <w:szCs w:val="24"/>
          <w:highlight w:val="none"/>
          <w:u w:val="single"/>
        </w:rPr>
        <w:t>日</w:t>
      </w:r>
      <w:r>
        <w:rPr>
          <w:rFonts w:hint="eastAsia" w:ascii="宋体" w:hAnsi="宋体" w:cs="宋体"/>
          <w:sz w:val="24"/>
          <w:szCs w:val="24"/>
          <w:highlight w:val="none"/>
        </w:rPr>
        <w:t>，每天上午9：00至11：30，下午14：00至17：00（北京时间，法定节假日除外）</w:t>
      </w:r>
    </w:p>
    <w:p>
      <w:pPr>
        <w:spacing w:line="336" w:lineRule="auto"/>
        <w:ind w:firstLine="540"/>
        <w:rPr>
          <w:rFonts w:ascii="宋体" w:hAnsi="宋体" w:cs="宋体"/>
          <w:sz w:val="24"/>
          <w:szCs w:val="24"/>
          <w:highlight w:val="none"/>
          <w:u w:val="single"/>
        </w:rPr>
      </w:pPr>
      <w:r>
        <w:rPr>
          <w:rFonts w:hint="eastAsia" w:ascii="宋体" w:hAnsi="宋体" w:cs="宋体"/>
          <w:sz w:val="24"/>
          <w:szCs w:val="24"/>
          <w:highlight w:val="none"/>
        </w:rPr>
        <w:t>地点：南京金鼎工程造价评估有限责任公司（南京市鼓楼区虎踞北路41号）</w:t>
      </w:r>
    </w:p>
    <w:p>
      <w:pPr>
        <w:spacing w:line="336" w:lineRule="auto"/>
        <w:ind w:firstLine="540"/>
        <w:rPr>
          <w:rFonts w:ascii="宋体" w:hAnsi="宋体" w:cs="宋体"/>
          <w:sz w:val="24"/>
          <w:szCs w:val="24"/>
          <w:highlight w:val="none"/>
          <w:u w:val="single"/>
        </w:rPr>
      </w:pPr>
      <w:r>
        <w:rPr>
          <w:rFonts w:hint="eastAsia" w:ascii="宋体" w:hAnsi="宋体" w:cs="宋体"/>
          <w:sz w:val="24"/>
          <w:szCs w:val="24"/>
          <w:highlight w:val="none"/>
        </w:rPr>
        <w:t>方式：凡有意向参加投标者，请持营业执照副本复印件、单位介绍信或法定代表人授权委托书、本人身份证原件前来购买招标文件，售后不退。</w:t>
      </w:r>
    </w:p>
    <w:p>
      <w:pPr>
        <w:spacing w:line="336" w:lineRule="auto"/>
        <w:ind w:firstLine="540"/>
        <w:rPr>
          <w:rFonts w:ascii="宋体" w:hAnsi="宋体" w:cs="宋体"/>
          <w:sz w:val="24"/>
          <w:szCs w:val="24"/>
          <w:highlight w:val="none"/>
        </w:rPr>
      </w:pPr>
      <w:r>
        <w:rPr>
          <w:rFonts w:hint="eastAsia" w:ascii="宋体" w:hAnsi="宋体" w:cs="宋体"/>
          <w:sz w:val="24"/>
          <w:szCs w:val="24"/>
          <w:highlight w:val="none"/>
        </w:rPr>
        <w:t>售价：500元/份（现金）。</w:t>
      </w:r>
    </w:p>
    <w:p>
      <w:pPr>
        <w:pStyle w:val="5"/>
        <w:spacing w:before="0" w:after="0" w:line="336" w:lineRule="auto"/>
        <w:rPr>
          <w:rFonts w:ascii="宋体" w:hAnsi="宋体" w:eastAsia="宋体" w:cs="宋体"/>
          <w:sz w:val="24"/>
          <w:szCs w:val="24"/>
          <w:highlight w:val="none"/>
        </w:rPr>
      </w:pPr>
      <w:bookmarkStart w:id="18" w:name="_Toc28359005"/>
      <w:bookmarkStart w:id="19" w:name="_Toc28359082"/>
      <w:bookmarkStart w:id="20" w:name="_Toc35393624"/>
      <w:bookmarkStart w:id="21" w:name="_Toc35393793"/>
      <w:r>
        <w:rPr>
          <w:rFonts w:hint="eastAsia" w:ascii="宋体" w:hAnsi="宋体" w:eastAsia="宋体" w:cs="宋体"/>
          <w:sz w:val="24"/>
          <w:szCs w:val="24"/>
          <w:highlight w:val="none"/>
        </w:rPr>
        <w:t>四、提交投标文件</w:t>
      </w:r>
      <w:bookmarkEnd w:id="18"/>
      <w:bookmarkEnd w:id="19"/>
      <w:r>
        <w:rPr>
          <w:rFonts w:hint="eastAsia" w:ascii="宋体" w:hAnsi="宋体" w:eastAsia="宋体" w:cs="宋体"/>
          <w:sz w:val="24"/>
          <w:szCs w:val="24"/>
          <w:highlight w:val="none"/>
        </w:rPr>
        <w:t>截止时间、开标时间和地点</w:t>
      </w:r>
      <w:bookmarkEnd w:id="20"/>
      <w:bookmarkEnd w:id="21"/>
    </w:p>
    <w:p>
      <w:pPr>
        <w:spacing w:line="336" w:lineRule="auto"/>
        <w:ind w:firstLine="480" w:firstLineChars="200"/>
        <w:rPr>
          <w:rFonts w:ascii="宋体" w:hAnsi="宋体" w:cs="宋体"/>
          <w:bCs/>
          <w:sz w:val="24"/>
          <w:szCs w:val="24"/>
          <w:highlight w:val="none"/>
        </w:rPr>
      </w:pPr>
      <w:r>
        <w:rPr>
          <w:rFonts w:hint="eastAsia" w:ascii="宋体" w:hAnsi="宋体" w:cs="宋体"/>
          <w:bCs/>
          <w:sz w:val="24"/>
          <w:szCs w:val="24"/>
          <w:highlight w:val="none"/>
        </w:rPr>
        <w:t>提交投标文件截止时间、开标时间：</w:t>
      </w:r>
      <w:r>
        <w:rPr>
          <w:rFonts w:hint="eastAsia" w:ascii="宋体" w:hAnsi="宋体" w:cs="宋体"/>
          <w:sz w:val="24"/>
          <w:szCs w:val="24"/>
          <w:highlight w:val="none"/>
        </w:rPr>
        <w:t>2022年</w:t>
      </w:r>
      <w:r>
        <w:rPr>
          <w:rFonts w:hint="eastAsia" w:ascii="宋体" w:hAnsi="宋体" w:cs="宋体"/>
          <w:sz w:val="24"/>
          <w:szCs w:val="24"/>
          <w:highlight w:val="none"/>
          <w:lang w:val="en-US" w:eastAsia="zh-CN"/>
        </w:rPr>
        <w:t>6</w:t>
      </w:r>
      <w:r>
        <w:rPr>
          <w:rFonts w:hint="eastAsia" w:ascii="宋体" w:hAnsi="宋体" w:cs="宋体"/>
          <w:sz w:val="24"/>
          <w:szCs w:val="24"/>
          <w:highlight w:val="none"/>
        </w:rPr>
        <w:t>月</w:t>
      </w:r>
      <w:r>
        <w:rPr>
          <w:rFonts w:hint="eastAsia" w:ascii="宋体" w:hAnsi="宋体" w:cs="宋体"/>
          <w:sz w:val="24"/>
          <w:szCs w:val="24"/>
          <w:highlight w:val="none"/>
          <w:lang w:val="en-US" w:eastAsia="zh-CN"/>
        </w:rPr>
        <w:t>30</w:t>
      </w:r>
      <w:r>
        <w:rPr>
          <w:rFonts w:hint="eastAsia" w:ascii="宋体" w:hAnsi="宋体" w:cs="宋体"/>
          <w:sz w:val="24"/>
          <w:szCs w:val="24"/>
          <w:highlight w:val="none"/>
        </w:rPr>
        <w:t>日09：30分</w:t>
      </w:r>
      <w:r>
        <w:rPr>
          <w:rFonts w:hint="eastAsia" w:ascii="宋体" w:hAnsi="宋体" w:cs="宋体"/>
          <w:bCs/>
          <w:sz w:val="24"/>
          <w:szCs w:val="24"/>
          <w:highlight w:val="none"/>
        </w:rPr>
        <w:t>（北京时间）</w:t>
      </w:r>
    </w:p>
    <w:p>
      <w:pPr>
        <w:spacing w:line="336"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投标地点及开标地点：南京市鼓楼区虎踞北路41号三楼南京金鼎工程造价评估有限责任公司会议室 </w:t>
      </w:r>
    </w:p>
    <w:p>
      <w:pPr>
        <w:spacing w:line="360" w:lineRule="auto"/>
        <w:ind w:firstLine="482" w:firstLineChars="200"/>
        <w:rPr>
          <w:rFonts w:eastAsia="方正仿宋_GBK"/>
          <w:sz w:val="24"/>
          <w:szCs w:val="24"/>
          <w:highlight w:val="none"/>
        </w:rPr>
      </w:pPr>
      <w:r>
        <w:rPr>
          <w:rFonts w:hint="eastAsia" w:ascii="宋体" w:hAnsi="宋体" w:cs="宋体"/>
          <w:b/>
          <w:bCs/>
          <w:color w:val="000000"/>
          <w:sz w:val="24"/>
          <w:szCs w:val="24"/>
          <w:highlight w:val="none"/>
        </w:rPr>
        <w:t>✮因疫情防控需要，参会人员须出示48小时核酸检测阴性结果，且苏康码与行程码须为绿码。若不满足上述条件导致不能参加开标会所产生的后果由投标人自行承担。</w:t>
      </w:r>
    </w:p>
    <w:p>
      <w:pPr>
        <w:pStyle w:val="5"/>
        <w:spacing w:before="0" w:after="0" w:line="336" w:lineRule="auto"/>
        <w:rPr>
          <w:rFonts w:ascii="宋体" w:hAnsi="宋体" w:eastAsia="宋体" w:cs="宋体"/>
          <w:sz w:val="24"/>
          <w:szCs w:val="24"/>
          <w:highlight w:val="none"/>
        </w:rPr>
      </w:pPr>
      <w:bookmarkStart w:id="22" w:name="_Toc28359084"/>
      <w:bookmarkStart w:id="23" w:name="_Toc28359007"/>
      <w:bookmarkStart w:id="24" w:name="_Toc35393625"/>
      <w:bookmarkStart w:id="25" w:name="_Toc35393794"/>
      <w:r>
        <w:rPr>
          <w:rFonts w:hint="eastAsia" w:ascii="宋体" w:hAnsi="宋体" w:eastAsia="宋体" w:cs="宋体"/>
          <w:sz w:val="24"/>
          <w:szCs w:val="24"/>
          <w:highlight w:val="none"/>
        </w:rPr>
        <w:t>五、公告期限</w:t>
      </w:r>
      <w:bookmarkEnd w:id="22"/>
      <w:bookmarkEnd w:id="23"/>
      <w:bookmarkEnd w:id="24"/>
      <w:bookmarkEnd w:id="25"/>
    </w:p>
    <w:p>
      <w:pPr>
        <w:spacing w:line="336"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自本公告发布之日起5个工作日。</w:t>
      </w:r>
    </w:p>
    <w:p>
      <w:pPr>
        <w:pStyle w:val="5"/>
        <w:numPr>
          <w:ilvl w:val="0"/>
          <w:numId w:val="1"/>
        </w:numPr>
        <w:spacing w:before="0" w:after="0" w:line="336" w:lineRule="auto"/>
        <w:rPr>
          <w:rFonts w:ascii="宋体" w:hAnsi="宋体" w:eastAsia="宋体" w:cs="宋体"/>
          <w:sz w:val="24"/>
          <w:szCs w:val="24"/>
          <w:highlight w:val="none"/>
        </w:rPr>
      </w:pPr>
      <w:bookmarkStart w:id="26" w:name="_Toc35393626"/>
      <w:bookmarkStart w:id="27" w:name="_Toc35393795"/>
      <w:r>
        <w:rPr>
          <w:rFonts w:hint="eastAsia" w:ascii="宋体" w:hAnsi="宋体" w:eastAsia="宋体" w:cs="宋体"/>
          <w:sz w:val="24"/>
          <w:szCs w:val="24"/>
          <w:highlight w:val="none"/>
        </w:rPr>
        <w:t>其他补充事宜</w:t>
      </w:r>
      <w:bookmarkEnd w:id="26"/>
      <w:bookmarkEnd w:id="27"/>
    </w:p>
    <w:p>
      <w:pPr>
        <w:spacing w:line="336" w:lineRule="auto"/>
        <w:ind w:firstLine="480" w:firstLineChars="200"/>
        <w:rPr>
          <w:rFonts w:ascii="宋体" w:hAnsi="宋体" w:cs="宋体"/>
          <w:bCs/>
          <w:sz w:val="24"/>
          <w:szCs w:val="24"/>
          <w:highlight w:val="none"/>
        </w:rPr>
      </w:pPr>
      <w:r>
        <w:rPr>
          <w:rFonts w:hint="eastAsia" w:ascii="宋体" w:hAnsi="宋体" w:cs="宋体"/>
          <w:bCs/>
          <w:sz w:val="24"/>
          <w:szCs w:val="24"/>
          <w:highlight w:val="none"/>
        </w:rPr>
        <w:t>1、本公告在中国政府采购网、 中国药科大学招投标办公室网站发布。</w:t>
      </w:r>
    </w:p>
    <w:p>
      <w:pPr>
        <w:spacing w:line="336" w:lineRule="auto"/>
        <w:ind w:firstLine="480" w:firstLineChars="200"/>
        <w:rPr>
          <w:rFonts w:ascii="宋体" w:hAnsi="宋体" w:cs="宋体"/>
          <w:bCs/>
          <w:sz w:val="24"/>
          <w:szCs w:val="24"/>
          <w:highlight w:val="none"/>
        </w:rPr>
      </w:pPr>
      <w:r>
        <w:rPr>
          <w:rFonts w:hint="eastAsia" w:ascii="宋体" w:hAnsi="宋体" w:cs="宋体"/>
          <w:bCs/>
          <w:sz w:val="24"/>
          <w:szCs w:val="24"/>
          <w:highlight w:val="none"/>
        </w:rPr>
        <w:t>2、采购项目需要落实的政府采购政策： 节约能源、保护环境、扶持不发达地区和少数民族 地区、促进中小企业发展、支持监狱企业发展、促进残疾人就业、政府采购信用担保等。</w:t>
      </w:r>
    </w:p>
    <w:p>
      <w:pPr>
        <w:spacing w:line="336" w:lineRule="auto"/>
        <w:ind w:firstLine="480" w:firstLineChars="200"/>
        <w:rPr>
          <w:rFonts w:ascii="宋体" w:hAnsi="宋体" w:cs="宋体"/>
          <w:bCs/>
          <w:sz w:val="24"/>
          <w:szCs w:val="24"/>
          <w:highlight w:val="none"/>
        </w:rPr>
      </w:pPr>
      <w:bookmarkStart w:id="28" w:name="_Toc35393796"/>
      <w:bookmarkStart w:id="29" w:name="_Toc35393627"/>
      <w:bookmarkStart w:id="30" w:name="_Toc28359008"/>
      <w:bookmarkStart w:id="31" w:name="_Toc28359085"/>
      <w:r>
        <w:rPr>
          <w:rFonts w:hint="eastAsia" w:ascii="宋体" w:hAnsi="宋体" w:cs="宋体"/>
          <w:bCs/>
          <w:sz w:val="24"/>
          <w:szCs w:val="24"/>
          <w:highlight w:val="none"/>
        </w:rPr>
        <w:t>3、以上公告内容若有变更将通过原招标公告媒体发布，投标申请人应在投标截止时间前关注原招标公告媒体有关本招标项目有无变更公告。如未及时关注本网站公告导致误投标，其责任由投标申请人自行承担。</w:t>
      </w:r>
    </w:p>
    <w:p>
      <w:pPr>
        <w:pStyle w:val="5"/>
        <w:spacing w:before="0" w:after="0" w:line="336" w:lineRule="auto"/>
        <w:rPr>
          <w:rFonts w:ascii="宋体" w:hAnsi="宋体" w:eastAsia="宋体" w:cs="宋体"/>
          <w:sz w:val="24"/>
          <w:szCs w:val="24"/>
          <w:highlight w:val="none"/>
        </w:rPr>
      </w:pPr>
      <w:r>
        <w:rPr>
          <w:rFonts w:hint="eastAsia" w:ascii="宋体" w:hAnsi="宋体" w:eastAsia="宋体" w:cs="宋体"/>
          <w:sz w:val="24"/>
          <w:szCs w:val="24"/>
          <w:highlight w:val="none"/>
        </w:rPr>
        <w:t>七、对本次招标提出询问，请按以下方式联系。</w:t>
      </w:r>
      <w:bookmarkEnd w:id="28"/>
      <w:bookmarkEnd w:id="29"/>
      <w:bookmarkEnd w:id="30"/>
      <w:bookmarkEnd w:id="31"/>
    </w:p>
    <w:p>
      <w:pPr>
        <w:widowControl/>
        <w:spacing w:line="336" w:lineRule="auto"/>
        <w:jc w:val="left"/>
        <w:rPr>
          <w:rFonts w:ascii="宋体" w:hAnsi="宋体" w:cs="宋体"/>
          <w:sz w:val="24"/>
          <w:szCs w:val="24"/>
          <w:highlight w:val="none"/>
        </w:rPr>
      </w:pPr>
      <w:r>
        <w:rPr>
          <w:rFonts w:hint="eastAsia" w:ascii="宋体" w:hAnsi="宋体" w:cs="宋体"/>
          <w:sz w:val="24"/>
          <w:szCs w:val="24"/>
          <w:highlight w:val="none"/>
        </w:rPr>
        <w:t>1.采购人信息</w:t>
      </w:r>
    </w:p>
    <w:p>
      <w:pPr>
        <w:spacing w:line="336" w:lineRule="auto"/>
        <w:jc w:val="left"/>
        <w:rPr>
          <w:rFonts w:ascii="宋体" w:hAnsi="宋体" w:cs="宋体"/>
          <w:sz w:val="24"/>
          <w:szCs w:val="24"/>
          <w:highlight w:val="none"/>
        </w:rPr>
      </w:pPr>
      <w:r>
        <w:rPr>
          <w:rFonts w:hint="eastAsia" w:ascii="宋体" w:hAnsi="宋体" w:cs="宋体"/>
          <w:sz w:val="24"/>
          <w:szCs w:val="24"/>
          <w:highlight w:val="none"/>
        </w:rPr>
        <w:t>名 称：中国药科大学</w:t>
      </w:r>
    </w:p>
    <w:p>
      <w:pPr>
        <w:spacing w:line="336" w:lineRule="auto"/>
        <w:jc w:val="left"/>
        <w:rPr>
          <w:rFonts w:ascii="宋体" w:hAnsi="宋体" w:cs="宋体"/>
          <w:sz w:val="24"/>
          <w:szCs w:val="24"/>
          <w:highlight w:val="none"/>
        </w:rPr>
      </w:pPr>
      <w:r>
        <w:rPr>
          <w:rFonts w:hint="eastAsia" w:ascii="宋体" w:hAnsi="宋体" w:cs="宋体"/>
          <w:sz w:val="24"/>
          <w:szCs w:val="24"/>
          <w:highlight w:val="none"/>
        </w:rPr>
        <w:t>地址：南京市江宁区龙眠大道639号</w:t>
      </w:r>
    </w:p>
    <w:p>
      <w:pPr>
        <w:spacing w:line="336" w:lineRule="auto"/>
        <w:jc w:val="left"/>
        <w:rPr>
          <w:rFonts w:ascii="宋体" w:hAnsi="宋体" w:cs="宋体"/>
          <w:sz w:val="24"/>
          <w:szCs w:val="24"/>
          <w:highlight w:val="none"/>
          <w:u w:val="single"/>
        </w:rPr>
      </w:pPr>
      <w:r>
        <w:rPr>
          <w:rFonts w:hint="eastAsia" w:ascii="宋体" w:hAnsi="宋体" w:cs="宋体"/>
          <w:sz w:val="24"/>
          <w:szCs w:val="24"/>
          <w:highlight w:val="none"/>
        </w:rPr>
        <w:t>联系方式：</w:t>
      </w:r>
      <w:bookmarkStart w:id="32" w:name="_Toc28359086"/>
      <w:bookmarkStart w:id="33" w:name="_Toc28359009"/>
      <w:r>
        <w:rPr>
          <w:rFonts w:hint="eastAsia" w:ascii="宋体" w:hAnsi="宋体" w:cs="宋体"/>
          <w:sz w:val="24"/>
          <w:szCs w:val="24"/>
          <w:highlight w:val="none"/>
        </w:rPr>
        <w:t>025-86185029</w:t>
      </w:r>
    </w:p>
    <w:p>
      <w:pPr>
        <w:spacing w:line="336" w:lineRule="auto"/>
        <w:jc w:val="left"/>
        <w:rPr>
          <w:rFonts w:ascii="宋体" w:hAnsi="宋体" w:cs="宋体"/>
          <w:sz w:val="24"/>
          <w:szCs w:val="24"/>
          <w:highlight w:val="none"/>
        </w:rPr>
      </w:pPr>
      <w:r>
        <w:rPr>
          <w:rFonts w:hint="eastAsia" w:ascii="宋体" w:hAnsi="宋体" w:cs="宋体"/>
          <w:sz w:val="24"/>
          <w:szCs w:val="24"/>
          <w:highlight w:val="none"/>
        </w:rPr>
        <w:t>2.采购代理机构信息</w:t>
      </w:r>
      <w:bookmarkEnd w:id="32"/>
      <w:bookmarkEnd w:id="33"/>
    </w:p>
    <w:p>
      <w:pPr>
        <w:spacing w:line="336" w:lineRule="auto"/>
        <w:rPr>
          <w:rFonts w:ascii="宋体" w:hAnsi="宋体" w:cs="宋体"/>
          <w:sz w:val="24"/>
          <w:szCs w:val="24"/>
          <w:highlight w:val="none"/>
        </w:rPr>
      </w:pPr>
      <w:bookmarkStart w:id="34" w:name="_Toc28359087"/>
      <w:bookmarkStart w:id="35" w:name="_Toc28359010"/>
      <w:r>
        <w:rPr>
          <w:rFonts w:hint="eastAsia" w:ascii="宋体" w:hAnsi="宋体" w:cs="宋体"/>
          <w:sz w:val="24"/>
          <w:szCs w:val="24"/>
          <w:highlight w:val="none"/>
        </w:rPr>
        <w:t>名    称：南京金鼎工程造价评估有限责任公司</w:t>
      </w:r>
    </w:p>
    <w:p>
      <w:pPr>
        <w:spacing w:line="336" w:lineRule="auto"/>
        <w:rPr>
          <w:rFonts w:ascii="宋体" w:hAnsi="宋体" w:cs="宋体"/>
          <w:sz w:val="24"/>
          <w:szCs w:val="24"/>
          <w:highlight w:val="none"/>
        </w:rPr>
      </w:pPr>
      <w:r>
        <w:rPr>
          <w:rFonts w:hint="eastAsia" w:ascii="宋体" w:hAnsi="宋体" w:cs="宋体"/>
          <w:sz w:val="24"/>
          <w:szCs w:val="24"/>
          <w:highlight w:val="none"/>
        </w:rPr>
        <w:t>地　  址：南京市鼓楼区虎踞北路41号</w:t>
      </w:r>
    </w:p>
    <w:p>
      <w:pPr>
        <w:spacing w:line="336" w:lineRule="auto"/>
        <w:rPr>
          <w:rFonts w:ascii="宋体" w:hAnsi="宋体" w:cs="宋体"/>
          <w:sz w:val="24"/>
          <w:szCs w:val="24"/>
          <w:highlight w:val="none"/>
        </w:rPr>
      </w:pPr>
      <w:r>
        <w:rPr>
          <w:rFonts w:hint="eastAsia" w:ascii="宋体" w:hAnsi="宋体" w:cs="宋体"/>
          <w:sz w:val="24"/>
          <w:szCs w:val="24"/>
          <w:highlight w:val="none"/>
        </w:rPr>
        <w:t>联系方式：程澄，025-83476186</w:t>
      </w:r>
    </w:p>
    <w:p>
      <w:pPr>
        <w:pStyle w:val="14"/>
        <w:spacing w:before="0" w:after="0" w:line="360" w:lineRule="auto"/>
        <w:rPr>
          <w:rFonts w:ascii="宋体" w:hAnsi="宋体" w:cs="宋体"/>
          <w:b w:val="0"/>
          <w:bCs/>
          <w:sz w:val="24"/>
          <w:szCs w:val="24"/>
          <w:highlight w:val="none"/>
        </w:rPr>
      </w:pPr>
      <w:r>
        <w:rPr>
          <w:rFonts w:hint="eastAsia" w:ascii="宋体" w:hAnsi="宋体" w:eastAsia="宋体" w:cs="宋体"/>
          <w:b w:val="0"/>
          <w:sz w:val="24"/>
          <w:szCs w:val="24"/>
          <w:highlight w:val="none"/>
        </w:rPr>
        <w:t>邮编</w:t>
      </w:r>
      <w:r>
        <w:rPr>
          <w:rFonts w:hint="eastAsia" w:ascii="宋体" w:hAnsi="宋体" w:cs="宋体"/>
          <w:b w:val="0"/>
          <w:bCs/>
          <w:sz w:val="24"/>
          <w:szCs w:val="24"/>
          <w:highlight w:val="none"/>
        </w:rPr>
        <w:t>：210003</w:t>
      </w:r>
    </w:p>
    <w:p>
      <w:pPr>
        <w:spacing w:line="360" w:lineRule="auto"/>
        <w:rPr>
          <w:highlight w:val="none"/>
        </w:rPr>
      </w:pPr>
      <w:r>
        <w:rPr>
          <w:rFonts w:hint="eastAsia" w:ascii="宋体" w:hAnsi="宋体" w:cs="宋体"/>
          <w:bCs/>
          <w:sz w:val="24"/>
          <w:szCs w:val="24"/>
          <w:highlight w:val="none"/>
        </w:rPr>
        <w:t>Email：156451758@qq.com</w:t>
      </w:r>
    </w:p>
    <w:bookmarkEnd w:id="34"/>
    <w:bookmarkEnd w:id="35"/>
    <w:p>
      <w:pPr>
        <w:spacing w:line="360" w:lineRule="auto"/>
        <w:rPr>
          <w:rFonts w:ascii="宋体" w:hAnsi="宋体" w:cs="宋体"/>
          <w:sz w:val="32"/>
          <w:szCs w:val="32"/>
          <w:highlight w:val="none"/>
        </w:rPr>
      </w:pPr>
      <w:r>
        <w:rPr>
          <w:rFonts w:hint="eastAsia" w:ascii="宋体" w:hAnsi="宋体" w:cs="宋体"/>
          <w:sz w:val="32"/>
          <w:szCs w:val="32"/>
          <w:highlight w:val="none"/>
        </w:rPr>
        <w:br w:type="page"/>
      </w:r>
    </w:p>
    <w:p>
      <w:pPr>
        <w:pStyle w:val="12"/>
        <w:tabs>
          <w:tab w:val="left" w:pos="0"/>
          <w:tab w:val="left" w:pos="3165"/>
          <w:tab w:val="center" w:pos="4153"/>
        </w:tabs>
        <w:autoSpaceDE w:val="0"/>
        <w:autoSpaceDN w:val="0"/>
        <w:adjustRightInd w:val="0"/>
        <w:spacing w:before="0" w:after="0" w:line="360" w:lineRule="auto"/>
        <w:jc w:val="center"/>
        <w:rPr>
          <w:rFonts w:ascii="宋体" w:hAnsi="宋体" w:cs="宋体"/>
          <w:sz w:val="32"/>
          <w:szCs w:val="32"/>
          <w:highlight w:val="none"/>
        </w:rPr>
      </w:pPr>
      <w:bookmarkStart w:id="36" w:name="_Toc30756"/>
      <w:r>
        <w:rPr>
          <w:rFonts w:hint="eastAsia" w:ascii="宋体" w:hAnsi="宋体" w:cs="宋体"/>
          <w:sz w:val="32"/>
          <w:szCs w:val="32"/>
          <w:highlight w:val="none"/>
        </w:rPr>
        <w:t>第二章 供应商须知</w:t>
      </w:r>
      <w:bookmarkEnd w:id="36"/>
    </w:p>
    <w:p>
      <w:pPr>
        <w:pStyle w:val="6"/>
        <w:spacing w:line="300" w:lineRule="exact"/>
        <w:ind w:left="0" w:firstLine="0"/>
        <w:jc w:val="both"/>
        <w:rPr>
          <w:rFonts w:ascii="宋体" w:hAnsi="宋体" w:cs="宋体"/>
          <w:kern w:val="0"/>
          <w:sz w:val="24"/>
          <w:szCs w:val="24"/>
          <w:highlight w:val="none"/>
        </w:rPr>
      </w:pPr>
      <w:r>
        <w:rPr>
          <w:rFonts w:hint="eastAsia" w:ascii="宋体" w:hAnsi="宋体" w:cs="宋体"/>
          <w:kern w:val="0"/>
          <w:sz w:val="24"/>
          <w:szCs w:val="24"/>
          <w:highlight w:val="none"/>
        </w:rPr>
        <w:t>供应商须知前附表与正文内容相抵触的，以正文为准。</w:t>
      </w:r>
    </w:p>
    <w:tbl>
      <w:tblPr>
        <w:tblStyle w:val="26"/>
        <w:tblW w:w="96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6"/>
        <w:gridCol w:w="1789"/>
        <w:gridCol w:w="6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6" w:type="dxa"/>
            <w:vAlign w:val="center"/>
          </w:tcPr>
          <w:p>
            <w:pPr>
              <w:spacing w:line="312" w:lineRule="auto"/>
              <w:jc w:val="center"/>
              <w:rPr>
                <w:rFonts w:ascii="宋体" w:hAnsi="宋体" w:cs="宋体"/>
                <w:b/>
                <w:sz w:val="24"/>
                <w:szCs w:val="24"/>
                <w:highlight w:val="none"/>
              </w:rPr>
            </w:pPr>
            <w:r>
              <w:rPr>
                <w:rFonts w:hint="eastAsia" w:ascii="宋体" w:hAnsi="宋体" w:cs="宋体"/>
                <w:b/>
                <w:sz w:val="24"/>
                <w:szCs w:val="24"/>
                <w:highlight w:val="none"/>
              </w:rPr>
              <w:t>序号</w:t>
            </w:r>
          </w:p>
        </w:tc>
        <w:tc>
          <w:tcPr>
            <w:tcW w:w="1789" w:type="dxa"/>
            <w:vAlign w:val="center"/>
          </w:tcPr>
          <w:p>
            <w:pPr>
              <w:spacing w:line="312" w:lineRule="auto"/>
              <w:jc w:val="center"/>
              <w:rPr>
                <w:rFonts w:ascii="宋体" w:hAnsi="宋体" w:cs="宋体"/>
                <w:b/>
                <w:sz w:val="24"/>
                <w:szCs w:val="24"/>
                <w:highlight w:val="none"/>
              </w:rPr>
            </w:pPr>
            <w:r>
              <w:rPr>
                <w:rFonts w:hint="eastAsia" w:ascii="宋体" w:hAnsi="宋体" w:cs="宋体"/>
                <w:b/>
                <w:sz w:val="24"/>
                <w:szCs w:val="24"/>
                <w:highlight w:val="none"/>
              </w:rPr>
              <w:t>名 称</w:t>
            </w:r>
          </w:p>
        </w:tc>
        <w:tc>
          <w:tcPr>
            <w:tcW w:w="6960" w:type="dxa"/>
            <w:vAlign w:val="center"/>
          </w:tcPr>
          <w:p>
            <w:pPr>
              <w:spacing w:line="312" w:lineRule="auto"/>
              <w:jc w:val="center"/>
              <w:rPr>
                <w:rFonts w:ascii="宋体" w:hAnsi="宋体" w:cs="宋体"/>
                <w:b/>
                <w:sz w:val="24"/>
                <w:szCs w:val="24"/>
                <w:highlight w:val="none"/>
              </w:rPr>
            </w:pPr>
            <w:r>
              <w:rPr>
                <w:rFonts w:hint="eastAsia" w:ascii="宋体" w:hAnsi="宋体" w:cs="宋体"/>
                <w:b/>
                <w:sz w:val="24"/>
                <w:szCs w:val="24"/>
                <w:highlight w:val="none"/>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6" w:type="dxa"/>
            <w:vAlign w:val="center"/>
          </w:tcPr>
          <w:p>
            <w:pPr>
              <w:widowControl/>
              <w:spacing w:line="312" w:lineRule="auto"/>
              <w:jc w:val="center"/>
              <w:rPr>
                <w:rFonts w:ascii="宋体" w:hAnsi="宋体" w:cs="宋体"/>
                <w:sz w:val="24"/>
                <w:szCs w:val="24"/>
                <w:highlight w:val="none"/>
              </w:rPr>
            </w:pPr>
            <w:r>
              <w:rPr>
                <w:rFonts w:hint="eastAsia" w:ascii="宋体" w:hAnsi="宋体" w:cs="宋体"/>
                <w:sz w:val="24"/>
                <w:szCs w:val="24"/>
                <w:highlight w:val="none"/>
              </w:rPr>
              <w:t>1</w:t>
            </w:r>
          </w:p>
        </w:tc>
        <w:tc>
          <w:tcPr>
            <w:tcW w:w="1789" w:type="dxa"/>
            <w:vAlign w:val="center"/>
          </w:tcPr>
          <w:p>
            <w:pPr>
              <w:widowControl/>
              <w:spacing w:line="312" w:lineRule="auto"/>
              <w:jc w:val="center"/>
              <w:rPr>
                <w:rFonts w:ascii="宋体" w:hAnsi="宋体" w:cs="宋体"/>
                <w:sz w:val="24"/>
                <w:szCs w:val="24"/>
                <w:highlight w:val="none"/>
              </w:rPr>
            </w:pPr>
            <w:r>
              <w:rPr>
                <w:rFonts w:hint="eastAsia" w:ascii="宋体" w:hAnsi="宋体" w:cs="宋体"/>
                <w:sz w:val="24"/>
                <w:szCs w:val="24"/>
                <w:highlight w:val="none"/>
              </w:rPr>
              <w:t>采购人</w:t>
            </w:r>
          </w:p>
        </w:tc>
        <w:tc>
          <w:tcPr>
            <w:tcW w:w="6960" w:type="dxa"/>
          </w:tcPr>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 xml:space="preserve">名  称：中国药科大学 </w:t>
            </w:r>
          </w:p>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地  址：南京市江宁区龙眠大道639号</w:t>
            </w:r>
          </w:p>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联系人：陆老师</w:t>
            </w:r>
          </w:p>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电  话：025-86185029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4" w:hRule="atLeast"/>
          <w:jc w:val="center"/>
        </w:trPr>
        <w:tc>
          <w:tcPr>
            <w:tcW w:w="856" w:type="dxa"/>
            <w:vAlign w:val="center"/>
          </w:tcPr>
          <w:p>
            <w:pPr>
              <w:widowControl/>
              <w:spacing w:line="312" w:lineRule="auto"/>
              <w:jc w:val="center"/>
              <w:rPr>
                <w:rFonts w:ascii="宋体" w:hAnsi="宋体" w:cs="宋体"/>
                <w:sz w:val="24"/>
                <w:szCs w:val="24"/>
                <w:highlight w:val="none"/>
              </w:rPr>
            </w:pPr>
            <w:r>
              <w:rPr>
                <w:rFonts w:hint="eastAsia" w:ascii="宋体" w:hAnsi="宋体" w:cs="宋体"/>
                <w:sz w:val="24"/>
                <w:szCs w:val="24"/>
                <w:highlight w:val="none"/>
              </w:rPr>
              <w:t>2</w:t>
            </w:r>
          </w:p>
        </w:tc>
        <w:tc>
          <w:tcPr>
            <w:tcW w:w="1789" w:type="dxa"/>
            <w:vAlign w:val="center"/>
          </w:tcPr>
          <w:p>
            <w:pPr>
              <w:widowControl/>
              <w:spacing w:line="312" w:lineRule="auto"/>
              <w:jc w:val="center"/>
              <w:rPr>
                <w:rFonts w:ascii="宋体" w:hAnsi="宋体" w:cs="宋体"/>
                <w:sz w:val="24"/>
                <w:szCs w:val="24"/>
                <w:highlight w:val="none"/>
              </w:rPr>
            </w:pPr>
            <w:r>
              <w:rPr>
                <w:rFonts w:hint="eastAsia" w:ascii="宋体" w:hAnsi="宋体" w:cs="宋体"/>
                <w:sz w:val="24"/>
                <w:szCs w:val="24"/>
                <w:highlight w:val="none"/>
              </w:rPr>
              <w:t>采购代理机构</w:t>
            </w:r>
          </w:p>
        </w:tc>
        <w:tc>
          <w:tcPr>
            <w:tcW w:w="6960" w:type="dxa"/>
            <w:vAlign w:val="center"/>
          </w:tcPr>
          <w:p>
            <w:pPr>
              <w:widowControl/>
              <w:spacing w:line="312" w:lineRule="auto"/>
              <w:rPr>
                <w:rFonts w:ascii="宋体" w:hAnsi="宋体" w:cs="宋体"/>
                <w:sz w:val="24"/>
                <w:szCs w:val="24"/>
                <w:highlight w:val="none"/>
              </w:rPr>
            </w:pPr>
            <w:r>
              <w:rPr>
                <w:rFonts w:hint="eastAsia" w:ascii="宋体" w:hAnsi="宋体" w:cs="宋体"/>
                <w:sz w:val="24"/>
                <w:szCs w:val="24"/>
                <w:highlight w:val="none"/>
              </w:rPr>
              <w:t>名  称：南京金鼎工程造价评估有限责任公司</w:t>
            </w:r>
          </w:p>
          <w:p>
            <w:pPr>
              <w:widowControl/>
              <w:spacing w:line="312" w:lineRule="auto"/>
              <w:rPr>
                <w:rFonts w:ascii="宋体" w:hAnsi="宋体" w:cs="宋体"/>
                <w:sz w:val="24"/>
                <w:szCs w:val="24"/>
                <w:highlight w:val="none"/>
              </w:rPr>
            </w:pPr>
            <w:r>
              <w:rPr>
                <w:rFonts w:hint="eastAsia" w:ascii="宋体" w:hAnsi="宋体" w:cs="宋体"/>
                <w:sz w:val="24"/>
                <w:szCs w:val="24"/>
                <w:highlight w:val="none"/>
              </w:rPr>
              <w:t>地  址：南京市鼓楼区虎踞北路41号</w:t>
            </w:r>
          </w:p>
          <w:p>
            <w:pPr>
              <w:widowControl/>
              <w:spacing w:line="312" w:lineRule="auto"/>
              <w:rPr>
                <w:rFonts w:ascii="宋体" w:hAnsi="宋体" w:cs="宋体"/>
                <w:sz w:val="24"/>
                <w:szCs w:val="24"/>
                <w:highlight w:val="none"/>
              </w:rPr>
            </w:pPr>
            <w:r>
              <w:rPr>
                <w:rFonts w:hint="eastAsia" w:ascii="宋体" w:hAnsi="宋体" w:cs="宋体"/>
                <w:sz w:val="24"/>
                <w:szCs w:val="24"/>
                <w:highlight w:val="none"/>
              </w:rPr>
              <w:t xml:space="preserve">联系人：程工 </w:t>
            </w:r>
          </w:p>
          <w:p>
            <w:pPr>
              <w:widowControl/>
              <w:spacing w:line="312" w:lineRule="auto"/>
              <w:rPr>
                <w:rFonts w:ascii="宋体" w:hAnsi="宋体" w:cs="宋体"/>
                <w:sz w:val="24"/>
                <w:szCs w:val="24"/>
                <w:highlight w:val="none"/>
              </w:rPr>
            </w:pPr>
            <w:r>
              <w:rPr>
                <w:rFonts w:hint="eastAsia" w:ascii="宋体" w:hAnsi="宋体" w:cs="宋体"/>
                <w:sz w:val="24"/>
                <w:szCs w:val="24"/>
                <w:highlight w:val="none"/>
              </w:rPr>
              <w:t>电  话：025-83476186</w:t>
            </w:r>
          </w:p>
          <w:p>
            <w:pPr>
              <w:widowControl/>
              <w:spacing w:line="312" w:lineRule="auto"/>
              <w:rPr>
                <w:rFonts w:ascii="宋体" w:hAnsi="宋体" w:cs="宋体"/>
                <w:sz w:val="24"/>
                <w:szCs w:val="24"/>
                <w:highlight w:val="none"/>
              </w:rPr>
            </w:pPr>
            <w:r>
              <w:rPr>
                <w:rFonts w:hint="eastAsia" w:ascii="宋体" w:hAnsi="宋体" w:cs="宋体"/>
                <w:sz w:val="24"/>
                <w:szCs w:val="24"/>
                <w:highlight w:val="none"/>
              </w:rPr>
              <w:t>邮  箱：156451758@qq.com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856" w:type="dxa"/>
            <w:vAlign w:val="bottom"/>
          </w:tcPr>
          <w:p>
            <w:pPr>
              <w:widowControl/>
              <w:spacing w:line="312" w:lineRule="auto"/>
              <w:jc w:val="center"/>
              <w:rPr>
                <w:rFonts w:ascii="宋体" w:hAnsi="宋体" w:cs="宋体"/>
                <w:sz w:val="24"/>
                <w:szCs w:val="24"/>
                <w:highlight w:val="none"/>
              </w:rPr>
            </w:pPr>
            <w:r>
              <w:rPr>
                <w:rFonts w:hint="eastAsia" w:ascii="宋体" w:hAnsi="宋体" w:cs="宋体"/>
                <w:sz w:val="24"/>
                <w:szCs w:val="24"/>
                <w:highlight w:val="none"/>
              </w:rPr>
              <w:t>3</w:t>
            </w:r>
          </w:p>
        </w:tc>
        <w:tc>
          <w:tcPr>
            <w:tcW w:w="1789" w:type="dxa"/>
            <w:vAlign w:val="bottom"/>
          </w:tcPr>
          <w:p>
            <w:pPr>
              <w:widowControl/>
              <w:spacing w:line="312" w:lineRule="auto"/>
              <w:jc w:val="center"/>
              <w:rPr>
                <w:rFonts w:ascii="宋体" w:hAnsi="宋体" w:cs="宋体"/>
                <w:sz w:val="24"/>
                <w:szCs w:val="24"/>
                <w:highlight w:val="none"/>
              </w:rPr>
            </w:pPr>
            <w:r>
              <w:rPr>
                <w:rFonts w:hint="eastAsia" w:ascii="宋体" w:hAnsi="宋体" w:cs="宋体"/>
                <w:sz w:val="24"/>
                <w:szCs w:val="24"/>
                <w:highlight w:val="none"/>
              </w:rPr>
              <w:t>采购项目名称</w:t>
            </w:r>
          </w:p>
        </w:tc>
        <w:tc>
          <w:tcPr>
            <w:tcW w:w="6960" w:type="dxa"/>
            <w:vAlign w:val="center"/>
          </w:tcPr>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中国药科大学江宁校区行政楼及会议中心外立面和屋面维修项目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56" w:type="dxa"/>
            <w:vAlign w:val="bottom"/>
          </w:tcPr>
          <w:p>
            <w:pPr>
              <w:widowControl/>
              <w:spacing w:line="312" w:lineRule="auto"/>
              <w:jc w:val="center"/>
              <w:rPr>
                <w:rFonts w:ascii="宋体" w:hAnsi="宋体" w:cs="宋体"/>
                <w:sz w:val="24"/>
                <w:szCs w:val="24"/>
                <w:highlight w:val="none"/>
              </w:rPr>
            </w:pPr>
            <w:r>
              <w:rPr>
                <w:rFonts w:hint="eastAsia" w:ascii="宋体" w:hAnsi="宋体" w:cs="宋体"/>
                <w:sz w:val="24"/>
                <w:szCs w:val="24"/>
                <w:highlight w:val="none"/>
              </w:rPr>
              <w:t>4</w:t>
            </w:r>
          </w:p>
        </w:tc>
        <w:tc>
          <w:tcPr>
            <w:tcW w:w="1789" w:type="dxa"/>
            <w:vAlign w:val="bottom"/>
          </w:tcPr>
          <w:p>
            <w:pPr>
              <w:widowControl/>
              <w:spacing w:line="312" w:lineRule="auto"/>
              <w:jc w:val="center"/>
              <w:rPr>
                <w:rFonts w:ascii="宋体" w:hAnsi="宋体" w:cs="宋体"/>
                <w:sz w:val="24"/>
                <w:szCs w:val="24"/>
                <w:highlight w:val="none"/>
              </w:rPr>
            </w:pPr>
            <w:r>
              <w:rPr>
                <w:rFonts w:hint="eastAsia" w:ascii="宋体" w:hAnsi="宋体" w:cs="宋体"/>
                <w:sz w:val="24"/>
                <w:szCs w:val="24"/>
                <w:highlight w:val="none"/>
              </w:rPr>
              <w:t>资金来源</w:t>
            </w:r>
          </w:p>
        </w:tc>
        <w:tc>
          <w:tcPr>
            <w:tcW w:w="6960" w:type="dxa"/>
            <w:vAlign w:val="center"/>
          </w:tcPr>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财政资金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856" w:type="dxa"/>
            <w:vAlign w:val="center"/>
          </w:tcPr>
          <w:p>
            <w:pPr>
              <w:widowControl/>
              <w:spacing w:line="312" w:lineRule="auto"/>
              <w:jc w:val="center"/>
              <w:rPr>
                <w:rFonts w:ascii="宋体" w:hAnsi="宋体" w:cs="宋体"/>
                <w:sz w:val="24"/>
                <w:szCs w:val="24"/>
                <w:highlight w:val="none"/>
              </w:rPr>
            </w:pPr>
            <w:r>
              <w:rPr>
                <w:rFonts w:hint="eastAsia" w:ascii="宋体" w:hAnsi="宋体" w:cs="宋体"/>
                <w:sz w:val="24"/>
                <w:szCs w:val="24"/>
                <w:highlight w:val="none"/>
              </w:rPr>
              <w:t>5</w:t>
            </w:r>
          </w:p>
        </w:tc>
        <w:tc>
          <w:tcPr>
            <w:tcW w:w="1789" w:type="dxa"/>
            <w:vAlign w:val="center"/>
          </w:tcPr>
          <w:p>
            <w:pPr>
              <w:widowControl/>
              <w:spacing w:line="312" w:lineRule="auto"/>
              <w:jc w:val="center"/>
              <w:rPr>
                <w:rFonts w:ascii="宋体" w:hAnsi="宋体" w:cs="宋体"/>
                <w:sz w:val="24"/>
                <w:szCs w:val="24"/>
                <w:highlight w:val="none"/>
              </w:rPr>
            </w:pPr>
            <w:r>
              <w:rPr>
                <w:rFonts w:hint="eastAsia" w:ascii="宋体" w:hAnsi="宋体" w:cs="宋体"/>
                <w:sz w:val="24"/>
                <w:szCs w:val="24"/>
                <w:highlight w:val="none"/>
              </w:rPr>
              <w:t>项目实施地点</w:t>
            </w:r>
          </w:p>
        </w:tc>
        <w:tc>
          <w:tcPr>
            <w:tcW w:w="6960" w:type="dxa"/>
            <w:vAlign w:val="center"/>
          </w:tcPr>
          <w:p>
            <w:pPr>
              <w:widowControl/>
              <w:spacing w:line="312" w:lineRule="auto"/>
              <w:rPr>
                <w:rFonts w:ascii="宋体" w:hAnsi="宋体" w:cs="宋体"/>
                <w:sz w:val="24"/>
                <w:szCs w:val="24"/>
                <w:highlight w:val="none"/>
              </w:rPr>
            </w:pPr>
            <w:r>
              <w:rPr>
                <w:rFonts w:hint="eastAsia" w:ascii="宋体" w:hAnsi="宋体" w:cs="宋体"/>
                <w:sz w:val="24"/>
                <w:szCs w:val="24"/>
                <w:highlight w:val="none"/>
              </w:rPr>
              <w:t>中国药科大学江宁校区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856" w:type="dxa"/>
            <w:vAlign w:val="center"/>
          </w:tcPr>
          <w:p>
            <w:pPr>
              <w:widowControl/>
              <w:spacing w:line="312" w:lineRule="auto"/>
              <w:jc w:val="center"/>
              <w:rPr>
                <w:rFonts w:ascii="宋体" w:hAnsi="宋体" w:cs="宋体"/>
                <w:sz w:val="24"/>
                <w:szCs w:val="24"/>
                <w:highlight w:val="none"/>
              </w:rPr>
            </w:pPr>
            <w:r>
              <w:rPr>
                <w:rFonts w:hint="eastAsia" w:ascii="宋体" w:hAnsi="宋体" w:cs="宋体"/>
                <w:sz w:val="24"/>
                <w:szCs w:val="24"/>
                <w:highlight w:val="none"/>
              </w:rPr>
              <w:t>6</w:t>
            </w:r>
          </w:p>
        </w:tc>
        <w:tc>
          <w:tcPr>
            <w:tcW w:w="1789" w:type="dxa"/>
            <w:vAlign w:val="center"/>
          </w:tcPr>
          <w:p>
            <w:pPr>
              <w:widowControl/>
              <w:spacing w:line="312" w:lineRule="auto"/>
              <w:jc w:val="center"/>
              <w:rPr>
                <w:rFonts w:ascii="宋体" w:hAnsi="宋体" w:cs="宋体"/>
                <w:sz w:val="24"/>
                <w:szCs w:val="24"/>
                <w:highlight w:val="none"/>
              </w:rPr>
            </w:pPr>
            <w:r>
              <w:rPr>
                <w:rFonts w:hint="eastAsia" w:ascii="宋体" w:hAnsi="宋体" w:cs="宋体"/>
                <w:sz w:val="24"/>
                <w:szCs w:val="24"/>
                <w:highlight w:val="none"/>
              </w:rPr>
              <w:t>质量要求</w:t>
            </w:r>
          </w:p>
        </w:tc>
        <w:tc>
          <w:tcPr>
            <w:tcW w:w="6960" w:type="dxa"/>
            <w:vAlign w:val="center"/>
          </w:tcPr>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符合国家现行质量验收标准（按GB50300-2013）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6" w:type="dxa"/>
            <w:vAlign w:val="center"/>
          </w:tcPr>
          <w:p>
            <w:pPr>
              <w:widowControl/>
              <w:spacing w:line="312" w:lineRule="auto"/>
              <w:jc w:val="center"/>
              <w:rPr>
                <w:rFonts w:ascii="宋体" w:hAnsi="宋体" w:cs="宋体"/>
                <w:sz w:val="24"/>
                <w:szCs w:val="24"/>
                <w:highlight w:val="none"/>
              </w:rPr>
            </w:pPr>
            <w:r>
              <w:rPr>
                <w:rFonts w:hint="eastAsia" w:ascii="宋体" w:hAnsi="宋体" w:cs="宋体"/>
                <w:sz w:val="24"/>
                <w:szCs w:val="24"/>
                <w:highlight w:val="none"/>
              </w:rPr>
              <w:t>7</w:t>
            </w:r>
          </w:p>
        </w:tc>
        <w:tc>
          <w:tcPr>
            <w:tcW w:w="1789" w:type="dxa"/>
            <w:vAlign w:val="center"/>
          </w:tcPr>
          <w:p>
            <w:pPr>
              <w:widowControl/>
              <w:spacing w:line="312" w:lineRule="auto"/>
              <w:jc w:val="center"/>
              <w:rPr>
                <w:rFonts w:ascii="宋体" w:hAnsi="宋体" w:cs="宋体"/>
                <w:sz w:val="24"/>
                <w:szCs w:val="24"/>
                <w:highlight w:val="none"/>
              </w:rPr>
            </w:pPr>
            <w:r>
              <w:rPr>
                <w:rFonts w:hint="eastAsia" w:ascii="宋体" w:hAnsi="宋体" w:cs="宋体"/>
                <w:sz w:val="24"/>
                <w:szCs w:val="24"/>
                <w:highlight w:val="none"/>
              </w:rPr>
              <w:t>投标有效期</w:t>
            </w:r>
          </w:p>
        </w:tc>
        <w:tc>
          <w:tcPr>
            <w:tcW w:w="6960" w:type="dxa"/>
            <w:vAlign w:val="center"/>
          </w:tcPr>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提交投标文件截止之日起90日（供应商应承诺投标有效期不少于90日）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6" w:type="dxa"/>
            <w:vAlign w:val="center"/>
          </w:tcPr>
          <w:p>
            <w:pPr>
              <w:widowControl/>
              <w:spacing w:line="312" w:lineRule="auto"/>
              <w:jc w:val="center"/>
              <w:rPr>
                <w:rFonts w:ascii="宋体" w:hAnsi="宋体" w:cs="宋体"/>
                <w:sz w:val="24"/>
                <w:szCs w:val="24"/>
                <w:highlight w:val="none"/>
              </w:rPr>
            </w:pPr>
            <w:r>
              <w:rPr>
                <w:rFonts w:hint="eastAsia" w:ascii="宋体" w:hAnsi="宋体" w:cs="宋体"/>
                <w:sz w:val="24"/>
                <w:szCs w:val="24"/>
                <w:highlight w:val="none"/>
              </w:rPr>
              <w:t>8</w:t>
            </w:r>
          </w:p>
        </w:tc>
        <w:tc>
          <w:tcPr>
            <w:tcW w:w="1789" w:type="dxa"/>
            <w:vAlign w:val="center"/>
          </w:tcPr>
          <w:p>
            <w:pPr>
              <w:widowControl/>
              <w:spacing w:line="312" w:lineRule="auto"/>
              <w:jc w:val="center"/>
              <w:rPr>
                <w:rFonts w:ascii="宋体" w:hAnsi="宋体" w:cs="宋体"/>
                <w:sz w:val="24"/>
                <w:szCs w:val="24"/>
                <w:highlight w:val="none"/>
              </w:rPr>
            </w:pPr>
            <w:r>
              <w:rPr>
                <w:rFonts w:hint="eastAsia" w:ascii="宋体" w:hAnsi="宋体" w:cs="宋体"/>
                <w:sz w:val="24"/>
                <w:szCs w:val="24"/>
                <w:highlight w:val="none"/>
              </w:rPr>
              <w:t>踏勘现场</w:t>
            </w:r>
          </w:p>
        </w:tc>
        <w:tc>
          <w:tcPr>
            <w:tcW w:w="6960" w:type="dxa"/>
            <w:vAlign w:val="center"/>
          </w:tcPr>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本工程位于中国药科大学江宁校区,不组织集体踏勘，各投标单位如需可自行踏勘。投标人应认真踏勘施工现场，熟悉现场地形、道路、地下和周围环境，了解一切可能影响施工、投标报价的因素，且投标人应对自行获得的资料、信息的正确性负全部责任，因此所需费用自行承担。一旦投标人中标，中标人不得以不完全了解施工现场为由，而提出额外的赔偿、补偿、增加费用和延长工期等要求，对此招标人可不予采纳。</w:t>
            </w:r>
          </w:p>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联系人：陈老师 13705167067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6" w:type="dxa"/>
            <w:vAlign w:val="center"/>
          </w:tcPr>
          <w:p>
            <w:pPr>
              <w:widowControl/>
              <w:spacing w:line="312" w:lineRule="auto"/>
              <w:ind w:firstLine="240" w:firstLineChars="100"/>
              <w:jc w:val="left"/>
              <w:rPr>
                <w:rFonts w:ascii="宋体" w:hAnsi="宋体" w:cs="宋体"/>
                <w:sz w:val="24"/>
                <w:szCs w:val="24"/>
                <w:highlight w:val="none"/>
              </w:rPr>
            </w:pPr>
            <w:r>
              <w:rPr>
                <w:rFonts w:hint="eastAsia" w:ascii="宋体" w:hAnsi="宋体" w:cs="宋体"/>
                <w:sz w:val="24"/>
                <w:szCs w:val="24"/>
                <w:highlight w:val="none"/>
              </w:rPr>
              <w:t>9</w:t>
            </w:r>
          </w:p>
        </w:tc>
        <w:tc>
          <w:tcPr>
            <w:tcW w:w="1789" w:type="dxa"/>
            <w:vAlign w:val="center"/>
          </w:tcPr>
          <w:p>
            <w:pPr>
              <w:widowControl/>
              <w:spacing w:line="312" w:lineRule="auto"/>
              <w:jc w:val="center"/>
              <w:rPr>
                <w:rFonts w:ascii="宋体" w:hAnsi="宋体" w:cs="宋体"/>
                <w:sz w:val="24"/>
                <w:szCs w:val="24"/>
                <w:highlight w:val="none"/>
              </w:rPr>
            </w:pPr>
            <w:r>
              <w:rPr>
                <w:rFonts w:hint="eastAsia" w:ascii="宋体" w:hAnsi="宋体" w:cs="宋体"/>
                <w:sz w:val="24"/>
                <w:szCs w:val="24"/>
                <w:highlight w:val="none"/>
              </w:rPr>
              <w:t>投标答疑或澄清文件</w:t>
            </w:r>
          </w:p>
        </w:tc>
        <w:tc>
          <w:tcPr>
            <w:tcW w:w="6960" w:type="dxa"/>
            <w:vAlign w:val="center"/>
          </w:tcPr>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投标人在收到招标文件和踏勘现场后,若有疑问需要澄清,应在2022年</w:t>
            </w:r>
            <w:r>
              <w:rPr>
                <w:rFonts w:hint="eastAsia" w:ascii="宋体" w:hAnsi="宋体" w:cs="宋体"/>
                <w:sz w:val="24"/>
                <w:szCs w:val="24"/>
                <w:highlight w:val="none"/>
                <w:lang w:val="en-US" w:eastAsia="zh-CN"/>
              </w:rPr>
              <w:t>6</w:t>
            </w:r>
            <w:r>
              <w:rPr>
                <w:rFonts w:hint="eastAsia" w:ascii="宋体" w:hAnsi="宋体" w:cs="宋体"/>
                <w:sz w:val="24"/>
                <w:szCs w:val="24"/>
                <w:highlight w:val="none"/>
              </w:rPr>
              <w:t>月</w:t>
            </w:r>
            <w:r>
              <w:rPr>
                <w:rFonts w:hint="eastAsia" w:ascii="宋体" w:hAnsi="宋体" w:cs="宋体"/>
                <w:sz w:val="24"/>
                <w:szCs w:val="24"/>
                <w:highlight w:val="none"/>
                <w:lang w:val="en-US" w:eastAsia="zh-CN"/>
              </w:rPr>
              <w:t>15</w:t>
            </w:r>
            <w:r>
              <w:rPr>
                <w:rFonts w:hint="eastAsia" w:ascii="宋体" w:hAnsi="宋体" w:cs="宋体"/>
                <w:sz w:val="24"/>
                <w:szCs w:val="24"/>
                <w:highlight w:val="none"/>
              </w:rPr>
              <w:t>日12时00分前以电子邮件形式向招标代理机构提出。招标人将在投标截止时间前3日内提供给所有投标人，由此而产生的对招标文件内容的修改，以修改通知的方式发出。该澄清答疑内容为招标文件的组成部分，逾期提出问题将不予澄清。潜在投标人因未能及时了解相关信息所引起的投标失误责任由投标人承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6" w:type="dxa"/>
            <w:vAlign w:val="center"/>
          </w:tcPr>
          <w:p>
            <w:pPr>
              <w:widowControl/>
              <w:spacing w:line="312" w:lineRule="auto"/>
              <w:ind w:firstLine="240" w:firstLineChars="100"/>
              <w:jc w:val="left"/>
              <w:rPr>
                <w:rFonts w:ascii="宋体" w:hAnsi="宋体" w:cs="宋体"/>
                <w:sz w:val="24"/>
                <w:szCs w:val="24"/>
                <w:highlight w:val="none"/>
              </w:rPr>
            </w:pPr>
            <w:r>
              <w:rPr>
                <w:rFonts w:hint="eastAsia" w:ascii="宋体" w:hAnsi="宋体" w:cs="宋体"/>
                <w:sz w:val="24"/>
                <w:szCs w:val="24"/>
                <w:highlight w:val="none"/>
              </w:rPr>
              <w:t>10</w:t>
            </w:r>
          </w:p>
        </w:tc>
        <w:tc>
          <w:tcPr>
            <w:tcW w:w="1789" w:type="dxa"/>
            <w:vAlign w:val="center"/>
          </w:tcPr>
          <w:p>
            <w:pPr>
              <w:widowControl/>
              <w:spacing w:line="312" w:lineRule="auto"/>
              <w:ind w:firstLine="240" w:firstLineChars="100"/>
              <w:jc w:val="left"/>
              <w:rPr>
                <w:rFonts w:ascii="宋体" w:hAnsi="宋体" w:cs="宋体"/>
                <w:sz w:val="24"/>
                <w:szCs w:val="24"/>
                <w:highlight w:val="none"/>
              </w:rPr>
            </w:pPr>
            <w:r>
              <w:rPr>
                <w:rFonts w:hint="eastAsia" w:ascii="宋体" w:hAnsi="宋体" w:cs="宋体"/>
                <w:sz w:val="24"/>
                <w:szCs w:val="24"/>
                <w:highlight w:val="none"/>
              </w:rPr>
              <w:t>投标保证金</w:t>
            </w:r>
          </w:p>
        </w:tc>
        <w:tc>
          <w:tcPr>
            <w:tcW w:w="6960" w:type="dxa"/>
            <w:vAlign w:val="center"/>
          </w:tcPr>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投标保证金的形式：电汇或网上银行支付。</w:t>
            </w:r>
          </w:p>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投标保证金的金额：人民币伍万元整（¥50000）</w:t>
            </w:r>
          </w:p>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投标保证金接受单位：南京金鼎工程造价评估有限责任公司</w:t>
            </w:r>
          </w:p>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开户行：光大银行中山北路支行</w:t>
            </w:r>
          </w:p>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帐  号：76470188000107238</w:t>
            </w:r>
          </w:p>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投标保证金在投标截止时间应当从投标人的基本账户前转出；投标保证金汇款备注中务必注明项目名称，否则可能导致的废标责任由投标人承担。</w:t>
            </w:r>
          </w:p>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注意事项：</w:t>
            </w:r>
          </w:p>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1.投标保证金应当从投标人的基本账户转出。</w:t>
            </w:r>
          </w:p>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2.中标人的投标保证金将在合同签订后5个工作日内无息退还至投标人基本存款账户。未中标投标人的投标保证金在中标公示后5个工作日内无息退还。</w:t>
            </w:r>
          </w:p>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3.各投标人开标时间前持开户许可证复印件加盖公章、授权委托书、授权委托人身份证复印件加盖公章和保证金支付凭证至代理公司换取收据。（退还保证金联系电话：025-58838051）</w:t>
            </w:r>
          </w:p>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注：收据原件仅用于退保证金使用，开标时随投标文件一并递交。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6" w:type="dxa"/>
            <w:vAlign w:val="center"/>
          </w:tcPr>
          <w:p>
            <w:pPr>
              <w:widowControl/>
              <w:spacing w:line="312" w:lineRule="auto"/>
              <w:ind w:firstLine="240" w:firstLineChars="100"/>
              <w:jc w:val="left"/>
              <w:rPr>
                <w:rFonts w:ascii="宋体" w:hAnsi="宋体" w:cs="宋体"/>
                <w:sz w:val="24"/>
                <w:szCs w:val="24"/>
                <w:highlight w:val="none"/>
              </w:rPr>
            </w:pPr>
            <w:r>
              <w:rPr>
                <w:rFonts w:hint="eastAsia" w:ascii="宋体" w:hAnsi="宋体" w:cs="宋体"/>
                <w:sz w:val="24"/>
                <w:szCs w:val="24"/>
                <w:highlight w:val="none"/>
              </w:rPr>
              <w:t>11</w:t>
            </w:r>
          </w:p>
        </w:tc>
        <w:tc>
          <w:tcPr>
            <w:tcW w:w="1789" w:type="dxa"/>
            <w:vAlign w:val="center"/>
          </w:tcPr>
          <w:p>
            <w:pPr>
              <w:widowControl/>
              <w:spacing w:line="312" w:lineRule="auto"/>
              <w:ind w:firstLine="240" w:firstLineChars="100"/>
              <w:jc w:val="left"/>
              <w:rPr>
                <w:rFonts w:ascii="宋体" w:hAnsi="宋体" w:cs="宋体"/>
                <w:sz w:val="24"/>
                <w:szCs w:val="24"/>
                <w:highlight w:val="none"/>
              </w:rPr>
            </w:pPr>
            <w:r>
              <w:rPr>
                <w:rFonts w:hint="eastAsia" w:ascii="宋体" w:hAnsi="宋体" w:cs="宋体"/>
                <w:sz w:val="24"/>
                <w:szCs w:val="24"/>
                <w:highlight w:val="none"/>
              </w:rPr>
              <w:t>履约保证金</w:t>
            </w:r>
          </w:p>
        </w:tc>
        <w:tc>
          <w:tcPr>
            <w:tcW w:w="6960" w:type="dxa"/>
            <w:vAlign w:val="center"/>
          </w:tcPr>
          <w:p>
            <w:pPr>
              <w:autoSpaceDE w:val="0"/>
              <w:autoSpaceDN w:val="0"/>
              <w:spacing w:line="360" w:lineRule="auto"/>
              <w:rPr>
                <w:rFonts w:ascii="宋体" w:hAnsi="宋体" w:cs="宋体"/>
                <w:sz w:val="24"/>
                <w:szCs w:val="24"/>
                <w:highlight w:val="none"/>
              </w:rPr>
            </w:pPr>
            <w:r>
              <w:rPr>
                <w:rFonts w:ascii="宋体" w:hAnsi="宋体"/>
                <w:sz w:val="24"/>
                <w:szCs w:val="24"/>
                <w:highlight w:val="none"/>
                <w:lang w:bidi="zh-CN"/>
              </w:rPr>
              <w:t>本工程中标人在签订合同前需按合同金额的5%以现金、银行保函、银行本票、汇票、支票或电子汇款（出具保函的银行级别为国有商业银行或股份制商业银行分行及其以上银行）等形式缴纳履约保证金作为履约担保，履约保证金在工程结算审计完成后无息退还</w:t>
            </w:r>
            <w:r>
              <w:rPr>
                <w:rFonts w:hint="eastAsia" w:ascii="宋体" w:hAnsi="宋体"/>
                <w:sz w:val="24"/>
                <w:szCs w:val="24"/>
                <w:highlight w:val="none"/>
                <w:lang w:bidi="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6" w:type="dxa"/>
            <w:vAlign w:val="center"/>
          </w:tcPr>
          <w:p>
            <w:pPr>
              <w:widowControl/>
              <w:spacing w:line="312" w:lineRule="auto"/>
              <w:ind w:firstLine="240" w:firstLineChars="100"/>
              <w:jc w:val="left"/>
              <w:rPr>
                <w:rFonts w:ascii="宋体" w:hAnsi="宋体" w:cs="宋体"/>
                <w:sz w:val="24"/>
                <w:szCs w:val="24"/>
                <w:highlight w:val="none"/>
              </w:rPr>
            </w:pPr>
            <w:r>
              <w:rPr>
                <w:rFonts w:hint="eastAsia" w:ascii="宋体" w:hAnsi="宋体" w:cs="宋体"/>
                <w:sz w:val="24"/>
                <w:szCs w:val="24"/>
                <w:highlight w:val="none"/>
              </w:rPr>
              <w:t>12</w:t>
            </w:r>
          </w:p>
        </w:tc>
        <w:tc>
          <w:tcPr>
            <w:tcW w:w="1789" w:type="dxa"/>
            <w:vAlign w:val="center"/>
          </w:tcPr>
          <w:p>
            <w:pPr>
              <w:widowControl/>
              <w:spacing w:line="312" w:lineRule="auto"/>
              <w:jc w:val="center"/>
              <w:rPr>
                <w:rFonts w:ascii="宋体" w:hAnsi="宋体" w:cs="宋体"/>
                <w:sz w:val="24"/>
                <w:szCs w:val="24"/>
                <w:highlight w:val="none"/>
              </w:rPr>
            </w:pPr>
            <w:r>
              <w:rPr>
                <w:rFonts w:hint="eastAsia" w:ascii="宋体" w:hAnsi="宋体" w:cs="宋体"/>
                <w:sz w:val="24"/>
                <w:szCs w:val="24"/>
                <w:highlight w:val="none"/>
              </w:rPr>
              <w:t>供应商企业信用信息</w:t>
            </w:r>
          </w:p>
        </w:tc>
        <w:tc>
          <w:tcPr>
            <w:tcW w:w="6960" w:type="dxa"/>
            <w:vAlign w:val="center"/>
          </w:tcPr>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（1）查询人：采购代理机构或采购人</w:t>
            </w:r>
          </w:p>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（2）查询渠道：“信用中国”网站（www.creditchina.gov.cn）、“中国政府采购网”网站（www.ccgp.gov.cn）；</w:t>
            </w:r>
          </w:p>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（3）查询截止时间：投标截止时间前三个日历日内；</w:t>
            </w:r>
          </w:p>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（4）查询记录留存方式：由采购代理机构负责将供应商各网站信用记录截图打印保存，并作为本项目档案资料留存；</w:t>
            </w:r>
          </w:p>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（5）查询结果处理：对具有失信记录的供应商进行书面或电子邮箱形式通知，并要求拒绝其参加本次采购活动。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6" w:type="dxa"/>
            <w:vAlign w:val="center"/>
          </w:tcPr>
          <w:p>
            <w:pPr>
              <w:widowControl/>
              <w:spacing w:line="312" w:lineRule="auto"/>
              <w:ind w:firstLine="240" w:firstLineChars="100"/>
              <w:jc w:val="left"/>
              <w:rPr>
                <w:rFonts w:ascii="宋体" w:hAnsi="宋体" w:cs="宋体"/>
                <w:sz w:val="24"/>
                <w:szCs w:val="24"/>
                <w:highlight w:val="none"/>
              </w:rPr>
            </w:pPr>
            <w:r>
              <w:rPr>
                <w:rFonts w:hint="eastAsia" w:ascii="宋体" w:hAnsi="宋体" w:cs="宋体"/>
                <w:sz w:val="24"/>
                <w:szCs w:val="24"/>
                <w:highlight w:val="none"/>
              </w:rPr>
              <w:t>13</w:t>
            </w:r>
          </w:p>
        </w:tc>
        <w:tc>
          <w:tcPr>
            <w:tcW w:w="1789" w:type="dxa"/>
            <w:vAlign w:val="center"/>
          </w:tcPr>
          <w:p>
            <w:pPr>
              <w:widowControl/>
              <w:spacing w:line="312" w:lineRule="auto"/>
              <w:jc w:val="center"/>
              <w:rPr>
                <w:rFonts w:ascii="宋体" w:hAnsi="宋体" w:cs="宋体"/>
                <w:sz w:val="24"/>
                <w:szCs w:val="24"/>
                <w:highlight w:val="none"/>
              </w:rPr>
            </w:pPr>
            <w:r>
              <w:rPr>
                <w:rFonts w:hint="eastAsia" w:ascii="宋体" w:hAnsi="宋体" w:cs="宋体"/>
                <w:sz w:val="24"/>
                <w:szCs w:val="24"/>
                <w:highlight w:val="none"/>
              </w:rPr>
              <w:t>投标文件拒收情形</w:t>
            </w:r>
          </w:p>
        </w:tc>
        <w:tc>
          <w:tcPr>
            <w:tcW w:w="6960" w:type="dxa"/>
            <w:vAlign w:val="center"/>
          </w:tcPr>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（1）被“信用中国”</w:t>
            </w:r>
            <w:r>
              <w:rPr>
                <w:highlight w:val="none"/>
              </w:rPr>
              <w:fldChar w:fldCharType="begin"/>
            </w:r>
            <w:r>
              <w:rPr>
                <w:highlight w:val="none"/>
              </w:rPr>
              <w:instrText xml:space="preserve"> HYPERLINK "http://www.creditchina.gov.cn/" \h </w:instrText>
            </w:r>
            <w:r>
              <w:rPr>
                <w:highlight w:val="none"/>
              </w:rPr>
              <w:fldChar w:fldCharType="separate"/>
            </w:r>
            <w:r>
              <w:rPr>
                <w:rFonts w:hint="eastAsia" w:ascii="宋体" w:hAnsi="宋体" w:cs="宋体"/>
                <w:sz w:val="24"/>
                <w:szCs w:val="24"/>
                <w:highlight w:val="none"/>
              </w:rPr>
              <w:t>网站（www.creditchina.gov.cn</w:t>
            </w:r>
            <w:r>
              <w:rPr>
                <w:rFonts w:hint="eastAsia" w:ascii="宋体" w:hAnsi="宋体" w:cs="宋体"/>
                <w:sz w:val="24"/>
                <w:szCs w:val="24"/>
                <w:highlight w:val="none"/>
              </w:rPr>
              <w:fldChar w:fldCharType="end"/>
            </w:r>
            <w:r>
              <w:rPr>
                <w:rFonts w:hint="eastAsia" w:ascii="宋体" w:hAnsi="宋体" w:cs="宋体"/>
                <w:sz w:val="24"/>
                <w:szCs w:val="24"/>
                <w:highlight w:val="none"/>
              </w:rPr>
              <w:t>）、“中国政府采购网”(www.ccgp.gov.cn)列入失信被执行人、重大违法行为当事人名单、政府采购严重违法失信行为记录名单的；</w:t>
            </w:r>
          </w:p>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（2）逾期送达或者未按照招标文件要求密封的投标文件的。</w:t>
            </w:r>
          </w:p>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（3）未按招标文件规定的数额和办法交纳投标保证金的（若有）。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6" w:type="dxa"/>
            <w:vAlign w:val="center"/>
          </w:tcPr>
          <w:p>
            <w:pPr>
              <w:widowControl/>
              <w:spacing w:line="312" w:lineRule="auto"/>
              <w:ind w:firstLine="240" w:firstLineChars="100"/>
              <w:jc w:val="left"/>
              <w:rPr>
                <w:rFonts w:ascii="宋体" w:hAnsi="宋体" w:cs="宋体"/>
                <w:sz w:val="24"/>
                <w:szCs w:val="24"/>
                <w:highlight w:val="none"/>
              </w:rPr>
            </w:pPr>
            <w:r>
              <w:rPr>
                <w:rFonts w:hint="eastAsia" w:ascii="宋体" w:hAnsi="宋体" w:cs="宋体"/>
                <w:sz w:val="24"/>
                <w:szCs w:val="24"/>
                <w:highlight w:val="none"/>
              </w:rPr>
              <w:t>14</w:t>
            </w:r>
          </w:p>
        </w:tc>
        <w:tc>
          <w:tcPr>
            <w:tcW w:w="1789" w:type="dxa"/>
            <w:vAlign w:val="center"/>
          </w:tcPr>
          <w:p>
            <w:pPr>
              <w:widowControl/>
              <w:spacing w:line="312" w:lineRule="auto"/>
              <w:jc w:val="center"/>
              <w:rPr>
                <w:rFonts w:ascii="宋体" w:hAnsi="宋体" w:cs="宋体"/>
                <w:sz w:val="24"/>
                <w:szCs w:val="24"/>
                <w:highlight w:val="none"/>
              </w:rPr>
            </w:pPr>
            <w:r>
              <w:rPr>
                <w:rFonts w:hint="eastAsia" w:ascii="宋体" w:hAnsi="宋体" w:cs="宋体"/>
                <w:sz w:val="24"/>
                <w:szCs w:val="24"/>
                <w:highlight w:val="none"/>
              </w:rPr>
              <w:t>投标人参加开标会要求</w:t>
            </w:r>
          </w:p>
        </w:tc>
        <w:tc>
          <w:tcPr>
            <w:tcW w:w="6960" w:type="dxa"/>
            <w:vAlign w:val="center"/>
          </w:tcPr>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参加开标会人员以及携带资料要求：</w:t>
            </w:r>
          </w:p>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 授权委托人需携带本人身份证原件、法人授权委托书原件（手持）在投标截止时间前到达开标现场，否则视为自动放弃投标</w:t>
            </w:r>
          </w:p>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参加开标会时间要求：</w:t>
            </w:r>
          </w:p>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 投标截止时间前到达，授权委托人身份证原件由代理机构在开标现场进行核验，其他资料在投标截止时间前递交至代理机构（资格审查资料和评标要求提供的证书原件（业绩合同必须提供原件），可以为电子证书或复印件，必须加盖投标人印章，电子证书或复印件必须有有效验证码，保证网上可查，网上无法查证按未提供证据处理，投标人资格审查不通过或评分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6" w:type="dxa"/>
            <w:vAlign w:val="center"/>
          </w:tcPr>
          <w:p>
            <w:pPr>
              <w:widowControl/>
              <w:spacing w:line="312" w:lineRule="auto"/>
              <w:ind w:firstLine="240" w:firstLineChars="100"/>
              <w:jc w:val="left"/>
              <w:rPr>
                <w:rFonts w:ascii="宋体" w:hAnsi="宋体" w:cs="宋体"/>
                <w:sz w:val="24"/>
                <w:szCs w:val="24"/>
                <w:highlight w:val="none"/>
              </w:rPr>
            </w:pPr>
            <w:r>
              <w:rPr>
                <w:rFonts w:hint="eastAsia" w:ascii="宋体" w:hAnsi="宋体" w:cs="宋体"/>
                <w:sz w:val="24"/>
                <w:szCs w:val="24"/>
                <w:highlight w:val="none"/>
              </w:rPr>
              <w:t>15</w:t>
            </w:r>
          </w:p>
        </w:tc>
        <w:tc>
          <w:tcPr>
            <w:tcW w:w="1789" w:type="dxa"/>
            <w:vAlign w:val="center"/>
          </w:tcPr>
          <w:p>
            <w:pPr>
              <w:widowControl/>
              <w:spacing w:line="312" w:lineRule="auto"/>
              <w:jc w:val="center"/>
              <w:rPr>
                <w:rFonts w:ascii="宋体" w:hAnsi="宋体" w:cs="宋体"/>
                <w:sz w:val="24"/>
                <w:szCs w:val="24"/>
                <w:highlight w:val="none"/>
              </w:rPr>
            </w:pPr>
            <w:r>
              <w:rPr>
                <w:rFonts w:hint="eastAsia" w:ascii="宋体" w:hAnsi="宋体" w:cs="宋体"/>
                <w:sz w:val="24"/>
                <w:szCs w:val="24"/>
                <w:highlight w:val="none"/>
              </w:rPr>
              <w:t>投标文件份数及相关要求</w:t>
            </w:r>
          </w:p>
        </w:tc>
        <w:tc>
          <w:tcPr>
            <w:tcW w:w="6960" w:type="dxa"/>
            <w:vAlign w:val="center"/>
          </w:tcPr>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（1）投标文件应一式伍份（正本壹份、副本肆份），采用胶装装订成册并加盖骑缝章。</w:t>
            </w:r>
          </w:p>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2）提供与标书文件内容完全一致的U盘一份：电子U盘应包括投标文件的全部内容，包括已标价工程量清单的软件版，单独封装一份随投标文件一起递交，封装时加贴标签注明“工程名称、标段编号、投标人名称”，无论是否中标，U盘不退。 若投标人未提交电子U盘，开标现场将拒收其所有投标相关资料及文件，电子U盘内容不完整或与投标文件不一致的，投标人后果自负（各投标人需将投标文件（应当包含投标文件的全部内容，包括已标价的工程量清单软件版）存入U盘，U盘形式单独密封后随投标文件一起递交，当电子版文件和纸质正本文件不一致时，以纸质正本文件为准。电子版文件用于辅助评标和项目存档，投标人需承担前述不一致造成的不利后果）。</w:t>
            </w:r>
          </w:p>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（3）投标文件正本、U盘单独密封，所有副本一起密封。</w:t>
            </w:r>
          </w:p>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4）封袋上应写明项目名称、标段名称、投标人名称、法定代表人签字或法定代表人签章和投标人公章，注明开标前不得开封，并在封袋上注明“正本”、“副本”，封袋的粘缝均须加盖单位公章和法定代表人签字或法定代表人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6" w:type="dxa"/>
            <w:vAlign w:val="center"/>
          </w:tcPr>
          <w:p>
            <w:pPr>
              <w:widowControl/>
              <w:spacing w:line="312" w:lineRule="auto"/>
              <w:ind w:firstLine="240" w:firstLineChars="100"/>
              <w:jc w:val="left"/>
              <w:rPr>
                <w:rFonts w:ascii="宋体" w:hAnsi="宋体" w:cs="宋体"/>
                <w:sz w:val="24"/>
                <w:szCs w:val="24"/>
                <w:highlight w:val="none"/>
              </w:rPr>
            </w:pPr>
            <w:r>
              <w:rPr>
                <w:rFonts w:hint="eastAsia" w:ascii="宋体" w:hAnsi="宋体" w:cs="宋体"/>
                <w:sz w:val="24"/>
                <w:szCs w:val="24"/>
                <w:highlight w:val="none"/>
              </w:rPr>
              <w:t>16</w:t>
            </w:r>
          </w:p>
        </w:tc>
        <w:tc>
          <w:tcPr>
            <w:tcW w:w="1789" w:type="dxa"/>
            <w:vAlign w:val="center"/>
          </w:tcPr>
          <w:p>
            <w:pPr>
              <w:widowControl/>
              <w:spacing w:line="312" w:lineRule="auto"/>
              <w:jc w:val="center"/>
              <w:rPr>
                <w:rFonts w:ascii="宋体" w:hAnsi="宋体" w:cs="宋体"/>
                <w:sz w:val="24"/>
                <w:szCs w:val="24"/>
                <w:highlight w:val="none"/>
              </w:rPr>
            </w:pPr>
            <w:r>
              <w:rPr>
                <w:rFonts w:hint="eastAsia" w:ascii="宋体" w:hAnsi="宋体" w:cs="宋体"/>
                <w:sz w:val="24"/>
                <w:szCs w:val="24"/>
                <w:highlight w:val="none"/>
              </w:rPr>
              <w:t>盖章要求</w:t>
            </w:r>
          </w:p>
        </w:tc>
        <w:tc>
          <w:tcPr>
            <w:tcW w:w="6960" w:type="dxa"/>
            <w:vAlign w:val="center"/>
          </w:tcPr>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供应商投标文件中加盖的公章仅能使用与供应商名称一致的标准公章，不得使用其他形式（如带有“专用章”、“合同章”、“财务章”、“业务章”等字样）的印章；否则，按无效投标处理。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6" w:type="dxa"/>
            <w:vAlign w:val="center"/>
          </w:tcPr>
          <w:p>
            <w:pPr>
              <w:widowControl/>
              <w:spacing w:line="312" w:lineRule="auto"/>
              <w:ind w:firstLine="240" w:firstLineChars="100"/>
              <w:jc w:val="left"/>
              <w:rPr>
                <w:rFonts w:ascii="宋体" w:hAnsi="宋体" w:cs="宋体"/>
                <w:sz w:val="24"/>
                <w:szCs w:val="24"/>
                <w:highlight w:val="none"/>
              </w:rPr>
            </w:pPr>
            <w:r>
              <w:rPr>
                <w:rFonts w:hint="eastAsia" w:ascii="宋体" w:hAnsi="宋体" w:cs="宋体"/>
                <w:sz w:val="24"/>
                <w:szCs w:val="24"/>
                <w:highlight w:val="none"/>
              </w:rPr>
              <w:t>17</w:t>
            </w:r>
          </w:p>
        </w:tc>
        <w:tc>
          <w:tcPr>
            <w:tcW w:w="1789" w:type="dxa"/>
            <w:vAlign w:val="center"/>
          </w:tcPr>
          <w:p>
            <w:pPr>
              <w:widowControl/>
              <w:spacing w:line="312" w:lineRule="auto"/>
              <w:jc w:val="center"/>
              <w:rPr>
                <w:rFonts w:ascii="宋体" w:hAnsi="宋体" w:cs="宋体"/>
                <w:sz w:val="24"/>
                <w:szCs w:val="24"/>
                <w:highlight w:val="none"/>
              </w:rPr>
            </w:pPr>
            <w:r>
              <w:rPr>
                <w:rFonts w:hint="eastAsia" w:ascii="宋体" w:hAnsi="宋体" w:cs="宋体"/>
                <w:sz w:val="24"/>
                <w:szCs w:val="24"/>
                <w:highlight w:val="none"/>
              </w:rPr>
              <w:t>代理服务费</w:t>
            </w:r>
          </w:p>
        </w:tc>
        <w:tc>
          <w:tcPr>
            <w:tcW w:w="6960" w:type="dxa"/>
            <w:vAlign w:val="center"/>
          </w:tcPr>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代理服务费按计价[2002]1980号文规定的收费标准的40%收取，由中标人支付招标代理服务费。投标人仅需对提供的单次服务的代理服务费进行报价，报价包含与评标相关的所有费用（如专家费等）。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6" w:type="dxa"/>
            <w:vAlign w:val="center"/>
          </w:tcPr>
          <w:p>
            <w:pPr>
              <w:widowControl/>
              <w:spacing w:line="312" w:lineRule="auto"/>
              <w:ind w:firstLine="240" w:firstLineChars="100"/>
              <w:jc w:val="left"/>
              <w:rPr>
                <w:rFonts w:ascii="宋体" w:hAnsi="宋体" w:cs="宋体"/>
                <w:sz w:val="24"/>
                <w:szCs w:val="24"/>
                <w:highlight w:val="none"/>
              </w:rPr>
            </w:pPr>
            <w:r>
              <w:rPr>
                <w:rFonts w:hint="eastAsia" w:ascii="宋体" w:hAnsi="宋体" w:cs="宋体"/>
                <w:sz w:val="24"/>
                <w:szCs w:val="24"/>
                <w:highlight w:val="none"/>
              </w:rPr>
              <w:t>18</w:t>
            </w:r>
          </w:p>
        </w:tc>
        <w:tc>
          <w:tcPr>
            <w:tcW w:w="1789" w:type="dxa"/>
            <w:vAlign w:val="center"/>
          </w:tcPr>
          <w:p>
            <w:pPr>
              <w:widowControl/>
              <w:spacing w:line="312" w:lineRule="auto"/>
              <w:jc w:val="center"/>
              <w:rPr>
                <w:rFonts w:ascii="宋体" w:hAnsi="宋体" w:cs="宋体"/>
                <w:sz w:val="24"/>
                <w:szCs w:val="24"/>
                <w:highlight w:val="none"/>
              </w:rPr>
            </w:pPr>
            <w:r>
              <w:rPr>
                <w:rFonts w:hint="eastAsia" w:ascii="宋体" w:hAnsi="宋体" w:cs="宋体"/>
                <w:sz w:val="24"/>
                <w:szCs w:val="24"/>
                <w:highlight w:val="none"/>
              </w:rPr>
              <w:t>其他</w:t>
            </w:r>
          </w:p>
        </w:tc>
        <w:tc>
          <w:tcPr>
            <w:tcW w:w="6960" w:type="dxa"/>
            <w:vAlign w:val="center"/>
          </w:tcPr>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1.供应商参加本次招标活动应当符合《中华人民共和国政府采购法》的规定并符合本招标文件的规定。供应商应遵守《中华人民共和国政府采购法》、《中华人民共和国民法典》和《中华人民共和国反不正当竞争法》等有关法律、法规，如有违反，将视为不合格供应商，其投标文件无效。</w:t>
            </w:r>
          </w:p>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2.本工程现场不安排临时设施等用地，在校外安排生活设施等费用投标单位自行报价（该费用已由投标单位在投标时综合考虑并已考虑到投标报价中）；</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ascii="宋体" w:hAnsi="宋体" w:cs="宋体"/>
                <w:sz w:val="24"/>
                <w:szCs w:val="24"/>
                <w:highlight w:val="none"/>
              </w:rPr>
            </w:pPr>
            <w:r>
              <w:rPr>
                <w:rFonts w:hint="eastAsia" w:ascii="宋体" w:hAnsi="宋体" w:cs="宋体"/>
                <w:sz w:val="24"/>
                <w:szCs w:val="24"/>
                <w:highlight w:val="none"/>
              </w:rPr>
              <w:t>3.施工方按发包人提供的水、电接入点，自行挂表计量缴费或使用总包单位配电设备，同时必须承担线损摊销费用（摊销费用按各自的水、电用量比例计算确定）；从水、电接入点至施工现场的管线及安装所需的一切费用由施工方自行承担（该费用已由投标单位在投标时综合考虑并已考虑到投标报价中）</w:t>
            </w:r>
            <w:r>
              <w:rPr>
                <w:rFonts w:hint="eastAsia" w:ascii="宋体" w:hAnsi="宋体" w:cs="宋体"/>
                <w:sz w:val="24"/>
                <w:szCs w:val="24"/>
                <w:highlight w:val="none"/>
                <w:lang w:eastAsia="zh-CN"/>
              </w:rPr>
              <w:t>，如因现场条件无法挂表，则水电费按合同价的千分之一点五扣除</w:t>
            </w:r>
            <w:r>
              <w:rPr>
                <w:rFonts w:hint="eastAsia" w:ascii="宋体" w:hAnsi="宋体" w:cs="宋体"/>
                <w:sz w:val="24"/>
                <w:szCs w:val="24"/>
                <w:highlight w:val="none"/>
              </w:rPr>
              <w:t>；</w:t>
            </w:r>
          </w:p>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4.中标单位需做好现场及成品保护工作（包含原有设备、建筑物、道路、绿化等该费用由投标单位在投标时综合考虑并已考虑到投标报价中）；</w:t>
            </w:r>
          </w:p>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5.拆除项目中垃圾、余土要求装袋、外运、填埋场地及无害化处理投标单位自行考虑报价，校园内不允许堆放任何垃圾（清单项目特征中不再重复描述），如有残值的材料必须经招标人确认后，投标人自行处理。</w:t>
            </w:r>
          </w:p>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6.所有材料检验、试验费用由中标人承担。</w:t>
            </w:r>
          </w:p>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7.与其他施工单位配合的费用。</w:t>
            </w:r>
          </w:p>
          <w:p>
            <w:pPr>
              <w:rPr>
                <w:rFonts w:ascii="宋体" w:hAnsi="宋体" w:cs="宋体"/>
                <w:sz w:val="24"/>
                <w:szCs w:val="24"/>
                <w:highlight w:val="none"/>
              </w:rPr>
            </w:pPr>
            <w:r>
              <w:rPr>
                <w:rFonts w:ascii="宋体" w:hAnsi="宋体" w:cs="宋体"/>
                <w:sz w:val="24"/>
                <w:szCs w:val="24"/>
                <w:highlight w:val="none"/>
              </w:rPr>
              <w:t>8</w:t>
            </w:r>
            <w:r>
              <w:rPr>
                <w:rFonts w:hint="eastAsia" w:ascii="宋体" w:hAnsi="宋体" w:cs="宋体"/>
                <w:sz w:val="24"/>
                <w:szCs w:val="24"/>
                <w:highlight w:val="none"/>
              </w:rPr>
              <w:t>.施工期间，学校不提供食宿，自行解决，</w:t>
            </w:r>
            <w:r>
              <w:rPr>
                <w:rFonts w:hint="eastAsia" w:ascii="宋体" w:hAnsi="宋体"/>
                <w:sz w:val="24"/>
                <w:szCs w:val="24"/>
                <w:highlight w:val="none"/>
              </w:rPr>
              <w:t>严禁施工人员到学校食堂用餐</w:t>
            </w:r>
            <w:r>
              <w:rPr>
                <w:rFonts w:hint="eastAsia" w:ascii="宋体" w:hAnsi="宋体" w:cs="宋体"/>
                <w:sz w:val="24"/>
                <w:szCs w:val="24"/>
                <w:highlight w:val="none"/>
              </w:rPr>
              <w:t>。</w:t>
            </w:r>
          </w:p>
          <w:p>
            <w:pPr>
              <w:spacing w:line="360" w:lineRule="auto"/>
              <w:rPr>
                <w:rFonts w:ascii="宋体" w:hAnsi="宋体" w:cs="宋体"/>
                <w:sz w:val="24"/>
                <w:szCs w:val="24"/>
                <w:highlight w:val="none"/>
              </w:rPr>
            </w:pPr>
            <w:r>
              <w:rPr>
                <w:rFonts w:ascii="宋体" w:hAnsi="宋体" w:cs="宋体"/>
                <w:sz w:val="24"/>
                <w:szCs w:val="24"/>
                <w:highlight w:val="none"/>
              </w:rPr>
              <w:t>9</w:t>
            </w:r>
            <w:r>
              <w:rPr>
                <w:rFonts w:hint="eastAsia" w:ascii="宋体" w:hAnsi="宋体" w:cs="宋体"/>
                <w:sz w:val="24"/>
                <w:szCs w:val="24"/>
                <w:highlight w:val="none"/>
              </w:rPr>
              <w:t>.中标单位须严格执行合同附件《中国药科大学校内工程疫情防控管理承诺书》，疫情期间承包人应就国家防疫政策应做好人员防疫工作，制定防疫方案、疫情应急处理机制，全面部署工地防疫工作，务必采取得力措施防范疫情发生，并将为满足防疫要求带来的费用增加（包括但不限于现场封闭围挡等措施费用，人工、建材价格上涨等成本费用，由疫情防护发生的物资费用和防护人员费用等）考虑到投标报价内，结算时将不再调整。对因不可抗力导致工期延误，合理顺延合同工期，对于停工期间或工期延误增加的费用承包人应考虑到投标报价中，结算时将不再调整。</w:t>
            </w:r>
          </w:p>
          <w:p>
            <w:pPr>
              <w:widowControl/>
              <w:spacing w:line="360" w:lineRule="auto"/>
              <w:jc w:val="left"/>
              <w:rPr>
                <w:rFonts w:ascii="宋体" w:hAnsi="宋体" w:cs="宋体"/>
                <w:sz w:val="24"/>
                <w:szCs w:val="24"/>
                <w:highlight w:val="none"/>
              </w:rPr>
            </w:pPr>
            <w:r>
              <w:rPr>
                <w:rFonts w:hint="eastAsia" w:ascii="宋体" w:hAnsi="宋体" w:cs="宋体"/>
                <w:sz w:val="24"/>
                <w:szCs w:val="24"/>
                <w:highlight w:val="none"/>
              </w:rPr>
              <w:t>10.现场满足环保及政府相关要求。</w:t>
            </w:r>
          </w:p>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11.投标人对招标文件中项目需求的技术标准与商务条款逐项作出应答，并提供依据和证明材料，如未提供评标委员会有权予以否决或做负偏离处理。</w:t>
            </w:r>
          </w:p>
          <w:p>
            <w:pPr>
              <w:widowControl/>
              <w:spacing w:line="312" w:lineRule="auto"/>
              <w:jc w:val="left"/>
              <w:rPr>
                <w:rFonts w:ascii="宋体" w:hAnsi="宋体" w:cs="宋体"/>
                <w:sz w:val="24"/>
                <w:szCs w:val="24"/>
                <w:highlight w:val="none"/>
              </w:rPr>
            </w:pPr>
            <w:r>
              <w:rPr>
                <w:rFonts w:hint="eastAsia" w:ascii="宋体" w:hAnsi="宋体" w:cs="宋体"/>
                <w:sz w:val="24"/>
                <w:szCs w:val="24"/>
                <w:highlight w:val="none"/>
              </w:rPr>
              <w:t>12.多项目同一项目负责人拟中标的处理</w:t>
            </w:r>
          </w:p>
          <w:p>
            <w:pPr>
              <w:widowControl/>
              <w:spacing w:line="312" w:lineRule="auto"/>
              <w:jc w:val="left"/>
              <w:rPr>
                <w:rFonts w:ascii="宋体" w:hAnsi="宋体" w:cs="宋体"/>
                <w:highlight w:val="none"/>
              </w:rPr>
            </w:pPr>
            <w:r>
              <w:rPr>
                <w:rFonts w:hint="eastAsia" w:ascii="宋体" w:hAnsi="宋体" w:cs="宋体"/>
                <w:sz w:val="24"/>
                <w:szCs w:val="24"/>
                <w:highlight w:val="none"/>
              </w:rPr>
              <w:t>企业应当慎重考虑选派一名项目负责人同时参加多个工程项目投标竞争的数量。其所选派的项目负责人在多个工程项目均为拟中标人的，企业经招标人同意可放弃某项目中标，但应当依法承担相应法律责任；未放弃的，按照不同工程项目中标结果公告时间先后，担任本企业最先中标项目的项目负责人。后确定该企业为中标人的工程项目的招标人应当取消其中标资格，按照评标委员会提出的中标候选人名单排序依次确定其他中标候选人为中标人。</w:t>
            </w:r>
          </w:p>
        </w:tc>
      </w:tr>
    </w:tbl>
    <w:p>
      <w:pPr>
        <w:rPr>
          <w:rFonts w:ascii="宋体" w:hAnsi="宋体" w:cs="宋体"/>
          <w:b/>
          <w:sz w:val="28"/>
          <w:szCs w:val="28"/>
          <w:highlight w:val="none"/>
        </w:rPr>
      </w:pPr>
      <w:r>
        <w:rPr>
          <w:rFonts w:hint="eastAsia" w:ascii="宋体" w:hAnsi="宋体" w:cs="宋体"/>
          <w:b/>
          <w:sz w:val="28"/>
          <w:szCs w:val="28"/>
          <w:highlight w:val="none"/>
        </w:rPr>
        <w:br w:type="page"/>
      </w:r>
    </w:p>
    <w:p>
      <w:pPr>
        <w:tabs>
          <w:tab w:val="left" w:pos="2118"/>
        </w:tabs>
        <w:spacing w:line="360" w:lineRule="auto"/>
        <w:ind w:firstLine="482" w:firstLineChars="200"/>
        <w:outlineLvl w:val="1"/>
        <w:rPr>
          <w:rFonts w:ascii="宋体" w:hAnsi="宋体" w:cs="宋体"/>
          <w:b/>
          <w:sz w:val="24"/>
          <w:szCs w:val="24"/>
          <w:highlight w:val="none"/>
        </w:rPr>
      </w:pPr>
      <w:r>
        <w:rPr>
          <w:rFonts w:hint="eastAsia" w:ascii="宋体" w:hAnsi="宋体" w:cs="宋体"/>
          <w:b/>
          <w:sz w:val="24"/>
          <w:szCs w:val="24"/>
          <w:highlight w:val="none"/>
        </w:rPr>
        <w:t>一、总则</w:t>
      </w:r>
    </w:p>
    <w:p>
      <w:pPr>
        <w:spacing w:line="360" w:lineRule="auto"/>
        <w:ind w:firstLine="482" w:firstLineChars="200"/>
        <w:rPr>
          <w:rFonts w:ascii="宋体" w:hAnsi="宋体" w:cs="宋体"/>
          <w:b/>
          <w:sz w:val="24"/>
          <w:szCs w:val="24"/>
          <w:highlight w:val="none"/>
        </w:rPr>
      </w:pPr>
      <w:r>
        <w:rPr>
          <w:rFonts w:hint="eastAsia" w:ascii="宋体" w:hAnsi="宋体" w:cs="宋体"/>
          <w:b/>
          <w:sz w:val="24"/>
          <w:szCs w:val="24"/>
          <w:highlight w:val="none"/>
        </w:rPr>
        <w:t>1、适用法律</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1.1 《中华人民共和国政府采购法》、《中华人民共和国政府采购法实施条例》、《政府采购货物和服务招标投标管理办法》等有关法律、规章和规定等。</w:t>
      </w:r>
    </w:p>
    <w:p>
      <w:pPr>
        <w:spacing w:line="360" w:lineRule="auto"/>
        <w:ind w:firstLine="482" w:firstLineChars="200"/>
        <w:rPr>
          <w:rFonts w:ascii="宋体" w:hAnsi="宋体" w:cs="宋体"/>
          <w:b/>
          <w:sz w:val="24"/>
          <w:szCs w:val="24"/>
          <w:highlight w:val="none"/>
        </w:rPr>
      </w:pPr>
      <w:r>
        <w:rPr>
          <w:rFonts w:hint="eastAsia" w:ascii="宋体" w:hAnsi="宋体" w:cs="宋体"/>
          <w:b/>
          <w:sz w:val="24"/>
          <w:szCs w:val="24"/>
          <w:highlight w:val="none"/>
        </w:rPr>
        <w:t>2、定义</w:t>
      </w:r>
    </w:p>
    <w:p>
      <w:pPr>
        <w:pStyle w:val="33"/>
        <w:tabs>
          <w:tab w:val="left" w:pos="1335"/>
        </w:tabs>
        <w:spacing w:line="360" w:lineRule="auto"/>
        <w:ind w:firstLine="480"/>
        <w:rPr>
          <w:rFonts w:ascii="宋体" w:hAnsi="宋体" w:cs="宋体"/>
          <w:sz w:val="24"/>
          <w:szCs w:val="24"/>
          <w:highlight w:val="none"/>
        </w:rPr>
      </w:pPr>
      <w:r>
        <w:rPr>
          <w:rFonts w:hint="eastAsia" w:ascii="宋体" w:hAnsi="宋体" w:cs="宋体"/>
          <w:sz w:val="24"/>
          <w:szCs w:val="24"/>
          <w:highlight w:val="none"/>
        </w:rPr>
        <w:t>2.1“供应商”、“投标人”是指参加投标竞争，并符合招标文件规定资格条件的法人、其他组织或者自然人。</w:t>
      </w:r>
    </w:p>
    <w:p>
      <w:pPr>
        <w:tabs>
          <w:tab w:val="left" w:pos="1335"/>
        </w:tabs>
        <w:spacing w:line="360" w:lineRule="auto"/>
        <w:ind w:firstLine="476" w:firstLineChars="200"/>
        <w:rPr>
          <w:rFonts w:ascii="宋体" w:hAnsi="宋体" w:cs="宋体"/>
          <w:sz w:val="24"/>
          <w:szCs w:val="24"/>
          <w:highlight w:val="none"/>
        </w:rPr>
      </w:pPr>
      <w:r>
        <w:rPr>
          <w:rFonts w:hint="eastAsia" w:ascii="宋体" w:hAnsi="宋体" w:cs="宋体"/>
          <w:spacing w:val="-1"/>
          <w:sz w:val="24"/>
          <w:szCs w:val="24"/>
          <w:highlight w:val="none"/>
        </w:rPr>
        <w:t>2.2“服务”指本招标文件中所述产品及相关服务。</w:t>
      </w:r>
    </w:p>
    <w:p>
      <w:pPr>
        <w:tabs>
          <w:tab w:val="left" w:pos="1335"/>
        </w:tabs>
        <w:spacing w:line="360" w:lineRule="auto"/>
        <w:ind w:firstLine="472" w:firstLineChars="200"/>
        <w:rPr>
          <w:rFonts w:ascii="宋体" w:hAnsi="宋体" w:cs="宋体"/>
          <w:sz w:val="24"/>
          <w:szCs w:val="24"/>
          <w:highlight w:val="none"/>
        </w:rPr>
      </w:pPr>
      <w:r>
        <w:rPr>
          <w:rFonts w:hint="eastAsia" w:ascii="宋体" w:hAnsi="宋体" w:cs="宋体"/>
          <w:spacing w:val="-2"/>
          <w:sz w:val="24"/>
          <w:szCs w:val="24"/>
          <w:highlight w:val="none"/>
        </w:rPr>
        <w:t>2.3“用户或使用单位”是指使用货物、服务的单位。</w:t>
      </w:r>
    </w:p>
    <w:p>
      <w:pPr>
        <w:spacing w:line="360" w:lineRule="auto"/>
        <w:ind w:firstLine="482" w:firstLineChars="200"/>
        <w:rPr>
          <w:rFonts w:ascii="宋体" w:hAnsi="宋体" w:cs="宋体"/>
          <w:b/>
          <w:sz w:val="24"/>
          <w:szCs w:val="24"/>
          <w:highlight w:val="none"/>
        </w:rPr>
      </w:pPr>
      <w:r>
        <w:rPr>
          <w:rFonts w:hint="eastAsia" w:ascii="宋体" w:hAnsi="宋体" w:cs="宋体"/>
          <w:b/>
          <w:sz w:val="24"/>
          <w:szCs w:val="24"/>
          <w:highlight w:val="none"/>
        </w:rPr>
        <w:t>3、政策功能</w:t>
      </w:r>
    </w:p>
    <w:p>
      <w:pPr>
        <w:spacing w:line="336" w:lineRule="auto"/>
        <w:ind w:firstLine="480" w:firstLineChars="200"/>
        <w:rPr>
          <w:rFonts w:ascii="宋体" w:hAnsi="宋体"/>
          <w:sz w:val="24"/>
          <w:szCs w:val="24"/>
          <w:highlight w:val="none"/>
        </w:rPr>
      </w:pPr>
      <w:r>
        <w:rPr>
          <w:rFonts w:hint="eastAsia" w:ascii="宋体" w:hAnsi="宋体"/>
          <w:sz w:val="24"/>
          <w:szCs w:val="24"/>
          <w:highlight w:val="none"/>
        </w:rPr>
        <w:t>3.1本项目为专门面向中小企业采购的项目，供应商须为中小微企业、监狱企业、残疾人福利性单位（须提供中小企业或残疾人福利性、监狱单位证明原件）。非中小型企业参与本项目投标，将做无效标处理。</w:t>
      </w:r>
    </w:p>
    <w:p>
      <w:pPr>
        <w:pStyle w:val="33"/>
        <w:tabs>
          <w:tab w:val="left" w:pos="1335"/>
        </w:tabs>
        <w:spacing w:line="360" w:lineRule="auto"/>
        <w:ind w:firstLine="480"/>
        <w:rPr>
          <w:rFonts w:ascii="宋体" w:hAnsi="宋体" w:cs="宋体"/>
          <w:sz w:val="24"/>
          <w:szCs w:val="24"/>
          <w:highlight w:val="none"/>
        </w:rPr>
      </w:pPr>
      <w:r>
        <w:rPr>
          <w:rFonts w:hint="eastAsia" w:ascii="宋体" w:hAnsi="宋体" w:cs="宋体"/>
          <w:sz w:val="24"/>
          <w:szCs w:val="24"/>
          <w:highlight w:val="none"/>
        </w:rPr>
        <w:t>3.2强制采购节能产品、信息安全产品，优先采购环境标志产品。节能产品是指列入财政部、国家发展和改革委员会制定的《节能产品政府采购清单》，且经过认定的节能产品；信息安全产品是指列入国家质检总局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 并获得强制性产品认证证书的产品；环境标志产品是指列入财政部、国家环保总局制定的《环境标志产品政府采购清单》，且经过认证的环境标志产品。</w:t>
      </w:r>
    </w:p>
    <w:p>
      <w:pPr>
        <w:pStyle w:val="33"/>
        <w:tabs>
          <w:tab w:val="left" w:pos="1335"/>
        </w:tabs>
        <w:spacing w:line="360" w:lineRule="auto"/>
        <w:ind w:firstLine="480"/>
        <w:rPr>
          <w:rFonts w:ascii="宋体" w:hAnsi="宋体" w:cs="宋体"/>
          <w:sz w:val="24"/>
          <w:szCs w:val="24"/>
          <w:highlight w:val="none"/>
        </w:rPr>
      </w:pPr>
      <w:r>
        <w:rPr>
          <w:rFonts w:hint="eastAsia" w:ascii="宋体" w:hAnsi="宋体" w:cs="宋体"/>
          <w:sz w:val="24"/>
          <w:szCs w:val="24"/>
          <w:highlight w:val="none"/>
        </w:rPr>
        <w:t>3.3提供的产品属于信息安全产品的，供应商应当选择经国家认证的信息安全产品，并提供由中国信息安全认证中心按国家标准认证颁发的有效认证证书复印件。</w:t>
      </w:r>
    </w:p>
    <w:p>
      <w:pPr>
        <w:pStyle w:val="33"/>
        <w:tabs>
          <w:tab w:val="left" w:pos="1335"/>
        </w:tabs>
        <w:spacing w:line="360" w:lineRule="auto"/>
        <w:ind w:firstLine="480"/>
        <w:rPr>
          <w:rFonts w:ascii="宋体" w:hAnsi="宋体" w:cs="宋体"/>
          <w:sz w:val="24"/>
          <w:szCs w:val="24"/>
          <w:highlight w:val="none"/>
        </w:rPr>
      </w:pPr>
      <w:r>
        <w:rPr>
          <w:rFonts w:hint="eastAsia" w:ascii="宋体" w:hAnsi="宋体" w:cs="宋体"/>
          <w:sz w:val="24"/>
          <w:szCs w:val="24"/>
          <w:highlight w:val="none"/>
        </w:rPr>
        <w:t>3.4提供的产品属于政府强制采购节能产品的，供应商应当选择《节能产品政府采购清单》中的产品，并提供有效的节能产品认证证书复印件。</w:t>
      </w:r>
    </w:p>
    <w:p>
      <w:pPr>
        <w:pStyle w:val="33"/>
        <w:tabs>
          <w:tab w:val="left" w:pos="1335"/>
        </w:tabs>
        <w:spacing w:line="360" w:lineRule="auto"/>
        <w:ind w:firstLine="480"/>
        <w:rPr>
          <w:rFonts w:ascii="宋体" w:hAnsi="宋体" w:cs="宋体"/>
          <w:sz w:val="24"/>
          <w:szCs w:val="24"/>
          <w:highlight w:val="none"/>
        </w:rPr>
      </w:pPr>
      <w:r>
        <w:rPr>
          <w:rFonts w:hint="eastAsia" w:ascii="宋体" w:hAnsi="宋体" w:cs="宋体"/>
          <w:sz w:val="24"/>
          <w:szCs w:val="24"/>
          <w:highlight w:val="none"/>
        </w:rPr>
        <w:t>3.5提供的产品属于环境标志产品的,供应商应当选择《环境标志产品政府采购清单》中的,且经过认证的环境标志产品投标,并提供有效的环境标志产品认证证书复印件。</w:t>
      </w:r>
    </w:p>
    <w:p>
      <w:pPr>
        <w:spacing w:line="360" w:lineRule="auto"/>
        <w:ind w:firstLine="482" w:firstLineChars="200"/>
        <w:outlineLvl w:val="1"/>
        <w:rPr>
          <w:rFonts w:ascii="宋体" w:hAnsi="宋体" w:cs="宋体"/>
          <w:b/>
          <w:sz w:val="24"/>
          <w:szCs w:val="24"/>
          <w:highlight w:val="none"/>
        </w:rPr>
      </w:pPr>
      <w:r>
        <w:rPr>
          <w:rFonts w:hint="eastAsia" w:ascii="宋体" w:hAnsi="宋体" w:cs="宋体"/>
          <w:b/>
          <w:sz w:val="24"/>
          <w:szCs w:val="24"/>
          <w:highlight w:val="none"/>
        </w:rPr>
        <w:t>二、招标文件</w:t>
      </w:r>
    </w:p>
    <w:p>
      <w:pPr>
        <w:pStyle w:val="16"/>
        <w:spacing w:line="360" w:lineRule="auto"/>
        <w:ind w:firstLine="482" w:firstLineChars="200"/>
        <w:rPr>
          <w:b/>
          <w:highlight w:val="none"/>
        </w:rPr>
      </w:pPr>
      <w:r>
        <w:rPr>
          <w:rFonts w:hint="eastAsia"/>
          <w:b/>
          <w:highlight w:val="none"/>
        </w:rPr>
        <w:t>4、招标文件组成</w:t>
      </w:r>
    </w:p>
    <w:p>
      <w:pPr>
        <w:pStyle w:val="33"/>
        <w:tabs>
          <w:tab w:val="left" w:pos="1335"/>
        </w:tabs>
        <w:spacing w:line="360" w:lineRule="auto"/>
        <w:ind w:firstLine="480"/>
        <w:rPr>
          <w:rFonts w:ascii="宋体" w:hAnsi="宋体" w:cs="宋体"/>
          <w:sz w:val="24"/>
          <w:szCs w:val="24"/>
          <w:highlight w:val="none"/>
        </w:rPr>
      </w:pPr>
      <w:r>
        <w:rPr>
          <w:rFonts w:hint="eastAsia" w:ascii="宋体" w:hAnsi="宋体" w:cs="宋体"/>
          <w:sz w:val="24"/>
          <w:szCs w:val="24"/>
          <w:highlight w:val="none"/>
        </w:rPr>
        <w:t>4.1招标文件组成：招标公告、供应商须知、供应商应当提交的资格和资信证明文件、投标报价要求、投标文件编制要求和投标保证金缴纳方式、招标项目的服务要求和数量、合同主要条款及合同签订方式、提供服务的时间、付款条件、评标方法、评标标准、无效投标和废标条款、附件等。</w:t>
      </w:r>
    </w:p>
    <w:p>
      <w:pPr>
        <w:pStyle w:val="33"/>
        <w:tabs>
          <w:tab w:val="left" w:pos="1335"/>
        </w:tabs>
        <w:spacing w:line="360" w:lineRule="auto"/>
        <w:ind w:firstLine="480"/>
        <w:rPr>
          <w:rFonts w:ascii="宋体" w:hAnsi="宋体" w:cs="宋体"/>
          <w:sz w:val="24"/>
          <w:szCs w:val="24"/>
          <w:highlight w:val="none"/>
        </w:rPr>
      </w:pPr>
      <w:r>
        <w:rPr>
          <w:rFonts w:hint="eastAsia" w:ascii="宋体" w:hAnsi="宋体" w:cs="宋体"/>
          <w:sz w:val="24"/>
          <w:szCs w:val="24"/>
          <w:highlight w:val="none"/>
        </w:rPr>
        <w:t>4.2招标文件如果要求供应商提交备选投标方案的，供应商可以</w:t>
      </w:r>
      <w:r>
        <w:rPr>
          <w:rFonts w:hint="eastAsia" w:ascii="宋体" w:hAnsi="宋体" w:cs="宋体"/>
          <w:spacing w:val="-1"/>
          <w:sz w:val="24"/>
          <w:szCs w:val="24"/>
          <w:highlight w:val="none"/>
        </w:rPr>
        <w:t>提交备选方案；否则，备选方案将被拒绝。</w:t>
      </w:r>
    </w:p>
    <w:p>
      <w:pPr>
        <w:spacing w:line="360" w:lineRule="auto"/>
        <w:ind w:firstLine="482" w:firstLineChars="200"/>
        <w:rPr>
          <w:rFonts w:ascii="宋体" w:hAnsi="宋体" w:cs="宋体"/>
          <w:b/>
          <w:sz w:val="24"/>
          <w:szCs w:val="24"/>
          <w:highlight w:val="none"/>
        </w:rPr>
      </w:pPr>
      <w:r>
        <w:rPr>
          <w:rFonts w:hint="eastAsia" w:ascii="宋体" w:hAnsi="宋体" w:cs="宋体"/>
          <w:b/>
          <w:sz w:val="24"/>
          <w:szCs w:val="24"/>
          <w:highlight w:val="none"/>
        </w:rPr>
        <w:t>5、招标文件的澄清、修改</w:t>
      </w:r>
    </w:p>
    <w:p>
      <w:pPr>
        <w:pStyle w:val="33"/>
        <w:tabs>
          <w:tab w:val="left" w:pos="1335"/>
        </w:tabs>
        <w:spacing w:line="360" w:lineRule="auto"/>
        <w:ind w:firstLine="480"/>
        <w:rPr>
          <w:rFonts w:ascii="宋体" w:hAnsi="宋体" w:cs="宋体"/>
          <w:sz w:val="24"/>
          <w:szCs w:val="24"/>
          <w:highlight w:val="none"/>
        </w:rPr>
      </w:pPr>
      <w:r>
        <w:rPr>
          <w:rFonts w:hint="eastAsia" w:ascii="宋体" w:hAnsi="宋体" w:cs="宋体"/>
          <w:sz w:val="24"/>
          <w:szCs w:val="24"/>
          <w:highlight w:val="none"/>
        </w:rPr>
        <w:t>5.1代理机构对已发出的招标文件进行必要澄清或者修改的，将在招标文件要求提交投标文件截止时间</w:t>
      </w:r>
      <w:r>
        <w:rPr>
          <w:rFonts w:hint="eastAsia" w:ascii="宋体" w:hAnsi="宋体" w:cs="宋体"/>
          <w:b/>
          <w:spacing w:val="5"/>
          <w:sz w:val="24"/>
          <w:szCs w:val="24"/>
          <w:highlight w:val="none"/>
          <w:u w:val="single"/>
        </w:rPr>
        <w:t>十五日</w:t>
      </w:r>
      <w:r>
        <w:rPr>
          <w:rFonts w:hint="eastAsia" w:ascii="宋体" w:hAnsi="宋体" w:cs="宋体"/>
          <w:sz w:val="24"/>
          <w:szCs w:val="24"/>
          <w:highlight w:val="none"/>
        </w:rPr>
        <w:t>前，在原招标公告媒</w:t>
      </w:r>
      <w:r>
        <w:rPr>
          <w:rFonts w:hint="eastAsia" w:ascii="宋体" w:hAnsi="宋体" w:cs="宋体"/>
          <w:spacing w:val="-1"/>
          <w:sz w:val="24"/>
          <w:szCs w:val="24"/>
          <w:highlight w:val="none"/>
        </w:rPr>
        <w:t>体发布更正公告，该澄清或者修改的内容为招标文件的组成部分。</w:t>
      </w:r>
    </w:p>
    <w:p>
      <w:pPr>
        <w:pStyle w:val="33"/>
        <w:tabs>
          <w:tab w:val="left" w:pos="1335"/>
        </w:tabs>
        <w:spacing w:line="360" w:lineRule="auto"/>
        <w:ind w:firstLine="480"/>
        <w:rPr>
          <w:rFonts w:ascii="宋体" w:hAnsi="宋体" w:cs="宋体"/>
          <w:sz w:val="24"/>
          <w:szCs w:val="24"/>
          <w:highlight w:val="none"/>
        </w:rPr>
      </w:pPr>
      <w:r>
        <w:rPr>
          <w:rFonts w:hint="eastAsia" w:ascii="宋体" w:hAnsi="宋体" w:cs="宋体"/>
          <w:sz w:val="24"/>
          <w:szCs w:val="24"/>
          <w:highlight w:val="none"/>
        </w:rPr>
        <w:t>5.2代理机构在招标文件要求提交投标文件截止时间前，有权决定延长投标截止时间和开标时间，并在原采购信息发布媒体上发布变更公告。</w:t>
      </w:r>
    </w:p>
    <w:p>
      <w:pPr>
        <w:pStyle w:val="33"/>
        <w:tabs>
          <w:tab w:val="left" w:pos="1335"/>
        </w:tabs>
        <w:spacing w:line="360" w:lineRule="auto"/>
        <w:ind w:firstLine="480"/>
        <w:rPr>
          <w:rFonts w:ascii="宋体" w:hAnsi="宋体" w:cs="宋体"/>
          <w:sz w:val="24"/>
          <w:szCs w:val="24"/>
          <w:highlight w:val="none"/>
        </w:rPr>
      </w:pPr>
      <w:r>
        <w:rPr>
          <w:rFonts w:hint="eastAsia" w:ascii="宋体" w:hAnsi="宋体" w:cs="宋体"/>
          <w:sz w:val="24"/>
          <w:szCs w:val="24"/>
          <w:highlight w:val="none"/>
        </w:rPr>
        <w:t>5.3供应商应在投标截止时间前关注原采购信息发布媒体上有关本招标项目有无变更公告。</w:t>
      </w:r>
    </w:p>
    <w:p>
      <w:pPr>
        <w:spacing w:line="360" w:lineRule="auto"/>
        <w:ind w:firstLine="482" w:firstLineChars="200"/>
        <w:jc w:val="left"/>
        <w:outlineLvl w:val="1"/>
        <w:rPr>
          <w:rFonts w:ascii="宋体" w:hAnsi="宋体" w:cs="宋体"/>
          <w:b/>
          <w:sz w:val="24"/>
          <w:szCs w:val="24"/>
          <w:highlight w:val="none"/>
        </w:rPr>
      </w:pPr>
      <w:r>
        <w:rPr>
          <w:rFonts w:hint="eastAsia" w:ascii="宋体" w:hAnsi="宋体" w:cs="宋体"/>
          <w:b/>
          <w:sz w:val="24"/>
          <w:szCs w:val="24"/>
          <w:highlight w:val="none"/>
        </w:rPr>
        <w:t>三、投标</w:t>
      </w:r>
    </w:p>
    <w:p>
      <w:pPr>
        <w:pStyle w:val="33"/>
        <w:spacing w:line="360" w:lineRule="auto"/>
        <w:ind w:left="420" w:leftChars="200" w:firstLine="0" w:firstLineChars="0"/>
        <w:jc w:val="left"/>
        <w:rPr>
          <w:rFonts w:ascii="宋体" w:hAnsi="宋体" w:cs="宋体"/>
          <w:b/>
          <w:sz w:val="24"/>
          <w:szCs w:val="24"/>
          <w:highlight w:val="none"/>
        </w:rPr>
      </w:pPr>
      <w:r>
        <w:rPr>
          <w:rFonts w:hint="eastAsia" w:ascii="宋体" w:hAnsi="宋体" w:cs="宋体"/>
          <w:b/>
          <w:sz w:val="24"/>
          <w:szCs w:val="24"/>
          <w:highlight w:val="none"/>
        </w:rPr>
        <w:t>6、投标文件的语言、计量单位、货币和编制</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6.1供应商提交的投标文件、技术文件和资料，包括图纸中的说明。投标文件中若有英文或其他语言文字的资料，应提供相应的中文翻译资料。对不同文本投标文件的解释发生异议的，以中文文本为准。</w:t>
      </w:r>
    </w:p>
    <w:p>
      <w:pPr>
        <w:spacing w:line="360" w:lineRule="auto"/>
        <w:ind w:firstLine="476" w:firstLineChars="200"/>
        <w:rPr>
          <w:rFonts w:ascii="宋体" w:hAnsi="宋体" w:cs="宋体"/>
          <w:sz w:val="24"/>
          <w:szCs w:val="24"/>
          <w:highlight w:val="none"/>
        </w:rPr>
      </w:pPr>
      <w:r>
        <w:rPr>
          <w:rFonts w:hint="eastAsia" w:ascii="宋体" w:hAnsi="宋体" w:cs="宋体"/>
          <w:spacing w:val="-1"/>
          <w:sz w:val="24"/>
          <w:szCs w:val="24"/>
          <w:highlight w:val="none"/>
        </w:rPr>
        <w:t>6.2供应商所使用的计量单位应为国家法定计量单位。</w:t>
      </w:r>
    </w:p>
    <w:p>
      <w:pPr>
        <w:spacing w:line="360" w:lineRule="auto"/>
        <w:ind w:firstLine="476" w:firstLineChars="200"/>
        <w:rPr>
          <w:rFonts w:ascii="宋体" w:hAnsi="宋体" w:cs="宋体"/>
          <w:sz w:val="24"/>
          <w:szCs w:val="24"/>
          <w:highlight w:val="none"/>
        </w:rPr>
      </w:pPr>
      <w:r>
        <w:rPr>
          <w:rFonts w:hint="eastAsia" w:ascii="宋体" w:hAnsi="宋体" w:cs="宋体"/>
          <w:spacing w:val="-1"/>
          <w:sz w:val="24"/>
          <w:szCs w:val="24"/>
          <w:highlight w:val="none"/>
        </w:rPr>
        <w:t>6.3供应商应用人民币报价。</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6.4投标文件应字迹清楚、内容齐全、不得涂改。如有修改，修</w:t>
      </w:r>
      <w:r>
        <w:rPr>
          <w:rFonts w:hint="eastAsia" w:ascii="宋体" w:hAnsi="宋体" w:cs="宋体"/>
          <w:spacing w:val="-1"/>
          <w:sz w:val="24"/>
          <w:szCs w:val="24"/>
          <w:highlight w:val="none"/>
        </w:rPr>
        <w:t>改处须有供应商公章和法定代表人或其授权的供应商代表签字。</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6.5投标文件应按照招标文件规定的顺序，统一用A4规格幅面打印、胶装成册并编制目录，由于编排混乱导致投标文件被误读或查找不到，责任由供应商承担。投标文件应逐页编码，不得跳页（包括但不限于授权、证明材料、声明及产品介绍、彩页等）。</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6.6供应商应在投标文件中写清相应的项目编号、项目名称、供应商全称、地址、电话、传真等。</w:t>
      </w:r>
    </w:p>
    <w:p>
      <w:pPr>
        <w:spacing w:line="360" w:lineRule="auto"/>
        <w:ind w:firstLine="482" w:firstLineChars="200"/>
        <w:jc w:val="left"/>
        <w:rPr>
          <w:rFonts w:ascii="宋体" w:hAnsi="宋体" w:cs="宋体"/>
          <w:b/>
          <w:sz w:val="24"/>
          <w:szCs w:val="24"/>
          <w:highlight w:val="none"/>
        </w:rPr>
      </w:pPr>
      <w:r>
        <w:rPr>
          <w:rFonts w:hint="eastAsia" w:ascii="宋体" w:hAnsi="宋体" w:cs="宋体"/>
          <w:b/>
          <w:sz w:val="24"/>
          <w:szCs w:val="24"/>
          <w:highlight w:val="none"/>
        </w:rPr>
        <w:t>7、投标费用</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7.1 供应商应自行承担所有与准备和参加投标有关的费用。代理服务费按计价[2002]1980号文规定的收费标准的40%收取，由中标人支付招标代理服务费。投标人仅需对提供的单次服务的代理服务费进行报价，报价包含与评标相关的所有费用（如专家费等）。</w:t>
      </w:r>
    </w:p>
    <w:p>
      <w:pPr>
        <w:pStyle w:val="33"/>
        <w:spacing w:line="360" w:lineRule="auto"/>
        <w:ind w:left="420" w:leftChars="200" w:firstLine="0" w:firstLineChars="0"/>
        <w:jc w:val="left"/>
        <w:rPr>
          <w:rFonts w:ascii="宋体" w:hAnsi="宋体" w:cs="宋体"/>
          <w:b/>
          <w:sz w:val="24"/>
          <w:szCs w:val="24"/>
          <w:highlight w:val="none"/>
        </w:rPr>
      </w:pPr>
      <w:r>
        <w:rPr>
          <w:rFonts w:hint="eastAsia" w:ascii="宋体" w:hAnsi="宋体" w:cs="宋体"/>
          <w:b/>
          <w:sz w:val="24"/>
          <w:szCs w:val="24"/>
          <w:highlight w:val="none"/>
        </w:rPr>
        <w:t>8、投标文件组成</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8.1供应商应当根据招标文件要求编制投标文件，投标文件应对招标文件提出的要求和条件作出实质性响应，并在《商务条款偏离</w:t>
      </w:r>
      <w:r>
        <w:rPr>
          <w:rFonts w:hint="eastAsia" w:ascii="宋体" w:hAnsi="宋体" w:cs="宋体"/>
          <w:spacing w:val="-7"/>
          <w:sz w:val="24"/>
          <w:szCs w:val="24"/>
          <w:highlight w:val="none"/>
        </w:rPr>
        <w:t>表》等处逐条标明满足与否。</w:t>
      </w:r>
    </w:p>
    <w:p>
      <w:pPr>
        <w:pStyle w:val="16"/>
        <w:spacing w:line="360" w:lineRule="auto"/>
        <w:ind w:firstLine="480" w:firstLineChars="200"/>
        <w:jc w:val="left"/>
        <w:rPr>
          <w:highlight w:val="none"/>
        </w:rPr>
      </w:pPr>
      <w:r>
        <w:rPr>
          <w:rFonts w:hint="eastAsia"/>
          <w:highlight w:val="none"/>
        </w:rPr>
        <w:t>8.2供应商根据招标文件载明的标的采购项目实际情况，拟在中标后将中标项目的非主体、非关键性工作交由他人完成的，应当在投标文件中载明。</w:t>
      </w:r>
    </w:p>
    <w:p>
      <w:pPr>
        <w:pStyle w:val="33"/>
        <w:tabs>
          <w:tab w:val="left" w:pos="1335"/>
        </w:tabs>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8.3投标文件由商务部分、技术部分、价格部分，以及其他部分组成。</w:t>
      </w:r>
    </w:p>
    <w:p>
      <w:pPr>
        <w:spacing w:line="360" w:lineRule="auto"/>
        <w:ind w:firstLine="482" w:firstLineChars="200"/>
        <w:jc w:val="left"/>
        <w:rPr>
          <w:rFonts w:ascii="宋体" w:hAnsi="宋体" w:cs="宋体"/>
          <w:b/>
          <w:sz w:val="24"/>
          <w:szCs w:val="24"/>
          <w:highlight w:val="none"/>
        </w:rPr>
      </w:pPr>
      <w:r>
        <w:rPr>
          <w:rFonts w:hint="eastAsia" w:ascii="宋体" w:hAnsi="宋体" w:cs="宋体"/>
          <w:b/>
          <w:sz w:val="24"/>
          <w:szCs w:val="24"/>
          <w:highlight w:val="none"/>
        </w:rPr>
        <w:t>9、投标文件的商务部分</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9.1 商务部分是证明供应商有资格参加投标和中标后有能力履行合同的文件，这些文件应能满足招标的要求，包括但不限于下列文件，其中加</w:t>
      </w:r>
      <w:r>
        <w:rPr>
          <w:rFonts w:hint="eastAsia" w:ascii="宋体" w:hAnsi="宋体" w:cs="宋体"/>
          <w:b/>
          <w:sz w:val="24"/>
          <w:szCs w:val="24"/>
          <w:highlight w:val="none"/>
        </w:rPr>
        <w:t>“★”</w:t>
      </w:r>
      <w:r>
        <w:rPr>
          <w:rFonts w:hint="eastAsia" w:ascii="宋体" w:hAnsi="宋体" w:cs="宋体"/>
          <w:sz w:val="24"/>
          <w:szCs w:val="24"/>
          <w:highlight w:val="none"/>
        </w:rPr>
        <w:t>项目不得有缺失或无效。</w:t>
      </w:r>
    </w:p>
    <w:p>
      <w:pPr>
        <w:spacing w:line="360" w:lineRule="auto"/>
        <w:ind w:firstLine="482" w:firstLineChars="200"/>
        <w:jc w:val="left"/>
        <w:rPr>
          <w:rFonts w:ascii="宋体" w:hAnsi="宋体" w:cs="宋体"/>
          <w:b/>
          <w:bCs/>
          <w:sz w:val="24"/>
          <w:szCs w:val="24"/>
          <w:highlight w:val="none"/>
        </w:rPr>
      </w:pPr>
      <w:r>
        <w:rPr>
          <w:rFonts w:hint="eastAsia" w:ascii="宋体" w:hAnsi="宋体" w:cs="宋体"/>
          <w:b/>
          <w:bCs/>
          <w:sz w:val="24"/>
          <w:szCs w:val="24"/>
          <w:highlight w:val="none"/>
        </w:rPr>
        <w:t>（1）★ 投标函（投标申请及声明）；</w:t>
      </w:r>
    </w:p>
    <w:p>
      <w:pPr>
        <w:spacing w:line="360" w:lineRule="auto"/>
        <w:ind w:firstLine="482" w:firstLineChars="200"/>
        <w:jc w:val="left"/>
        <w:rPr>
          <w:rFonts w:ascii="宋体" w:hAnsi="宋体" w:cs="宋体"/>
          <w:b/>
          <w:bCs/>
          <w:sz w:val="24"/>
          <w:szCs w:val="24"/>
          <w:highlight w:val="none"/>
        </w:rPr>
      </w:pPr>
      <w:r>
        <w:rPr>
          <w:rFonts w:hint="eastAsia" w:ascii="宋体" w:hAnsi="宋体" w:cs="宋体"/>
          <w:b/>
          <w:bCs/>
          <w:sz w:val="24"/>
          <w:szCs w:val="24"/>
          <w:highlight w:val="none"/>
        </w:rPr>
        <w:t>（2）★ 法定代表人授权委托书及委托代理人的身份证复印件；</w:t>
      </w:r>
    </w:p>
    <w:p>
      <w:pPr>
        <w:spacing w:line="360" w:lineRule="auto"/>
        <w:ind w:firstLine="482" w:firstLineChars="200"/>
        <w:jc w:val="left"/>
        <w:rPr>
          <w:rFonts w:ascii="宋体" w:hAnsi="宋体" w:cs="宋体"/>
          <w:b/>
          <w:bCs/>
          <w:sz w:val="24"/>
          <w:szCs w:val="24"/>
          <w:highlight w:val="none"/>
        </w:rPr>
      </w:pPr>
      <w:r>
        <w:rPr>
          <w:rFonts w:hint="eastAsia" w:ascii="宋体" w:hAnsi="宋体" w:cs="宋体"/>
          <w:b/>
          <w:bCs/>
          <w:sz w:val="24"/>
          <w:szCs w:val="24"/>
          <w:highlight w:val="none"/>
        </w:rPr>
        <w:t>（3）★ 法人</w:t>
      </w:r>
      <w:r>
        <w:rPr>
          <w:rFonts w:hint="eastAsia" w:ascii="宋体" w:hAnsi="宋体" w:cs="宋体"/>
          <w:b/>
          <w:bCs/>
          <w:spacing w:val="-8"/>
          <w:sz w:val="24"/>
          <w:szCs w:val="24"/>
          <w:highlight w:val="none"/>
        </w:rPr>
        <w:t>、其他组织的营业执照</w:t>
      </w:r>
      <w:r>
        <w:rPr>
          <w:rFonts w:hint="eastAsia" w:ascii="宋体" w:hAnsi="宋体" w:cs="宋体"/>
          <w:b/>
          <w:bCs/>
          <w:sz w:val="24"/>
          <w:szCs w:val="24"/>
          <w:highlight w:val="none"/>
        </w:rPr>
        <w:t>（副本</w:t>
      </w:r>
      <w:r>
        <w:rPr>
          <w:rFonts w:hint="eastAsia" w:ascii="宋体" w:hAnsi="宋体" w:cs="宋体"/>
          <w:b/>
          <w:bCs/>
          <w:spacing w:val="-28"/>
          <w:sz w:val="24"/>
          <w:szCs w:val="24"/>
          <w:highlight w:val="none"/>
        </w:rPr>
        <w:t>）</w:t>
      </w:r>
      <w:r>
        <w:rPr>
          <w:rFonts w:hint="eastAsia" w:ascii="宋体" w:hAnsi="宋体" w:cs="宋体"/>
          <w:b/>
          <w:bCs/>
          <w:spacing w:val="-6"/>
          <w:sz w:val="24"/>
          <w:szCs w:val="24"/>
          <w:highlight w:val="none"/>
        </w:rPr>
        <w:t>复印件；投标人是自然人的，提供自然人的身份证明（复印件）；</w:t>
      </w:r>
    </w:p>
    <w:p>
      <w:pPr>
        <w:spacing w:line="360" w:lineRule="auto"/>
        <w:ind w:firstLine="482" w:firstLineChars="200"/>
        <w:jc w:val="left"/>
        <w:rPr>
          <w:rFonts w:ascii="宋体" w:hAnsi="宋体" w:cs="宋体"/>
          <w:b/>
          <w:bCs/>
          <w:sz w:val="24"/>
          <w:szCs w:val="24"/>
          <w:highlight w:val="none"/>
        </w:rPr>
      </w:pPr>
      <w:r>
        <w:rPr>
          <w:rFonts w:hint="eastAsia" w:ascii="宋体" w:hAnsi="宋体" w:cs="宋体"/>
          <w:b/>
          <w:bCs/>
          <w:sz w:val="24"/>
          <w:szCs w:val="24"/>
          <w:highlight w:val="none"/>
        </w:rPr>
        <w:t>（4）★第一章招标公告中 《中华人民共和国政府采购法》规定的资格条件证明文件；</w:t>
      </w:r>
    </w:p>
    <w:p>
      <w:pPr>
        <w:spacing w:line="360" w:lineRule="auto"/>
        <w:ind w:firstLine="482" w:firstLineChars="200"/>
        <w:jc w:val="left"/>
        <w:rPr>
          <w:rFonts w:ascii="宋体" w:hAnsi="宋体" w:cs="宋体"/>
          <w:b/>
          <w:bCs/>
          <w:sz w:val="24"/>
          <w:szCs w:val="24"/>
          <w:highlight w:val="none"/>
        </w:rPr>
      </w:pPr>
      <w:r>
        <w:rPr>
          <w:rFonts w:hint="eastAsia" w:ascii="宋体" w:hAnsi="宋体" w:cs="宋体"/>
          <w:b/>
          <w:bCs/>
          <w:sz w:val="24"/>
          <w:szCs w:val="24"/>
          <w:highlight w:val="none"/>
        </w:rPr>
        <w:t>（5）★第一章招标公告中采购人根据采购项目的特殊要求规定的特定条件证明文件；</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（6）《商务条款偏离表》；</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（7）合同条款</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（8）供应商认为需要提供的其他资格证明文件和商务资料等。</w:t>
      </w:r>
    </w:p>
    <w:p>
      <w:pPr>
        <w:spacing w:line="360" w:lineRule="auto"/>
        <w:ind w:firstLine="482" w:firstLineChars="200"/>
        <w:jc w:val="left"/>
        <w:rPr>
          <w:rFonts w:ascii="宋体" w:hAnsi="宋体" w:cs="宋体"/>
          <w:b/>
          <w:sz w:val="24"/>
          <w:szCs w:val="24"/>
          <w:highlight w:val="none"/>
        </w:rPr>
      </w:pPr>
      <w:r>
        <w:rPr>
          <w:rFonts w:hint="eastAsia" w:ascii="宋体" w:hAnsi="宋体" w:cs="宋体"/>
          <w:b/>
          <w:sz w:val="24"/>
          <w:szCs w:val="24"/>
          <w:highlight w:val="none"/>
        </w:rPr>
        <w:t>10、投标文件的技术部分</w:t>
      </w:r>
    </w:p>
    <w:p>
      <w:pPr>
        <w:pStyle w:val="33"/>
        <w:tabs>
          <w:tab w:val="left" w:pos="1491"/>
        </w:tabs>
        <w:spacing w:line="360" w:lineRule="auto"/>
        <w:ind w:firstLine="448"/>
        <w:jc w:val="left"/>
        <w:rPr>
          <w:rFonts w:ascii="宋体" w:hAnsi="宋体" w:cs="宋体"/>
          <w:sz w:val="24"/>
          <w:szCs w:val="24"/>
          <w:highlight w:val="none"/>
        </w:rPr>
      </w:pPr>
      <w:r>
        <w:rPr>
          <w:rFonts w:hint="eastAsia" w:ascii="宋体" w:hAnsi="宋体" w:cs="宋体"/>
          <w:spacing w:val="-8"/>
          <w:sz w:val="24"/>
          <w:szCs w:val="24"/>
          <w:highlight w:val="none"/>
        </w:rPr>
        <w:t>10.1技术部分是证明供应商提供的技术服务是合格的、并符合招标文</w:t>
      </w:r>
      <w:r>
        <w:rPr>
          <w:rFonts w:hint="eastAsia" w:ascii="宋体" w:hAnsi="宋体" w:cs="宋体"/>
          <w:sz w:val="24"/>
          <w:szCs w:val="24"/>
          <w:highlight w:val="none"/>
        </w:rPr>
        <w:t>件要求的证明文件，以及对投标报价表中的</w:t>
      </w:r>
      <w:r>
        <w:rPr>
          <w:rFonts w:hint="eastAsia" w:ascii="宋体" w:hAnsi="宋体" w:cs="宋体"/>
          <w:spacing w:val="-8"/>
          <w:sz w:val="24"/>
          <w:szCs w:val="24"/>
          <w:highlight w:val="none"/>
        </w:rPr>
        <w:t>技术</w:t>
      </w:r>
      <w:r>
        <w:rPr>
          <w:rFonts w:hint="eastAsia" w:ascii="宋体" w:hAnsi="宋体" w:cs="宋体"/>
          <w:sz w:val="24"/>
          <w:szCs w:val="24"/>
          <w:highlight w:val="none"/>
        </w:rPr>
        <w:t>服务的</w:t>
      </w:r>
      <w:r>
        <w:rPr>
          <w:rFonts w:hint="eastAsia" w:ascii="宋体" w:hAnsi="宋体" w:cs="宋体"/>
          <w:b/>
          <w:spacing w:val="5"/>
          <w:sz w:val="24"/>
          <w:szCs w:val="24"/>
          <w:highlight w:val="none"/>
        </w:rPr>
        <w:t>★</w:t>
      </w:r>
      <w:r>
        <w:rPr>
          <w:rFonts w:hint="eastAsia" w:ascii="宋体" w:hAnsi="宋体" w:cs="宋体"/>
          <w:sz w:val="24"/>
          <w:szCs w:val="24"/>
          <w:highlight w:val="none"/>
        </w:rPr>
        <w:t>详细说明，这些文件可以是文字资料、图纸和数据等。</w:t>
      </w:r>
    </w:p>
    <w:p>
      <w:pPr>
        <w:pStyle w:val="33"/>
        <w:tabs>
          <w:tab w:val="left" w:pos="1491"/>
        </w:tabs>
        <w:spacing w:line="360" w:lineRule="auto"/>
        <w:ind w:firstLine="448"/>
        <w:jc w:val="left"/>
        <w:rPr>
          <w:rFonts w:ascii="宋体" w:hAnsi="宋体" w:cs="宋体"/>
          <w:sz w:val="24"/>
          <w:szCs w:val="24"/>
          <w:highlight w:val="none"/>
        </w:rPr>
      </w:pPr>
      <w:r>
        <w:rPr>
          <w:rFonts w:hint="eastAsia" w:ascii="宋体" w:hAnsi="宋体" w:cs="宋体"/>
          <w:spacing w:val="-8"/>
          <w:sz w:val="24"/>
          <w:szCs w:val="24"/>
          <w:highlight w:val="none"/>
        </w:rPr>
        <w:t>10.2若提供的技术服务如与招标文件要求有不符之处，应说明其差别</w:t>
      </w:r>
      <w:r>
        <w:rPr>
          <w:rFonts w:hint="eastAsia" w:ascii="宋体" w:hAnsi="宋体" w:cs="宋体"/>
          <w:spacing w:val="-6"/>
          <w:sz w:val="24"/>
          <w:szCs w:val="24"/>
          <w:highlight w:val="none"/>
        </w:rPr>
        <w:t>之所在。</w:t>
      </w:r>
    </w:p>
    <w:p>
      <w:pPr>
        <w:pStyle w:val="33"/>
        <w:tabs>
          <w:tab w:val="left" w:pos="1491"/>
        </w:tabs>
        <w:spacing w:line="360" w:lineRule="auto"/>
        <w:ind w:firstLine="448"/>
        <w:jc w:val="left"/>
        <w:rPr>
          <w:rFonts w:ascii="宋体" w:hAnsi="宋体" w:cs="宋体"/>
          <w:sz w:val="24"/>
          <w:szCs w:val="24"/>
          <w:highlight w:val="none"/>
        </w:rPr>
      </w:pPr>
      <w:r>
        <w:rPr>
          <w:rFonts w:hint="eastAsia" w:ascii="宋体" w:hAnsi="宋体" w:cs="宋体"/>
          <w:spacing w:val="-8"/>
          <w:sz w:val="24"/>
          <w:szCs w:val="24"/>
          <w:highlight w:val="none"/>
        </w:rPr>
        <w:t>10.3投标文件应按照招标文件要求提供技术服务说明，技术资料、文件和有关证明，包括但不限于以下内容</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pacing w:val="-8"/>
          <w:sz w:val="24"/>
          <w:szCs w:val="24"/>
          <w:highlight w:val="none"/>
        </w:rPr>
        <w:t>技术</w:t>
      </w:r>
      <w:r>
        <w:rPr>
          <w:rFonts w:hint="eastAsia" w:ascii="宋体" w:hAnsi="宋体" w:cs="宋体"/>
          <w:sz w:val="24"/>
          <w:szCs w:val="24"/>
          <w:highlight w:val="none"/>
        </w:rPr>
        <w:t>服务内容的详细说明；</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（2）项目实施方案；</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（3）项目验收标准；</w:t>
      </w:r>
    </w:p>
    <w:p>
      <w:pPr>
        <w:pStyle w:val="16"/>
        <w:spacing w:line="360" w:lineRule="auto"/>
        <w:ind w:firstLine="480" w:firstLineChars="200"/>
        <w:jc w:val="left"/>
        <w:rPr>
          <w:highlight w:val="none"/>
        </w:rPr>
      </w:pPr>
      <w:r>
        <w:rPr>
          <w:rFonts w:hint="eastAsia"/>
          <w:highlight w:val="none"/>
        </w:rPr>
        <w:t>（4）服务承诺；</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（5）供应商认为需要提供的其他技术资料。</w:t>
      </w:r>
    </w:p>
    <w:p>
      <w:pPr>
        <w:spacing w:line="360" w:lineRule="auto"/>
        <w:ind w:firstLine="482" w:firstLineChars="200"/>
        <w:jc w:val="left"/>
        <w:rPr>
          <w:rFonts w:ascii="宋体" w:hAnsi="宋体" w:cs="宋体"/>
          <w:b/>
          <w:sz w:val="24"/>
          <w:szCs w:val="24"/>
          <w:highlight w:val="none"/>
        </w:rPr>
      </w:pPr>
      <w:r>
        <w:rPr>
          <w:rFonts w:hint="eastAsia" w:ascii="宋体" w:hAnsi="宋体" w:cs="宋体"/>
          <w:b/>
          <w:sz w:val="24"/>
          <w:szCs w:val="24"/>
          <w:highlight w:val="none"/>
        </w:rPr>
        <w:t>11、投标文件的价格部分</w:t>
      </w:r>
    </w:p>
    <w:p>
      <w:pPr>
        <w:tabs>
          <w:tab w:val="left" w:pos="1491"/>
        </w:tabs>
        <w:spacing w:line="360" w:lineRule="auto"/>
        <w:ind w:firstLine="444" w:firstLineChars="200"/>
        <w:jc w:val="left"/>
        <w:rPr>
          <w:rFonts w:ascii="宋体" w:hAnsi="宋体" w:cs="宋体"/>
          <w:sz w:val="24"/>
          <w:szCs w:val="24"/>
          <w:highlight w:val="none"/>
        </w:rPr>
      </w:pPr>
      <w:r>
        <w:rPr>
          <w:rFonts w:hint="eastAsia" w:ascii="宋体" w:hAnsi="宋体" w:cs="宋体"/>
          <w:spacing w:val="-9"/>
          <w:sz w:val="24"/>
          <w:szCs w:val="24"/>
          <w:highlight w:val="none"/>
        </w:rPr>
        <w:t>11.1价格部分是对投标服务价格构成的说明，每一项服务仅接受一个价格。</w:t>
      </w:r>
    </w:p>
    <w:p>
      <w:pPr>
        <w:tabs>
          <w:tab w:val="left" w:pos="1671"/>
        </w:tabs>
        <w:spacing w:line="360" w:lineRule="auto"/>
        <w:ind w:firstLine="480" w:firstLineChars="200"/>
        <w:jc w:val="left"/>
        <w:rPr>
          <w:rFonts w:ascii="宋体" w:hAnsi="宋体" w:cs="宋体"/>
          <w:b/>
          <w:sz w:val="24"/>
          <w:szCs w:val="24"/>
          <w:highlight w:val="none"/>
        </w:rPr>
      </w:pPr>
      <w:r>
        <w:rPr>
          <w:rFonts w:hint="eastAsia" w:ascii="宋体" w:hAnsi="宋体" w:cs="宋体"/>
          <w:sz w:val="24"/>
          <w:szCs w:val="24"/>
          <w:highlight w:val="none"/>
        </w:rPr>
        <w:t>11.2报价应包含完成本服务项目发生的所有含税费用、支付给员工的工资和国家强制缴纳的各种社会保障资金，以及供应商认为需要的其他费用等</w:t>
      </w:r>
      <w:r>
        <w:rPr>
          <w:rFonts w:hint="eastAsia" w:ascii="宋体" w:hAnsi="宋体" w:cs="宋体"/>
          <w:b/>
          <w:sz w:val="24"/>
          <w:szCs w:val="24"/>
          <w:highlight w:val="none"/>
        </w:rPr>
        <w:t>。</w:t>
      </w:r>
    </w:p>
    <w:p>
      <w:pPr>
        <w:tabs>
          <w:tab w:val="left" w:pos="1705"/>
        </w:tabs>
        <w:spacing w:line="360" w:lineRule="auto"/>
        <w:ind w:firstLine="420" w:firstLineChars="200"/>
        <w:jc w:val="left"/>
        <w:rPr>
          <w:rFonts w:ascii="宋体" w:hAnsi="宋体" w:cs="宋体"/>
          <w:sz w:val="24"/>
          <w:szCs w:val="24"/>
          <w:highlight w:val="none"/>
        </w:rPr>
      </w:pPr>
      <w:r>
        <w:rPr>
          <w:rFonts w:hint="eastAsia" w:ascii="宋体" w:hAnsi="宋体" w:cs="宋体"/>
          <w:spacing w:val="-15"/>
          <w:sz w:val="24"/>
          <w:szCs w:val="24"/>
          <w:highlight w:val="none"/>
        </w:rPr>
        <w:t>11.3供应商的任何错漏、优惠、竞争性报价不得作为减轻责任、减少服务、增加收费、降低质量的理由。</w:t>
      </w:r>
    </w:p>
    <w:p>
      <w:pPr>
        <w:tabs>
          <w:tab w:val="left" w:pos="1335"/>
        </w:tabs>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11.4供应商系小企业（含小型、微型企业），并由本企业提供服务，须在投标报价表中注明,供应商应当如实申报,否则评标委员会</w:t>
      </w:r>
      <w:r>
        <w:rPr>
          <w:rFonts w:hint="eastAsia" w:ascii="宋体" w:hAnsi="宋体" w:cs="宋体"/>
          <w:spacing w:val="-1"/>
          <w:sz w:val="24"/>
          <w:szCs w:val="24"/>
          <w:highlight w:val="none"/>
        </w:rPr>
        <w:t>有权取消其小微企业优惠政策。</w:t>
      </w:r>
    </w:p>
    <w:p>
      <w:pPr>
        <w:spacing w:line="360" w:lineRule="auto"/>
        <w:ind w:firstLine="482" w:firstLineChars="200"/>
        <w:jc w:val="left"/>
        <w:rPr>
          <w:rFonts w:ascii="宋体" w:hAnsi="宋体" w:cs="宋体"/>
          <w:b/>
          <w:sz w:val="24"/>
          <w:szCs w:val="24"/>
          <w:highlight w:val="none"/>
        </w:rPr>
      </w:pPr>
      <w:r>
        <w:rPr>
          <w:rFonts w:hint="eastAsia" w:ascii="宋体" w:hAnsi="宋体" w:cs="宋体"/>
          <w:b/>
          <w:sz w:val="24"/>
          <w:szCs w:val="24"/>
          <w:highlight w:val="none"/>
        </w:rPr>
        <w:t>12、投标文件的其他部分</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12.1 其他部分由供应商根据编制投标文件需要提供的其他相关文件。</w:t>
      </w:r>
    </w:p>
    <w:p>
      <w:pPr>
        <w:spacing w:line="360" w:lineRule="auto"/>
        <w:ind w:firstLine="482" w:firstLineChars="200"/>
        <w:jc w:val="left"/>
        <w:rPr>
          <w:rFonts w:ascii="宋体" w:hAnsi="宋体" w:cs="宋体"/>
          <w:b/>
          <w:sz w:val="24"/>
          <w:szCs w:val="24"/>
          <w:highlight w:val="none"/>
        </w:rPr>
      </w:pPr>
      <w:r>
        <w:rPr>
          <w:rFonts w:hint="eastAsia" w:ascii="宋体" w:hAnsi="宋体" w:cs="宋体"/>
          <w:b/>
          <w:sz w:val="24"/>
          <w:szCs w:val="24"/>
          <w:highlight w:val="none"/>
        </w:rPr>
        <w:t>13、投标保证金：见供应商须知前附表</w:t>
      </w:r>
    </w:p>
    <w:p>
      <w:pPr>
        <w:spacing w:line="360" w:lineRule="auto"/>
        <w:ind w:firstLine="482" w:firstLineChars="200"/>
        <w:jc w:val="left"/>
        <w:rPr>
          <w:rFonts w:ascii="宋体" w:hAnsi="宋体" w:cs="宋体"/>
          <w:b/>
          <w:sz w:val="24"/>
          <w:szCs w:val="24"/>
          <w:highlight w:val="none"/>
        </w:rPr>
      </w:pPr>
      <w:r>
        <w:rPr>
          <w:rFonts w:hint="eastAsia" w:ascii="宋体" w:hAnsi="宋体" w:cs="宋体"/>
          <w:b/>
          <w:sz w:val="24"/>
          <w:szCs w:val="24"/>
          <w:highlight w:val="none"/>
        </w:rPr>
        <w:t>14、投标有效期</w:t>
      </w:r>
    </w:p>
    <w:p>
      <w:pPr>
        <w:tabs>
          <w:tab w:val="left" w:pos="1491"/>
        </w:tabs>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 xml:space="preserve">自开标之日起 </w:t>
      </w:r>
      <w:r>
        <w:rPr>
          <w:rFonts w:hint="eastAsia" w:ascii="宋体" w:hAnsi="宋体" w:cs="宋体"/>
          <w:b/>
          <w:sz w:val="24"/>
          <w:szCs w:val="24"/>
          <w:highlight w:val="none"/>
        </w:rPr>
        <w:t>90日</w:t>
      </w:r>
      <w:r>
        <w:rPr>
          <w:rFonts w:hint="eastAsia" w:ascii="宋体" w:hAnsi="宋体" w:cs="宋体"/>
          <w:sz w:val="24"/>
          <w:szCs w:val="24"/>
          <w:highlight w:val="none"/>
        </w:rPr>
        <w:t>内投标有效。</w:t>
      </w:r>
    </w:p>
    <w:p>
      <w:pPr>
        <w:spacing w:line="360" w:lineRule="auto"/>
        <w:ind w:firstLine="482" w:firstLineChars="200"/>
        <w:jc w:val="left"/>
        <w:rPr>
          <w:rFonts w:ascii="宋体" w:hAnsi="宋体" w:cs="宋体"/>
          <w:b/>
          <w:sz w:val="24"/>
          <w:szCs w:val="24"/>
          <w:highlight w:val="none"/>
        </w:rPr>
      </w:pPr>
      <w:r>
        <w:rPr>
          <w:rFonts w:hint="eastAsia" w:ascii="宋体" w:hAnsi="宋体" w:cs="宋体"/>
          <w:b/>
          <w:sz w:val="24"/>
          <w:szCs w:val="24"/>
          <w:highlight w:val="none"/>
        </w:rPr>
        <w:t>15、投标文件的份数、签署</w:t>
      </w:r>
    </w:p>
    <w:p>
      <w:pPr>
        <w:tabs>
          <w:tab w:val="left" w:pos="1491"/>
        </w:tabs>
        <w:spacing w:line="360" w:lineRule="auto"/>
        <w:ind w:firstLine="452" w:firstLineChars="200"/>
        <w:jc w:val="left"/>
        <w:rPr>
          <w:rFonts w:ascii="宋体" w:hAnsi="宋体" w:cs="宋体"/>
          <w:sz w:val="24"/>
          <w:szCs w:val="24"/>
          <w:highlight w:val="none"/>
        </w:rPr>
      </w:pPr>
      <w:r>
        <w:rPr>
          <w:rFonts w:hint="eastAsia" w:ascii="宋体" w:hAnsi="宋体" w:cs="宋体"/>
          <w:spacing w:val="-7"/>
          <w:sz w:val="24"/>
          <w:szCs w:val="24"/>
          <w:highlight w:val="none"/>
        </w:rPr>
        <w:t>15.1投标人应严格按照招标文件要求的份数准备投标文件，每份</w:t>
      </w:r>
      <w:r>
        <w:rPr>
          <w:rFonts w:hint="eastAsia" w:ascii="宋体" w:hAnsi="宋体" w:cs="宋体"/>
          <w:sz w:val="24"/>
          <w:szCs w:val="24"/>
          <w:highlight w:val="none"/>
        </w:rPr>
        <w:t>投标文件须清楚地标明“正本”或“副本”字样。一旦正本和副本不符，以正本为准。</w:t>
      </w:r>
    </w:p>
    <w:p>
      <w:pPr>
        <w:tabs>
          <w:tab w:val="left" w:pos="1491"/>
        </w:tabs>
        <w:spacing w:line="360" w:lineRule="auto"/>
        <w:ind w:firstLine="436" w:firstLineChars="200"/>
        <w:jc w:val="left"/>
        <w:rPr>
          <w:rFonts w:ascii="宋体" w:hAnsi="宋体" w:cs="宋体"/>
          <w:sz w:val="24"/>
          <w:szCs w:val="24"/>
          <w:highlight w:val="none"/>
        </w:rPr>
      </w:pPr>
      <w:r>
        <w:rPr>
          <w:rFonts w:hint="eastAsia" w:ascii="宋体" w:hAnsi="宋体" w:cs="宋体"/>
          <w:spacing w:val="-11"/>
          <w:sz w:val="24"/>
          <w:szCs w:val="24"/>
          <w:highlight w:val="none"/>
        </w:rPr>
        <w:t>15.2投标文件正本中，除招标文件规定的可提交复印件外，其他</w:t>
      </w:r>
      <w:r>
        <w:rPr>
          <w:rFonts w:hint="eastAsia" w:ascii="宋体" w:hAnsi="宋体" w:cs="宋体"/>
          <w:sz w:val="24"/>
          <w:szCs w:val="24"/>
          <w:highlight w:val="none"/>
        </w:rPr>
        <w:t>文件均须提交原件，文字材料需打印或用不褪色墨水书写。投标文件的正本须经法定代表人或经正式授权并对供应商有约束力的委托代理人签字和加盖投标人公章。本招标文件所表述（</w:t>
      </w:r>
      <w:r>
        <w:rPr>
          <w:rFonts w:hint="eastAsia" w:ascii="宋体" w:hAnsi="宋体" w:cs="宋体"/>
          <w:spacing w:val="1"/>
          <w:sz w:val="24"/>
          <w:szCs w:val="24"/>
          <w:highlight w:val="none"/>
        </w:rPr>
        <w:t>指定</w:t>
      </w:r>
      <w:r>
        <w:rPr>
          <w:rFonts w:hint="eastAsia" w:ascii="宋体" w:hAnsi="宋体" w:cs="宋体"/>
          <w:spacing w:val="5"/>
          <w:sz w:val="24"/>
          <w:szCs w:val="24"/>
          <w:highlight w:val="none"/>
        </w:rPr>
        <w:t>）</w:t>
      </w:r>
      <w:r>
        <w:rPr>
          <w:rFonts w:hint="eastAsia" w:ascii="宋体" w:hAnsi="宋体" w:cs="宋体"/>
          <w:sz w:val="24"/>
          <w:szCs w:val="24"/>
          <w:highlight w:val="none"/>
        </w:rPr>
        <w:t>的公章是指法定名称章，不包括合同专用章、业务专用章等印章。</w:t>
      </w:r>
    </w:p>
    <w:p>
      <w:pPr>
        <w:tabs>
          <w:tab w:val="left" w:pos="1491"/>
        </w:tabs>
        <w:spacing w:line="360" w:lineRule="auto"/>
        <w:ind w:firstLine="448" w:firstLineChars="200"/>
        <w:jc w:val="left"/>
        <w:rPr>
          <w:rFonts w:ascii="宋体" w:hAnsi="宋体" w:cs="宋体"/>
          <w:sz w:val="24"/>
          <w:szCs w:val="24"/>
          <w:highlight w:val="none"/>
        </w:rPr>
      </w:pPr>
      <w:r>
        <w:rPr>
          <w:rFonts w:hint="eastAsia" w:ascii="宋体" w:hAnsi="宋体" w:cs="宋体"/>
          <w:spacing w:val="-8"/>
          <w:sz w:val="24"/>
          <w:szCs w:val="24"/>
          <w:highlight w:val="none"/>
        </w:rPr>
        <w:t>15.3除投标人对错处做必要修改外，投标文件不得行间插字、涂改或增删。如有修改错漏处，必须由投标文件签署人签字或盖章。</w:t>
      </w:r>
    </w:p>
    <w:p>
      <w:pPr>
        <w:spacing w:line="360" w:lineRule="auto"/>
        <w:ind w:firstLine="482" w:firstLineChars="200"/>
        <w:jc w:val="left"/>
        <w:rPr>
          <w:rFonts w:ascii="宋体" w:hAnsi="宋体" w:cs="宋体"/>
          <w:b/>
          <w:sz w:val="24"/>
          <w:szCs w:val="24"/>
          <w:highlight w:val="none"/>
        </w:rPr>
      </w:pPr>
      <w:r>
        <w:rPr>
          <w:rFonts w:hint="eastAsia" w:ascii="宋体" w:hAnsi="宋体" w:cs="宋体"/>
          <w:b/>
          <w:sz w:val="24"/>
          <w:szCs w:val="24"/>
          <w:highlight w:val="none"/>
        </w:rPr>
        <w:t>16、投标文件的密封和递交</w:t>
      </w:r>
    </w:p>
    <w:p>
      <w:pPr>
        <w:tabs>
          <w:tab w:val="left" w:pos="1491"/>
        </w:tabs>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16.1供应商应当将投标文件密封；</w:t>
      </w:r>
    </w:p>
    <w:p>
      <w:pPr>
        <w:tabs>
          <w:tab w:val="left" w:pos="1491"/>
        </w:tabs>
        <w:adjustRightInd w:val="0"/>
        <w:snapToGrid w:val="0"/>
        <w:spacing w:line="360" w:lineRule="auto"/>
        <w:ind w:firstLine="452" w:firstLineChars="200"/>
        <w:jc w:val="left"/>
        <w:rPr>
          <w:rFonts w:ascii="宋体" w:hAnsi="宋体" w:cs="宋体"/>
          <w:sz w:val="24"/>
          <w:szCs w:val="24"/>
          <w:highlight w:val="none"/>
        </w:rPr>
      </w:pPr>
      <w:r>
        <w:rPr>
          <w:rFonts w:hint="eastAsia" w:ascii="宋体" w:hAnsi="宋体" w:cs="宋体"/>
          <w:spacing w:val="-7"/>
          <w:sz w:val="24"/>
          <w:szCs w:val="24"/>
          <w:highlight w:val="none"/>
        </w:rPr>
        <w:t>16.2供应商应当在招标文件要求提交投标文件的截止时间前，将密封的投标文件送达投标地点。</w:t>
      </w:r>
    </w:p>
    <w:p>
      <w:pPr>
        <w:spacing w:line="360" w:lineRule="auto"/>
        <w:ind w:firstLine="482" w:firstLineChars="200"/>
        <w:jc w:val="left"/>
        <w:rPr>
          <w:rFonts w:ascii="宋体" w:hAnsi="宋体" w:cs="宋体"/>
          <w:b/>
          <w:sz w:val="24"/>
          <w:szCs w:val="24"/>
          <w:highlight w:val="none"/>
        </w:rPr>
      </w:pPr>
      <w:r>
        <w:rPr>
          <w:rFonts w:hint="eastAsia" w:ascii="宋体" w:hAnsi="宋体" w:cs="宋体"/>
          <w:b/>
          <w:sz w:val="24"/>
          <w:szCs w:val="24"/>
          <w:highlight w:val="none"/>
        </w:rPr>
        <w:t>17、有下列情形之一的投标文件将拒收：</w:t>
      </w:r>
    </w:p>
    <w:p>
      <w:pPr>
        <w:tabs>
          <w:tab w:val="left" w:pos="1491"/>
        </w:tabs>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17.1未按招标文件规定的数额和办法交纳投标保证金的（若有）；</w:t>
      </w:r>
    </w:p>
    <w:p>
      <w:pPr>
        <w:tabs>
          <w:tab w:val="left" w:pos="1491"/>
        </w:tabs>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17.2在招标文件要求提交投标文件的截止时间之后送达的；</w:t>
      </w:r>
    </w:p>
    <w:p>
      <w:pPr>
        <w:tabs>
          <w:tab w:val="left" w:pos="1491"/>
        </w:tabs>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17.3其他详见供应商须知前附表；</w:t>
      </w:r>
    </w:p>
    <w:p>
      <w:pPr>
        <w:spacing w:line="360" w:lineRule="auto"/>
        <w:ind w:firstLine="482" w:firstLineChars="200"/>
        <w:jc w:val="left"/>
        <w:rPr>
          <w:rFonts w:ascii="宋体" w:hAnsi="宋体" w:cs="宋体"/>
          <w:b/>
          <w:sz w:val="24"/>
          <w:szCs w:val="24"/>
          <w:highlight w:val="none"/>
        </w:rPr>
      </w:pPr>
      <w:r>
        <w:rPr>
          <w:rFonts w:hint="eastAsia" w:ascii="宋体" w:hAnsi="宋体" w:cs="宋体"/>
          <w:b/>
          <w:sz w:val="24"/>
          <w:szCs w:val="24"/>
          <w:highlight w:val="none"/>
        </w:rPr>
        <w:t>18、投标文件的修改和撤回</w:t>
      </w:r>
    </w:p>
    <w:p>
      <w:pPr>
        <w:tabs>
          <w:tab w:val="left" w:pos="1491"/>
        </w:tabs>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18.1供应商在投标截止时间前，可以对所递交的投标文件进行补充、修改或撤回，并书面通知。补充、修改的内容应当按照招标文件要求签署、盖章，并作为投标文件的组成部分。</w:t>
      </w:r>
    </w:p>
    <w:p>
      <w:pPr>
        <w:tabs>
          <w:tab w:val="left" w:pos="1491"/>
        </w:tabs>
        <w:adjustRightInd w:val="0"/>
        <w:snapToGrid w:val="0"/>
        <w:spacing w:line="360" w:lineRule="auto"/>
        <w:ind w:firstLine="480" w:firstLineChars="200"/>
        <w:jc w:val="left"/>
        <w:rPr>
          <w:rFonts w:ascii="宋体" w:hAnsi="宋体" w:cs="宋体"/>
          <w:b/>
          <w:sz w:val="24"/>
          <w:szCs w:val="24"/>
          <w:highlight w:val="none"/>
        </w:rPr>
      </w:pPr>
      <w:r>
        <w:rPr>
          <w:rFonts w:hint="eastAsia" w:ascii="宋体" w:hAnsi="宋体" w:cs="宋体"/>
          <w:sz w:val="24"/>
          <w:szCs w:val="24"/>
          <w:highlight w:val="none"/>
        </w:rPr>
        <w:t>18.2投标截止时间之后，投标文件不得撤回；</w:t>
      </w:r>
    </w:p>
    <w:p>
      <w:pPr>
        <w:spacing w:line="360" w:lineRule="auto"/>
        <w:ind w:firstLine="482" w:firstLineChars="200"/>
        <w:jc w:val="left"/>
        <w:outlineLvl w:val="1"/>
        <w:rPr>
          <w:rFonts w:ascii="宋体" w:hAnsi="宋体" w:cs="宋体"/>
          <w:b/>
          <w:sz w:val="24"/>
          <w:szCs w:val="24"/>
          <w:highlight w:val="none"/>
        </w:rPr>
      </w:pPr>
      <w:r>
        <w:rPr>
          <w:rFonts w:hint="eastAsia" w:ascii="宋体" w:hAnsi="宋体" w:cs="宋体"/>
          <w:b/>
          <w:sz w:val="24"/>
          <w:szCs w:val="24"/>
          <w:highlight w:val="none"/>
        </w:rPr>
        <w:t>四、开标、评标与确定中标供应商</w:t>
      </w:r>
    </w:p>
    <w:p>
      <w:pPr>
        <w:spacing w:line="360" w:lineRule="auto"/>
        <w:ind w:firstLine="482" w:firstLineChars="200"/>
        <w:jc w:val="left"/>
        <w:rPr>
          <w:rFonts w:ascii="宋体" w:hAnsi="宋体" w:cs="宋体"/>
          <w:b/>
          <w:bCs/>
          <w:sz w:val="24"/>
          <w:szCs w:val="24"/>
          <w:highlight w:val="none"/>
        </w:rPr>
      </w:pPr>
      <w:r>
        <w:rPr>
          <w:rFonts w:hint="eastAsia" w:ascii="宋体" w:hAnsi="宋体" w:cs="宋体"/>
          <w:b/>
          <w:bCs/>
          <w:sz w:val="24"/>
          <w:szCs w:val="24"/>
          <w:highlight w:val="none"/>
        </w:rPr>
        <w:t>19、开标</w:t>
      </w:r>
    </w:p>
    <w:p>
      <w:pPr>
        <w:tabs>
          <w:tab w:val="left" w:pos="1491"/>
        </w:tabs>
        <w:adjustRightInd w:val="0"/>
        <w:snapToGri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招标代理将在招标文件确定的时间和地点进行公开开标。供应商应委派代表准时参加，参加开标的代表须签名报到以证明其出席。</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19.1开标时，招标代理将邀请供应商代表检查投标文件的密封情况，经确认无误后，由招标代理工作人员当众拆封，宣读供应商名称、投标价格、招标文件允许提供的备选投标方案和投标文件规定的其他主要内容。</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19.2未宣读的投标价格和招标文件允许提供的备选投标方案等实质性内容，评标时不予承认。</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19.3投标文件（报价表）中报价的大写金额与小写金额不一致的， 以大写金额为准。</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19.4单价金额小数点或者百分比有明显错位的，以（报价表）的总价为准，并修改单价；</w:t>
      </w:r>
    </w:p>
    <w:p>
      <w:pPr>
        <w:pStyle w:val="16"/>
        <w:spacing w:line="360" w:lineRule="auto"/>
        <w:ind w:firstLine="452" w:firstLineChars="200"/>
        <w:jc w:val="left"/>
        <w:rPr>
          <w:highlight w:val="none"/>
        </w:rPr>
      </w:pPr>
      <w:r>
        <w:rPr>
          <w:rFonts w:hint="eastAsia"/>
          <w:spacing w:val="-7"/>
          <w:highlight w:val="none"/>
        </w:rPr>
        <w:t>19.5</w:t>
      </w:r>
      <w:r>
        <w:rPr>
          <w:rFonts w:hint="eastAsia"/>
          <w:highlight w:val="none"/>
        </w:rPr>
        <w:t>总价金额与按单价汇总金额不一致的，以单价金额计算结果为准；</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19.6同时出现19.4-19.6中两种以上不一致的,按照19.4-19.6的顺序修正。修正后的报价由法定代表人或其授权的代表签字确认后产生约束力，投标人不确认的，投标无效。</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19.7对不同文字文本投标文件的解释发生异议的，以中文文本为准。</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19.8投标截止时间结束后参加投标的供应商不足三家的，不予开标。</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公开招标数额标准以上的采购项目，投标截止后投标人不足3家或者通过资格审查或符合性审查的投标人不足3家的，除采购任务取消情形外，按照以下方式处理：</w:t>
      </w:r>
    </w:p>
    <w:p>
      <w:pPr>
        <w:pStyle w:val="33"/>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（1）招标文件存在不合理条款或者招标程序不符合规定的，采购人、采购代理机构改正后依法重新招标；</w:t>
      </w:r>
    </w:p>
    <w:p>
      <w:pPr>
        <w:pStyle w:val="33"/>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（2）招标文件没有不合理条款、招标程序符合规定，需要采用其他采购方式采购的，采购人依法报财政部门批准。</w:t>
      </w:r>
    </w:p>
    <w:p>
      <w:pPr>
        <w:pStyle w:val="33"/>
        <w:spacing w:line="360" w:lineRule="auto"/>
        <w:ind w:left="420" w:leftChars="200" w:firstLine="0" w:firstLineChars="0"/>
        <w:jc w:val="left"/>
        <w:rPr>
          <w:rFonts w:ascii="宋体" w:hAnsi="宋体" w:cs="宋体"/>
          <w:b/>
          <w:sz w:val="24"/>
          <w:szCs w:val="24"/>
          <w:highlight w:val="none"/>
        </w:rPr>
      </w:pPr>
      <w:r>
        <w:rPr>
          <w:rFonts w:hint="eastAsia" w:ascii="宋体" w:hAnsi="宋体" w:cs="宋体"/>
          <w:b/>
          <w:sz w:val="24"/>
          <w:szCs w:val="24"/>
          <w:highlight w:val="none"/>
        </w:rPr>
        <w:t>20、评标</w:t>
      </w:r>
    </w:p>
    <w:p>
      <w:pPr>
        <w:spacing w:line="360" w:lineRule="auto"/>
        <w:ind w:firstLine="482" w:firstLineChars="200"/>
        <w:rPr>
          <w:rFonts w:ascii="宋体" w:hAnsi="宋体" w:cs="宋体"/>
          <w:b/>
          <w:sz w:val="24"/>
          <w:szCs w:val="24"/>
          <w:highlight w:val="none"/>
        </w:rPr>
      </w:pPr>
      <w:r>
        <w:rPr>
          <w:rFonts w:hint="eastAsia" w:ascii="宋体" w:hAnsi="宋体" w:cs="宋体"/>
          <w:b/>
          <w:sz w:val="24"/>
          <w:szCs w:val="24"/>
          <w:highlight w:val="none"/>
        </w:rPr>
        <w:t>20.1评标组织</w:t>
      </w:r>
    </w:p>
    <w:p>
      <w:pPr>
        <w:spacing w:line="360" w:lineRule="auto"/>
        <w:ind w:firstLine="472" w:firstLineChars="200"/>
        <w:jc w:val="left"/>
        <w:rPr>
          <w:rFonts w:ascii="宋体" w:hAnsi="宋体" w:cs="宋体"/>
          <w:sz w:val="24"/>
          <w:szCs w:val="24"/>
          <w:highlight w:val="none"/>
        </w:rPr>
      </w:pPr>
      <w:r>
        <w:rPr>
          <w:rFonts w:hint="eastAsia" w:ascii="宋体" w:hAnsi="宋体" w:cs="宋体"/>
          <w:spacing w:val="-2"/>
          <w:sz w:val="24"/>
          <w:szCs w:val="24"/>
          <w:highlight w:val="none"/>
        </w:rPr>
        <w:t>20.1.1评标工作由招标代理负责组织，具体评标事务由依法组</w:t>
      </w:r>
      <w:r>
        <w:rPr>
          <w:rFonts w:hint="eastAsia" w:ascii="宋体" w:hAnsi="宋体" w:cs="宋体"/>
          <w:spacing w:val="-3"/>
          <w:sz w:val="24"/>
          <w:szCs w:val="24"/>
          <w:highlight w:val="none"/>
        </w:rPr>
        <w:t>建的评标委员会负责，并独立履行下列职责：</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（1）审查、评价投标文件是否符合招标文件的商务、技术等实质性要求；</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（2）要求投标人对投标文件有关事项作出澄清或者说明；</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（3）对投标文件进行比较和评价；</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（3）根据采购人委托协议直接确定中标人；</w:t>
      </w:r>
    </w:p>
    <w:p>
      <w:pPr>
        <w:pStyle w:val="33"/>
        <w:numPr>
          <w:ilvl w:val="0"/>
          <w:numId w:val="2"/>
        </w:numPr>
        <w:spacing w:line="360" w:lineRule="auto"/>
        <w:ind w:left="0" w:firstLine="480"/>
        <w:jc w:val="left"/>
        <w:rPr>
          <w:rFonts w:ascii="宋体" w:hAnsi="宋体" w:cs="宋体"/>
          <w:sz w:val="24"/>
          <w:szCs w:val="24"/>
          <w:highlight w:val="none"/>
        </w:rPr>
      </w:pPr>
      <w:r>
        <w:rPr>
          <w:rFonts w:hint="eastAsia" w:ascii="宋体" w:hAnsi="宋体" w:cs="宋体"/>
          <w:sz w:val="24"/>
          <w:szCs w:val="24"/>
          <w:highlight w:val="none"/>
        </w:rPr>
        <w:t>向采购人、财政部门报告评标中发现的违法行为。</w:t>
      </w:r>
    </w:p>
    <w:p>
      <w:pPr>
        <w:spacing w:line="360" w:lineRule="auto"/>
        <w:ind w:firstLine="440" w:firstLineChars="200"/>
        <w:jc w:val="left"/>
        <w:rPr>
          <w:rFonts w:ascii="宋体" w:hAnsi="宋体" w:cs="宋体"/>
          <w:sz w:val="24"/>
          <w:szCs w:val="24"/>
          <w:highlight w:val="none"/>
        </w:rPr>
      </w:pPr>
      <w:r>
        <w:rPr>
          <w:rFonts w:hint="eastAsia" w:ascii="宋体" w:hAnsi="宋体" w:cs="宋体"/>
          <w:spacing w:val="-10"/>
          <w:sz w:val="24"/>
          <w:szCs w:val="24"/>
          <w:highlight w:val="none"/>
        </w:rPr>
        <w:t>20.1.2评标委员会由采购人代表和有关技术、经济等方面的专家组成，独立开展评审工作。</w:t>
      </w:r>
    </w:p>
    <w:p>
      <w:pPr>
        <w:spacing w:line="360" w:lineRule="auto"/>
        <w:ind w:firstLine="482" w:firstLineChars="200"/>
        <w:rPr>
          <w:rFonts w:ascii="宋体" w:hAnsi="宋体" w:cs="宋体"/>
          <w:b/>
          <w:sz w:val="24"/>
          <w:szCs w:val="24"/>
          <w:highlight w:val="none"/>
        </w:rPr>
      </w:pPr>
      <w:r>
        <w:rPr>
          <w:rFonts w:hint="eastAsia" w:ascii="宋体" w:hAnsi="宋体" w:cs="宋体"/>
          <w:b/>
          <w:sz w:val="24"/>
          <w:szCs w:val="24"/>
          <w:highlight w:val="none"/>
        </w:rPr>
        <w:t>20.2评标程序</w:t>
      </w:r>
    </w:p>
    <w:p>
      <w:pPr>
        <w:spacing w:line="360" w:lineRule="auto"/>
        <w:ind w:firstLine="482" w:firstLineChars="200"/>
        <w:jc w:val="left"/>
        <w:rPr>
          <w:rFonts w:ascii="宋体" w:hAnsi="宋体" w:cs="宋体"/>
          <w:b/>
          <w:sz w:val="24"/>
          <w:szCs w:val="24"/>
          <w:highlight w:val="none"/>
        </w:rPr>
      </w:pPr>
      <w:r>
        <w:rPr>
          <w:rFonts w:hint="eastAsia" w:ascii="宋体" w:hAnsi="宋体" w:cs="宋体"/>
          <w:b/>
          <w:sz w:val="24"/>
          <w:szCs w:val="24"/>
          <w:highlight w:val="none"/>
        </w:rPr>
        <w:t>20.2.1投标文件的资格审查。</w:t>
      </w:r>
    </w:p>
    <w:p>
      <w:pPr>
        <w:spacing w:line="360" w:lineRule="auto"/>
        <w:ind w:firstLine="472" w:firstLineChars="200"/>
        <w:jc w:val="left"/>
        <w:rPr>
          <w:rFonts w:ascii="宋体" w:hAnsi="宋体" w:cs="宋体"/>
          <w:sz w:val="24"/>
          <w:szCs w:val="24"/>
          <w:highlight w:val="none"/>
        </w:rPr>
      </w:pPr>
      <w:r>
        <w:rPr>
          <w:rFonts w:hint="eastAsia" w:ascii="宋体" w:hAnsi="宋体" w:cs="宋体"/>
          <w:spacing w:val="-2"/>
          <w:sz w:val="24"/>
          <w:szCs w:val="24"/>
          <w:highlight w:val="none"/>
        </w:rPr>
        <w:t>20.2.1.1采购人代表将依法对投标人的资格进行审查。</w:t>
      </w:r>
    </w:p>
    <w:p>
      <w:pPr>
        <w:spacing w:line="360" w:lineRule="auto"/>
        <w:ind w:firstLine="452" w:firstLineChars="200"/>
        <w:jc w:val="left"/>
        <w:rPr>
          <w:rFonts w:ascii="宋体" w:hAnsi="宋体" w:cs="宋体"/>
          <w:sz w:val="24"/>
          <w:szCs w:val="24"/>
          <w:highlight w:val="none"/>
        </w:rPr>
      </w:pPr>
      <w:r>
        <w:rPr>
          <w:rFonts w:hint="eastAsia" w:ascii="宋体" w:hAnsi="宋体" w:cs="宋体"/>
          <w:spacing w:val="-7"/>
          <w:sz w:val="24"/>
          <w:szCs w:val="24"/>
          <w:highlight w:val="none"/>
        </w:rPr>
        <w:t>20.2.1.2资格性审查：依据法律法规和招标文件的规定，对投标</w:t>
      </w:r>
      <w:r>
        <w:rPr>
          <w:rFonts w:hint="eastAsia" w:ascii="宋体" w:hAnsi="宋体" w:cs="宋体"/>
          <w:sz w:val="24"/>
          <w:szCs w:val="24"/>
          <w:highlight w:val="none"/>
        </w:rPr>
        <w:t>文件中的资格证明文件、投标保证金等进行审查，以确定投标供应商是否具备投标资格。</w:t>
      </w:r>
      <w:r>
        <w:rPr>
          <w:rFonts w:hint="eastAsia" w:ascii="宋体" w:hAnsi="宋体" w:cs="宋体"/>
          <w:spacing w:val="7"/>
          <w:sz w:val="24"/>
          <w:szCs w:val="24"/>
          <w:highlight w:val="none"/>
        </w:rPr>
        <w:t>在进行资</w:t>
      </w:r>
      <w:r>
        <w:rPr>
          <w:rFonts w:hint="eastAsia" w:ascii="宋体" w:hAnsi="宋体" w:cs="宋体"/>
          <w:spacing w:val="-7"/>
          <w:sz w:val="24"/>
          <w:szCs w:val="24"/>
          <w:highlight w:val="none"/>
        </w:rPr>
        <w:t>格性审查的同时，将在“信用中国”网站（</w:t>
      </w:r>
      <w:r>
        <w:rPr>
          <w:highlight w:val="none"/>
        </w:rPr>
        <w:fldChar w:fldCharType="begin"/>
      </w:r>
      <w:r>
        <w:rPr>
          <w:highlight w:val="none"/>
        </w:rPr>
        <w:instrText xml:space="preserve"> HYPERLINK "http://www.creditchina.gov.cn/" \h </w:instrText>
      </w:r>
      <w:r>
        <w:rPr>
          <w:highlight w:val="none"/>
        </w:rPr>
        <w:fldChar w:fldCharType="separate"/>
      </w:r>
      <w:r>
        <w:rPr>
          <w:rFonts w:hint="eastAsia" w:ascii="宋体" w:hAnsi="宋体" w:cs="宋体"/>
          <w:spacing w:val="-7"/>
          <w:sz w:val="24"/>
          <w:szCs w:val="24"/>
          <w:highlight w:val="none"/>
        </w:rPr>
        <w:t>www.creditchina.gov.cn</w:t>
      </w:r>
      <w:r>
        <w:rPr>
          <w:rFonts w:hint="eastAsia" w:ascii="宋体" w:hAnsi="宋体" w:cs="宋体"/>
          <w:spacing w:val="-7"/>
          <w:sz w:val="24"/>
          <w:szCs w:val="24"/>
          <w:highlight w:val="none"/>
        </w:rPr>
        <w:fldChar w:fldCharType="end"/>
      </w:r>
      <w:r>
        <w:rPr>
          <w:rFonts w:hint="eastAsia" w:ascii="宋体" w:hAnsi="宋体" w:cs="宋体"/>
          <w:spacing w:val="-7"/>
          <w:sz w:val="24"/>
          <w:szCs w:val="24"/>
          <w:highlight w:val="none"/>
        </w:rPr>
        <w:t>）、“中国政府采购网"(www.ccgp.gov.cn) 对投标人是否被列入失信被执行人、重大税收违法案件当事人名单、政府采购严重违法失信</w:t>
      </w:r>
      <w:r>
        <w:rPr>
          <w:rFonts w:hint="eastAsia" w:ascii="宋体" w:hAnsi="宋体" w:cs="宋体"/>
          <w:sz w:val="24"/>
          <w:szCs w:val="24"/>
          <w:highlight w:val="none"/>
        </w:rPr>
        <w:t>行为记录名单的情况进行查询，以确定投标供应商是否具备投标资格。查询结果将以网页打印的形式留存并归档。</w:t>
      </w:r>
    </w:p>
    <w:p>
      <w:pPr>
        <w:spacing w:line="360" w:lineRule="auto"/>
        <w:ind w:firstLine="436" w:firstLineChars="200"/>
        <w:jc w:val="left"/>
        <w:rPr>
          <w:rFonts w:ascii="宋体" w:hAnsi="宋体" w:cs="宋体"/>
          <w:sz w:val="24"/>
          <w:szCs w:val="24"/>
          <w:highlight w:val="none"/>
        </w:rPr>
      </w:pPr>
      <w:r>
        <w:rPr>
          <w:rFonts w:hint="eastAsia" w:ascii="宋体" w:hAnsi="宋体" w:cs="宋体"/>
          <w:spacing w:val="-11"/>
          <w:sz w:val="24"/>
          <w:szCs w:val="24"/>
          <w:highlight w:val="none"/>
        </w:rPr>
        <w:t>20.2.1.3投标文件有下列情况之一的，在资格性审查时按照无效投标处理：</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（1）未按招标文件规定的数额和办法交纳投标保证金的（若有）；</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（2）不具备招标文件中规定资格条件的；</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（3） 供应商被“信用中国”网站（</w:t>
      </w:r>
      <w:r>
        <w:rPr>
          <w:highlight w:val="none"/>
        </w:rPr>
        <w:fldChar w:fldCharType="begin"/>
      </w:r>
      <w:r>
        <w:rPr>
          <w:highlight w:val="none"/>
        </w:rPr>
        <w:instrText xml:space="preserve"> HYPERLINK "http://www.creditchina.gov.cn/" \h </w:instrText>
      </w:r>
      <w:r>
        <w:rPr>
          <w:highlight w:val="none"/>
        </w:rPr>
        <w:fldChar w:fldCharType="separate"/>
      </w:r>
      <w:r>
        <w:rPr>
          <w:rFonts w:hint="eastAsia" w:ascii="宋体" w:hAnsi="宋体" w:cs="宋体"/>
          <w:sz w:val="24"/>
          <w:szCs w:val="24"/>
          <w:highlight w:val="none"/>
        </w:rPr>
        <w:t>www.creditchina.gov.cn</w:t>
      </w:r>
      <w:r>
        <w:rPr>
          <w:rFonts w:hint="eastAsia" w:ascii="宋体" w:hAnsi="宋体" w:cs="宋体"/>
          <w:sz w:val="24"/>
          <w:szCs w:val="24"/>
          <w:highlight w:val="none"/>
        </w:rPr>
        <w:fldChar w:fldCharType="end"/>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pPr>
        <w:spacing w:line="360" w:lineRule="auto"/>
        <w:ind w:firstLine="478" w:firstLineChars="200"/>
        <w:rPr>
          <w:rFonts w:ascii="宋体" w:hAnsi="宋体" w:cs="宋体"/>
          <w:b/>
          <w:sz w:val="24"/>
          <w:szCs w:val="24"/>
          <w:highlight w:val="none"/>
        </w:rPr>
      </w:pPr>
      <w:r>
        <w:rPr>
          <w:rFonts w:hint="eastAsia" w:ascii="宋体" w:hAnsi="宋体" w:cs="宋体"/>
          <w:b/>
          <w:spacing w:val="-1"/>
          <w:sz w:val="24"/>
          <w:szCs w:val="24"/>
          <w:highlight w:val="none"/>
        </w:rPr>
        <w:t>20.2.2投标文件的符合性审查。</w:t>
      </w:r>
    </w:p>
    <w:p>
      <w:pPr>
        <w:spacing w:line="360" w:lineRule="auto"/>
        <w:ind w:firstLine="478" w:firstLineChars="200"/>
        <w:jc w:val="left"/>
        <w:rPr>
          <w:rFonts w:ascii="宋体" w:hAnsi="宋体" w:cs="宋体"/>
          <w:sz w:val="24"/>
          <w:szCs w:val="24"/>
          <w:highlight w:val="none"/>
        </w:rPr>
      </w:pPr>
      <w:r>
        <w:rPr>
          <w:rFonts w:hint="eastAsia" w:ascii="宋体" w:hAnsi="宋体" w:cs="宋体"/>
          <w:b/>
          <w:spacing w:val="-1"/>
          <w:sz w:val="24"/>
          <w:szCs w:val="24"/>
          <w:highlight w:val="none"/>
        </w:rPr>
        <w:t>20.2.2.1</w:t>
      </w:r>
      <w:r>
        <w:rPr>
          <w:rFonts w:hint="eastAsia" w:ascii="宋体" w:hAnsi="宋体" w:cs="宋体"/>
          <w:spacing w:val="-1"/>
          <w:sz w:val="24"/>
          <w:szCs w:val="24"/>
          <w:highlight w:val="none"/>
        </w:rPr>
        <w:t>评标委员会将依据法律法规和招标文件的规定，对投</w:t>
      </w:r>
      <w:r>
        <w:rPr>
          <w:rFonts w:hint="eastAsia" w:ascii="宋体" w:hAnsi="宋体" w:cs="宋体"/>
          <w:sz w:val="24"/>
          <w:szCs w:val="24"/>
          <w:highlight w:val="none"/>
        </w:rPr>
        <w:t>标文件的有效性、完整性和对招标文件的响应程度进行审查，以确</w:t>
      </w:r>
      <w:r>
        <w:rPr>
          <w:rFonts w:hint="eastAsia" w:ascii="宋体" w:hAnsi="宋体" w:cs="宋体"/>
          <w:spacing w:val="-1"/>
          <w:sz w:val="24"/>
          <w:szCs w:val="24"/>
          <w:highlight w:val="none"/>
        </w:rPr>
        <w:t>定是否对招标文件的实质性要求作出响应。</w:t>
      </w:r>
    </w:p>
    <w:p>
      <w:pPr>
        <w:spacing w:line="360" w:lineRule="auto"/>
        <w:ind w:firstLine="470" w:firstLineChars="200"/>
        <w:jc w:val="left"/>
        <w:rPr>
          <w:rFonts w:ascii="宋体" w:hAnsi="宋体" w:cs="宋体"/>
          <w:sz w:val="24"/>
          <w:szCs w:val="24"/>
          <w:highlight w:val="none"/>
        </w:rPr>
      </w:pPr>
      <w:r>
        <w:rPr>
          <w:rFonts w:hint="eastAsia" w:ascii="宋体" w:hAnsi="宋体" w:cs="宋体"/>
          <w:b/>
          <w:spacing w:val="-3"/>
          <w:sz w:val="24"/>
          <w:szCs w:val="24"/>
          <w:highlight w:val="none"/>
        </w:rPr>
        <w:t>20.2.2.2</w:t>
      </w:r>
      <w:r>
        <w:rPr>
          <w:rFonts w:hint="eastAsia" w:ascii="宋体" w:hAnsi="宋体" w:cs="宋体"/>
          <w:spacing w:val="-3"/>
          <w:sz w:val="24"/>
          <w:szCs w:val="24"/>
          <w:highlight w:val="none"/>
        </w:rPr>
        <w:t>实质性要求是指本招标文件中用带星号</w:t>
      </w:r>
      <w:r>
        <w:rPr>
          <w:rFonts w:hint="eastAsia" w:ascii="宋体" w:hAnsi="宋体" w:cs="宋体"/>
          <w:spacing w:val="-6"/>
          <w:sz w:val="24"/>
          <w:szCs w:val="24"/>
          <w:highlight w:val="none"/>
        </w:rPr>
        <w:t>（“★”）</w:t>
      </w:r>
      <w:r>
        <w:rPr>
          <w:rFonts w:hint="eastAsia" w:ascii="宋体" w:hAnsi="宋体" w:cs="宋体"/>
          <w:sz w:val="24"/>
          <w:szCs w:val="24"/>
          <w:highlight w:val="none"/>
        </w:rPr>
        <w:t>的</w:t>
      </w:r>
      <w:r>
        <w:rPr>
          <w:rFonts w:hint="eastAsia" w:ascii="宋体" w:hAnsi="宋体" w:cs="宋体"/>
          <w:spacing w:val="-1"/>
          <w:sz w:val="24"/>
          <w:szCs w:val="24"/>
          <w:highlight w:val="none"/>
        </w:rPr>
        <w:t>商务和服务要求或文件中作出特别说明的其他要求。</w:t>
      </w:r>
    </w:p>
    <w:p>
      <w:pPr>
        <w:spacing w:line="360" w:lineRule="auto"/>
        <w:ind w:firstLine="470" w:firstLineChars="200"/>
        <w:jc w:val="left"/>
        <w:rPr>
          <w:rFonts w:ascii="宋体" w:hAnsi="宋体" w:cs="宋体"/>
          <w:sz w:val="24"/>
          <w:szCs w:val="24"/>
          <w:highlight w:val="none"/>
        </w:rPr>
      </w:pPr>
      <w:r>
        <w:rPr>
          <w:rFonts w:hint="eastAsia" w:ascii="宋体" w:hAnsi="宋体" w:cs="宋体"/>
          <w:b/>
          <w:spacing w:val="-3"/>
          <w:sz w:val="24"/>
          <w:szCs w:val="24"/>
          <w:highlight w:val="none"/>
        </w:rPr>
        <w:t>20.2.2.3</w:t>
      </w:r>
      <w:r>
        <w:rPr>
          <w:rFonts w:hint="eastAsia" w:ascii="宋体" w:hAnsi="宋体" w:cs="宋体"/>
          <w:spacing w:val="-5"/>
          <w:sz w:val="24"/>
          <w:szCs w:val="24"/>
          <w:highlight w:val="none"/>
        </w:rPr>
        <w:t>如果投标文件实质上没有响应招标文件的要求，评标</w:t>
      </w:r>
      <w:r>
        <w:rPr>
          <w:rFonts w:hint="eastAsia" w:ascii="宋体" w:hAnsi="宋体" w:cs="宋体"/>
          <w:sz w:val="24"/>
          <w:szCs w:val="24"/>
          <w:highlight w:val="none"/>
        </w:rPr>
        <w:t>委员会将予以拒绝，投标人不得通过修改或撤销不合要求的偏离或</w:t>
      </w:r>
      <w:r>
        <w:rPr>
          <w:rFonts w:hint="eastAsia" w:ascii="宋体" w:hAnsi="宋体" w:cs="宋体"/>
          <w:spacing w:val="-1"/>
          <w:sz w:val="24"/>
          <w:szCs w:val="24"/>
          <w:highlight w:val="none"/>
        </w:rPr>
        <w:t>保留而使其投标成为实质性响应的投标。</w:t>
      </w:r>
    </w:p>
    <w:p>
      <w:pPr>
        <w:spacing w:line="360" w:lineRule="auto"/>
        <w:ind w:firstLine="470" w:firstLineChars="200"/>
        <w:jc w:val="left"/>
        <w:rPr>
          <w:rFonts w:ascii="宋体" w:hAnsi="宋体" w:cs="宋体"/>
          <w:sz w:val="24"/>
          <w:szCs w:val="24"/>
          <w:highlight w:val="none"/>
        </w:rPr>
      </w:pPr>
      <w:r>
        <w:rPr>
          <w:rFonts w:hint="eastAsia" w:ascii="宋体" w:hAnsi="宋体" w:cs="宋体"/>
          <w:b/>
          <w:spacing w:val="-3"/>
          <w:sz w:val="24"/>
          <w:szCs w:val="24"/>
          <w:highlight w:val="none"/>
        </w:rPr>
        <w:t>20.2.2.4</w:t>
      </w:r>
      <w:r>
        <w:rPr>
          <w:rFonts w:hint="eastAsia" w:ascii="宋体" w:hAnsi="宋体" w:cs="宋体"/>
          <w:spacing w:val="-4"/>
          <w:sz w:val="24"/>
          <w:szCs w:val="24"/>
          <w:highlight w:val="none"/>
        </w:rPr>
        <w:t>投标文件有下列情况之一的，在符合性审查时按照</w:t>
      </w:r>
      <w:r>
        <w:rPr>
          <w:rFonts w:hint="eastAsia" w:ascii="宋体" w:hAnsi="宋体" w:cs="宋体"/>
          <w:b/>
          <w:sz w:val="24"/>
          <w:szCs w:val="24"/>
          <w:highlight w:val="none"/>
        </w:rPr>
        <w:t>无效投标处理</w:t>
      </w:r>
      <w:r>
        <w:rPr>
          <w:rFonts w:hint="eastAsia" w:ascii="宋体" w:hAnsi="宋体" w:cs="宋体"/>
          <w:sz w:val="24"/>
          <w:szCs w:val="24"/>
          <w:highlight w:val="none"/>
        </w:rPr>
        <w:t>：</w:t>
      </w:r>
    </w:p>
    <w:p>
      <w:pPr>
        <w:spacing w:line="360" w:lineRule="auto"/>
        <w:ind w:firstLine="432" w:firstLineChars="200"/>
        <w:jc w:val="left"/>
        <w:rPr>
          <w:rFonts w:ascii="宋体" w:hAnsi="宋体" w:cs="宋体"/>
          <w:sz w:val="24"/>
          <w:szCs w:val="24"/>
          <w:highlight w:val="none"/>
        </w:rPr>
      </w:pPr>
      <w:r>
        <w:rPr>
          <w:rFonts w:hint="eastAsia" w:ascii="宋体" w:hAnsi="宋体" w:cs="宋体"/>
          <w:spacing w:val="-12"/>
          <w:sz w:val="24"/>
          <w:szCs w:val="24"/>
          <w:highlight w:val="none"/>
        </w:rPr>
        <w:t>（1）</w:t>
      </w:r>
      <w:r>
        <w:rPr>
          <w:rFonts w:hint="eastAsia" w:ascii="宋体" w:hAnsi="宋体" w:cs="宋体"/>
          <w:spacing w:val="-7"/>
          <w:sz w:val="24"/>
          <w:szCs w:val="24"/>
          <w:highlight w:val="none"/>
        </w:rPr>
        <w:t>未按照招标文件规定要求密封、签署、盖章的，提交投标文件份数及电子件的；</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（2）不具备招标文件中规定的资格要求的；</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（3）投标总价超出采购预算金额或者最高限价的；</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（4）不同投标人的投标文件由同一单位或者个人编制；</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（5）不同投标人委托同一单位或者个人办理投标事宜；</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（6）不同投标人的投标文件载明的项目管理成员或者联系人员为同一人；</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（7）不同投标人的投标文件异常一致或者投标报价呈规律性差</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异；</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（8）不同投标人的投标文件相互混装；</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（9）不同投标人的投标保证金从同一单位或者个人的账户转出；</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（10）不同供应商的法定代表人或委托代理人有夫妻、直系血亲关系的；</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（11）不同供应商的负责人为同一人或者存在控股、管理关系</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的；</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（12）没有详细做出各项服务响应，而是直接拷贝招标文件服</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务内容及要求的；</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（13）不同供应</w:t>
      </w:r>
      <w:r>
        <w:rPr>
          <w:rFonts w:hint="eastAsia" w:ascii="宋体" w:hAnsi="宋体" w:cs="宋体"/>
          <w:spacing w:val="-6"/>
          <w:sz w:val="24"/>
          <w:szCs w:val="24"/>
          <w:highlight w:val="none"/>
        </w:rPr>
        <w:t>商的委托代理人(或法定代表人、项目经理、项目</w:t>
      </w:r>
      <w:r>
        <w:rPr>
          <w:rFonts w:hint="eastAsia" w:ascii="宋体" w:hAnsi="宋体" w:cs="宋体"/>
          <w:spacing w:val="-7"/>
          <w:sz w:val="24"/>
          <w:szCs w:val="24"/>
          <w:highlight w:val="none"/>
        </w:rPr>
        <w:t>总监、项目负责人等)在采购文件发布日上月至投标截止日当月在同一单位缴纳社会保险的；</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（14）服务承诺和付款条件未响应招标要求的；</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（15）投标文件含有采购人不能接受的附加条件的；</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（16）与招标文件提供的工程量清单中的项目编码、项目名称、项目特征、计量单位、工程量不一致的；</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（17）与招标文件规定的暂估价、暂列金额及甲供材料价格不一致的；</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（18）与招标文件明确列出的不可竞争费用项目或费率或计算基础不一致的；</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（19）与招标文件提供的工程量清单中的项目编码、项目名称、项目特征、计量单位、工程量不一致的；</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20）评标委员会认为投标人的报价低于完成本服务项目发生的所有含税费用、支付给员工的工资（不得低于供应商所在地最低工资标准）和国家强制缴纳的各种社会保障资金、公积金，以及供应商认为需要的其他费用等。或投标人的报价明显低于其他通过符合性审查投标人的报价，有可能影响服务质量或者不能诚信履约的， 未在评标现场合理的时间内提供书面说明或相关证明材料，不能证明其报价合理的；</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（21）不同投标人的投标文件以及投标文件制作过程出现异常雷同的情况；</w:t>
      </w:r>
    </w:p>
    <w:p>
      <w:pPr>
        <w:pStyle w:val="33"/>
        <w:numPr>
          <w:ilvl w:val="0"/>
          <w:numId w:val="3"/>
        </w:numPr>
        <w:spacing w:line="360" w:lineRule="auto"/>
        <w:ind w:left="0" w:firstLine="480"/>
        <w:jc w:val="left"/>
        <w:rPr>
          <w:rFonts w:ascii="宋体" w:hAnsi="宋体" w:cs="宋体"/>
          <w:sz w:val="24"/>
          <w:szCs w:val="24"/>
          <w:highlight w:val="none"/>
        </w:rPr>
      </w:pPr>
      <w:r>
        <w:rPr>
          <w:rFonts w:hint="eastAsia" w:ascii="宋体" w:hAnsi="宋体" w:cs="宋体"/>
          <w:sz w:val="24"/>
          <w:szCs w:val="24"/>
          <w:highlight w:val="none"/>
        </w:rPr>
        <w:t>不符合法律、法规和招标文件规定的其他无效情形。</w:t>
      </w:r>
    </w:p>
    <w:p>
      <w:pPr>
        <w:spacing w:line="360" w:lineRule="auto"/>
        <w:ind w:firstLine="470" w:firstLineChars="200"/>
        <w:jc w:val="left"/>
        <w:rPr>
          <w:rFonts w:ascii="宋体" w:hAnsi="宋体" w:cs="宋体"/>
          <w:sz w:val="24"/>
          <w:szCs w:val="24"/>
          <w:highlight w:val="none"/>
        </w:rPr>
      </w:pPr>
      <w:r>
        <w:rPr>
          <w:rFonts w:hint="eastAsia" w:ascii="宋体" w:hAnsi="宋体" w:cs="宋体"/>
          <w:b/>
          <w:spacing w:val="-3"/>
          <w:sz w:val="24"/>
          <w:szCs w:val="24"/>
          <w:highlight w:val="none"/>
        </w:rPr>
        <w:t>20.2.2.4</w:t>
      </w:r>
      <w:r>
        <w:rPr>
          <w:rFonts w:hint="eastAsia" w:ascii="宋体" w:hAnsi="宋体" w:cs="宋体"/>
          <w:spacing w:val="-12"/>
          <w:sz w:val="24"/>
          <w:szCs w:val="24"/>
          <w:highlight w:val="none"/>
        </w:rPr>
        <w:t>在评标期间，出现符合专业条件的供应商或者对招标文</w:t>
      </w:r>
      <w:r>
        <w:rPr>
          <w:rFonts w:hint="eastAsia" w:ascii="宋体" w:hAnsi="宋体" w:cs="宋体"/>
          <w:spacing w:val="-15"/>
          <w:sz w:val="24"/>
          <w:szCs w:val="24"/>
          <w:highlight w:val="none"/>
        </w:rPr>
        <w:t xml:space="preserve">件作出实质性响应的供应商不足三家情形的，比照 </w:t>
      </w:r>
      <w:r>
        <w:rPr>
          <w:rFonts w:hint="eastAsia" w:ascii="宋体" w:hAnsi="宋体" w:cs="宋体"/>
          <w:sz w:val="24"/>
          <w:szCs w:val="24"/>
          <w:highlight w:val="none"/>
        </w:rPr>
        <w:t>19.8</w:t>
      </w:r>
      <w:r>
        <w:rPr>
          <w:rFonts w:hint="eastAsia" w:ascii="宋体" w:hAnsi="宋体" w:cs="宋体"/>
          <w:spacing w:val="-16"/>
          <w:sz w:val="24"/>
          <w:szCs w:val="24"/>
          <w:highlight w:val="none"/>
        </w:rPr>
        <w:t>款执行。</w:t>
      </w:r>
    </w:p>
    <w:p>
      <w:pPr>
        <w:spacing w:line="360" w:lineRule="auto"/>
        <w:ind w:firstLine="470" w:firstLineChars="200"/>
        <w:jc w:val="left"/>
        <w:rPr>
          <w:rFonts w:ascii="宋体" w:hAnsi="宋体" w:cs="宋体"/>
          <w:sz w:val="24"/>
          <w:szCs w:val="24"/>
          <w:highlight w:val="none"/>
        </w:rPr>
      </w:pPr>
      <w:r>
        <w:rPr>
          <w:rFonts w:hint="eastAsia" w:ascii="宋体" w:hAnsi="宋体" w:cs="宋体"/>
          <w:b/>
          <w:spacing w:val="-3"/>
          <w:sz w:val="24"/>
          <w:szCs w:val="24"/>
          <w:highlight w:val="none"/>
        </w:rPr>
        <w:t>20.2.2.5</w:t>
      </w:r>
      <w:r>
        <w:rPr>
          <w:rFonts w:hint="eastAsia" w:ascii="宋体" w:hAnsi="宋体" w:cs="宋体"/>
          <w:sz w:val="24"/>
          <w:szCs w:val="24"/>
          <w:highlight w:val="none"/>
        </w:rPr>
        <w:t>有下列情形之一的予以</w:t>
      </w:r>
      <w:r>
        <w:rPr>
          <w:rFonts w:hint="eastAsia" w:ascii="宋体" w:hAnsi="宋体" w:cs="宋体"/>
          <w:b/>
          <w:spacing w:val="5"/>
          <w:sz w:val="24"/>
          <w:szCs w:val="24"/>
          <w:highlight w:val="none"/>
        </w:rPr>
        <w:t>废标</w:t>
      </w:r>
      <w:r>
        <w:rPr>
          <w:rFonts w:hint="eastAsia" w:ascii="宋体" w:hAnsi="宋体" w:cs="宋体"/>
          <w:spacing w:val="2"/>
          <w:sz w:val="24"/>
          <w:szCs w:val="24"/>
          <w:highlight w:val="none"/>
        </w:rPr>
        <w:t>，同时将废标理由通知所有供应商：</w:t>
      </w:r>
    </w:p>
    <w:p>
      <w:pPr>
        <w:pStyle w:val="16"/>
        <w:spacing w:line="360" w:lineRule="auto"/>
        <w:ind w:firstLine="480" w:firstLineChars="200"/>
        <w:jc w:val="left"/>
        <w:rPr>
          <w:highlight w:val="none"/>
        </w:rPr>
      </w:pPr>
      <w:r>
        <w:rPr>
          <w:rFonts w:hint="eastAsia"/>
          <w:highlight w:val="none"/>
        </w:rPr>
        <w:t>（1）符合专业条件的供应商或者对招标文件作实质性响应的供应商不足三家的；</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（2）出现影响采购公正的违法、违规行为的；</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（3）供应商的报价均超过了采购预算或最高限价的，采购人不能支付的；</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（4）因重大变故，采购任务取消的；</w:t>
      </w:r>
    </w:p>
    <w:p>
      <w:pPr>
        <w:spacing w:line="360" w:lineRule="auto"/>
        <w:ind w:firstLine="416" w:firstLineChars="200"/>
        <w:jc w:val="left"/>
        <w:rPr>
          <w:rFonts w:ascii="宋体" w:hAnsi="宋体" w:cs="宋体"/>
          <w:sz w:val="24"/>
          <w:szCs w:val="24"/>
          <w:highlight w:val="none"/>
        </w:rPr>
      </w:pPr>
      <w:r>
        <w:rPr>
          <w:rFonts w:hint="eastAsia" w:ascii="宋体" w:hAnsi="宋体" w:cs="宋体"/>
          <w:spacing w:val="-16"/>
          <w:sz w:val="24"/>
          <w:szCs w:val="24"/>
          <w:highlight w:val="none"/>
        </w:rPr>
        <w:t>（5）</w:t>
      </w:r>
      <w:r>
        <w:rPr>
          <w:rFonts w:hint="eastAsia" w:ascii="宋体" w:hAnsi="宋体" w:cs="宋体"/>
          <w:spacing w:val="-8"/>
          <w:sz w:val="24"/>
          <w:szCs w:val="24"/>
          <w:highlight w:val="none"/>
        </w:rPr>
        <w:t>投标文件存在歧义、重大缺陷，或者招标文件内容违反国家有关强制性规定的。</w:t>
      </w:r>
    </w:p>
    <w:p>
      <w:pPr>
        <w:spacing w:line="360" w:lineRule="auto"/>
        <w:ind w:firstLine="478" w:firstLineChars="200"/>
        <w:rPr>
          <w:rFonts w:ascii="宋体" w:hAnsi="宋体" w:cs="宋体"/>
          <w:b/>
          <w:sz w:val="24"/>
          <w:szCs w:val="24"/>
          <w:highlight w:val="none"/>
        </w:rPr>
      </w:pPr>
      <w:r>
        <w:rPr>
          <w:rFonts w:hint="eastAsia" w:ascii="宋体" w:hAnsi="宋体" w:cs="宋体"/>
          <w:b/>
          <w:spacing w:val="-1"/>
          <w:sz w:val="24"/>
          <w:szCs w:val="24"/>
          <w:highlight w:val="none"/>
        </w:rPr>
        <w:t>20.2.3投标文件的进一步评审。</w:t>
      </w:r>
    </w:p>
    <w:p>
      <w:pPr>
        <w:spacing w:line="360" w:lineRule="auto"/>
        <w:ind w:firstLine="478" w:firstLineChars="200"/>
        <w:jc w:val="left"/>
        <w:rPr>
          <w:rFonts w:ascii="宋体" w:hAnsi="宋体" w:cs="宋体"/>
          <w:sz w:val="24"/>
          <w:szCs w:val="24"/>
          <w:highlight w:val="none"/>
        </w:rPr>
      </w:pPr>
      <w:r>
        <w:rPr>
          <w:rFonts w:hint="eastAsia" w:ascii="宋体" w:hAnsi="宋体" w:cs="宋体"/>
          <w:b/>
          <w:spacing w:val="-1"/>
          <w:sz w:val="24"/>
          <w:szCs w:val="24"/>
          <w:highlight w:val="none"/>
        </w:rPr>
        <w:t>20.2.3.1</w:t>
      </w:r>
      <w:r>
        <w:rPr>
          <w:rFonts w:hint="eastAsia" w:ascii="宋体" w:hAnsi="宋体" w:cs="宋体"/>
          <w:sz w:val="24"/>
          <w:szCs w:val="24"/>
          <w:highlight w:val="none"/>
        </w:rPr>
        <w:t>评标委员会将对确定为实质性响应的投标文件进行进一步评审，看其是否有计算上或累加上的算术错误，修正错误的原</w:t>
      </w:r>
      <w:r>
        <w:rPr>
          <w:rFonts w:hint="eastAsia" w:ascii="宋体" w:hAnsi="宋体" w:cs="宋体"/>
          <w:spacing w:val="-1"/>
          <w:sz w:val="24"/>
          <w:szCs w:val="24"/>
          <w:highlight w:val="none"/>
        </w:rPr>
        <w:t>则如下：</w:t>
      </w:r>
    </w:p>
    <w:p>
      <w:pPr>
        <w:pStyle w:val="16"/>
        <w:spacing w:line="360" w:lineRule="auto"/>
        <w:ind w:firstLine="480" w:firstLineChars="200"/>
        <w:jc w:val="left"/>
        <w:rPr>
          <w:highlight w:val="none"/>
        </w:rPr>
      </w:pPr>
      <w:r>
        <w:rPr>
          <w:rFonts w:hint="eastAsia"/>
          <w:highlight w:val="none"/>
        </w:rPr>
        <w:t>如果用数字表示的金额和用文字表示的金额不一致时，应以文字表示的金额为准进行修正；</w:t>
      </w:r>
    </w:p>
    <w:p>
      <w:pPr>
        <w:pStyle w:val="16"/>
        <w:spacing w:line="360" w:lineRule="auto"/>
        <w:ind w:firstLine="480" w:firstLineChars="200"/>
        <w:jc w:val="left"/>
        <w:rPr>
          <w:spacing w:val="-1"/>
          <w:highlight w:val="none"/>
        </w:rPr>
      </w:pPr>
      <w:r>
        <w:rPr>
          <w:rFonts w:hint="eastAsia"/>
          <w:highlight w:val="none"/>
        </w:rPr>
        <w:t>当单价与数量的乘积和总价不一致时，以单价为准进行修正。只有在评委会认为单价有明显的小数点错误时，才能以标出的</w:t>
      </w:r>
      <w:r>
        <w:rPr>
          <w:rFonts w:hint="eastAsia"/>
          <w:spacing w:val="-1"/>
          <w:highlight w:val="none"/>
        </w:rPr>
        <w:t>总价为准，并修改单价。</w:t>
      </w:r>
    </w:p>
    <w:p>
      <w:pPr>
        <w:pStyle w:val="16"/>
        <w:spacing w:line="360" w:lineRule="auto"/>
        <w:ind w:firstLine="478" w:firstLineChars="200"/>
        <w:jc w:val="left"/>
        <w:rPr>
          <w:highlight w:val="none"/>
        </w:rPr>
      </w:pPr>
      <w:r>
        <w:rPr>
          <w:rFonts w:hint="eastAsia"/>
          <w:b/>
          <w:spacing w:val="-1"/>
          <w:highlight w:val="none"/>
        </w:rPr>
        <w:t>20.2.3.2</w:t>
      </w:r>
      <w:r>
        <w:rPr>
          <w:rFonts w:hint="eastAsia"/>
          <w:spacing w:val="8"/>
          <w:highlight w:val="none"/>
        </w:rPr>
        <w:t>评标委员会将按上述修正错误的方法调整投标文件</w:t>
      </w:r>
      <w:r>
        <w:rPr>
          <w:rFonts w:hint="eastAsia"/>
          <w:highlight w:val="none"/>
        </w:rPr>
        <w:t>中的投标价，调整后的价格应对投标人具有约束力。如果投标人不</w:t>
      </w:r>
      <w:r>
        <w:rPr>
          <w:rFonts w:hint="eastAsia"/>
          <w:spacing w:val="-1"/>
          <w:highlight w:val="none"/>
        </w:rPr>
        <w:t>接受修正后的价格，则其投标将被拒绝，其投标保证金不予退还。</w:t>
      </w:r>
    </w:p>
    <w:p>
      <w:pPr>
        <w:spacing w:line="360" w:lineRule="auto"/>
        <w:ind w:firstLine="478" w:firstLineChars="200"/>
        <w:jc w:val="left"/>
        <w:rPr>
          <w:rFonts w:ascii="宋体" w:hAnsi="宋体" w:cs="宋体"/>
          <w:sz w:val="24"/>
          <w:szCs w:val="24"/>
          <w:highlight w:val="none"/>
        </w:rPr>
      </w:pPr>
      <w:r>
        <w:rPr>
          <w:rFonts w:hint="eastAsia" w:ascii="宋体" w:hAnsi="宋体" w:cs="宋体"/>
          <w:b/>
          <w:spacing w:val="-1"/>
          <w:sz w:val="24"/>
          <w:szCs w:val="24"/>
          <w:highlight w:val="none"/>
        </w:rPr>
        <w:t>20.2.3.3</w:t>
      </w:r>
      <w:r>
        <w:rPr>
          <w:rFonts w:hint="eastAsia" w:ascii="宋体" w:hAnsi="宋体" w:cs="宋体"/>
          <w:spacing w:val="-4"/>
          <w:sz w:val="24"/>
          <w:szCs w:val="24"/>
          <w:highlight w:val="none"/>
        </w:rPr>
        <w:t>评委会将允许修正投标文件中不构成重大偏离的、微</w:t>
      </w:r>
      <w:r>
        <w:rPr>
          <w:rFonts w:hint="eastAsia" w:ascii="宋体" w:hAnsi="宋体" w:cs="宋体"/>
          <w:sz w:val="24"/>
          <w:szCs w:val="24"/>
          <w:highlight w:val="none"/>
        </w:rPr>
        <w:t>小的、非正规的、不一致的或不规则的地方，但这些修改不能影响任何投标人相应的名次排列。</w:t>
      </w:r>
    </w:p>
    <w:p>
      <w:pPr>
        <w:spacing w:line="360" w:lineRule="auto"/>
        <w:ind w:firstLine="478" w:firstLineChars="200"/>
        <w:jc w:val="left"/>
        <w:rPr>
          <w:rFonts w:ascii="宋体" w:hAnsi="宋体" w:cs="宋体"/>
          <w:sz w:val="24"/>
          <w:szCs w:val="24"/>
          <w:highlight w:val="none"/>
        </w:rPr>
      </w:pPr>
      <w:r>
        <w:rPr>
          <w:rFonts w:hint="eastAsia" w:ascii="宋体" w:hAnsi="宋体" w:cs="宋体"/>
          <w:b/>
          <w:spacing w:val="-1"/>
          <w:sz w:val="24"/>
          <w:szCs w:val="24"/>
          <w:highlight w:val="none"/>
        </w:rPr>
        <w:t>20.2.3.4</w:t>
      </w:r>
      <w:r>
        <w:rPr>
          <w:rFonts w:hint="eastAsia" w:ascii="宋体" w:hAnsi="宋体" w:cs="宋体"/>
          <w:b/>
          <w:sz w:val="24"/>
          <w:szCs w:val="24"/>
          <w:highlight w:val="none"/>
        </w:rPr>
        <w:t>澄清有关问题</w:t>
      </w:r>
      <w:r>
        <w:rPr>
          <w:rFonts w:hint="eastAsia" w:ascii="宋体" w:hAnsi="宋体" w:cs="宋体"/>
          <w:spacing w:val="-14"/>
          <w:sz w:val="24"/>
          <w:szCs w:val="24"/>
          <w:highlight w:val="none"/>
        </w:rPr>
        <w:t>。对投标文件中含义不明确、同类问题表</w:t>
      </w:r>
      <w:r>
        <w:rPr>
          <w:rFonts w:hint="eastAsia" w:ascii="宋体" w:hAnsi="宋体" w:cs="宋体"/>
          <w:sz w:val="24"/>
          <w:szCs w:val="24"/>
          <w:highlight w:val="none"/>
        </w:rPr>
        <w:t>述不一致或者明显文字错误的内容，评标委员会可以要求供应商作出必要的澄清、说明或者补正。供应商的澄清、说明、补正应当采用书面形式，由其授权代表签字，但不得超出投标文件的范围或者改变投标文件的实质性内容。</w:t>
      </w:r>
    </w:p>
    <w:p>
      <w:pPr>
        <w:spacing w:line="360" w:lineRule="auto"/>
        <w:ind w:firstLine="478" w:firstLineChars="200"/>
        <w:jc w:val="left"/>
        <w:rPr>
          <w:rFonts w:ascii="宋体" w:hAnsi="宋体" w:cs="宋体"/>
          <w:sz w:val="24"/>
          <w:szCs w:val="24"/>
          <w:highlight w:val="none"/>
        </w:rPr>
      </w:pPr>
      <w:r>
        <w:rPr>
          <w:rFonts w:hint="eastAsia" w:ascii="宋体" w:hAnsi="宋体" w:cs="宋体"/>
          <w:b/>
          <w:spacing w:val="-1"/>
          <w:sz w:val="24"/>
          <w:szCs w:val="24"/>
          <w:highlight w:val="none"/>
        </w:rPr>
        <w:t>20.2.3.5</w:t>
      </w:r>
      <w:r>
        <w:rPr>
          <w:rFonts w:hint="eastAsia" w:ascii="宋体" w:hAnsi="宋体" w:cs="宋体"/>
          <w:b/>
          <w:sz w:val="24"/>
          <w:szCs w:val="24"/>
          <w:highlight w:val="none"/>
        </w:rPr>
        <w:t>比较与评价。</w:t>
      </w:r>
      <w:r>
        <w:rPr>
          <w:rFonts w:hint="eastAsia" w:ascii="宋体" w:hAnsi="宋体" w:cs="宋体"/>
          <w:spacing w:val="-1"/>
          <w:sz w:val="24"/>
          <w:szCs w:val="24"/>
          <w:highlight w:val="none"/>
        </w:rPr>
        <w:t xml:space="preserve">按照招标文件中规定的评标方法和标准， </w:t>
      </w:r>
      <w:r>
        <w:rPr>
          <w:rFonts w:hint="eastAsia" w:ascii="宋体" w:hAnsi="宋体" w:cs="宋体"/>
          <w:sz w:val="24"/>
          <w:szCs w:val="24"/>
          <w:highlight w:val="none"/>
        </w:rPr>
        <w:t xml:space="preserve">对资格性检查和符合性检查合格的投标文件进行商务和技术评估， </w:t>
      </w:r>
      <w:r>
        <w:rPr>
          <w:rFonts w:hint="eastAsia" w:ascii="宋体" w:hAnsi="宋体" w:cs="宋体"/>
          <w:spacing w:val="-1"/>
          <w:sz w:val="24"/>
          <w:szCs w:val="24"/>
          <w:highlight w:val="none"/>
        </w:rPr>
        <w:t>综合比较与评价。</w:t>
      </w:r>
    </w:p>
    <w:p>
      <w:pPr>
        <w:spacing w:line="360" w:lineRule="auto"/>
        <w:ind w:firstLine="482" w:firstLineChars="200"/>
        <w:jc w:val="left"/>
        <w:rPr>
          <w:rFonts w:ascii="宋体" w:hAnsi="宋体" w:cs="宋体"/>
          <w:b/>
          <w:sz w:val="24"/>
          <w:szCs w:val="24"/>
          <w:highlight w:val="none"/>
        </w:rPr>
      </w:pPr>
      <w:r>
        <w:rPr>
          <w:rFonts w:hint="eastAsia" w:ascii="宋体" w:hAnsi="宋体" w:cs="宋体"/>
          <w:b/>
          <w:sz w:val="24"/>
          <w:szCs w:val="24"/>
          <w:highlight w:val="none"/>
        </w:rPr>
        <w:t>20.3 评标方法和标准</w:t>
      </w:r>
    </w:p>
    <w:p>
      <w:pPr>
        <w:spacing w:line="360" w:lineRule="auto"/>
        <w:ind w:firstLine="482" w:firstLineChars="200"/>
        <w:jc w:val="left"/>
        <w:rPr>
          <w:rFonts w:ascii="宋体" w:hAnsi="宋体" w:cs="宋体"/>
          <w:sz w:val="24"/>
          <w:szCs w:val="24"/>
          <w:highlight w:val="none"/>
        </w:rPr>
      </w:pPr>
      <w:r>
        <w:rPr>
          <w:rFonts w:hint="eastAsia" w:ascii="宋体" w:hAnsi="宋体" w:cs="宋体"/>
          <w:b/>
          <w:sz w:val="24"/>
          <w:szCs w:val="24"/>
          <w:highlight w:val="none"/>
        </w:rPr>
        <w:t>20.3.1</w:t>
      </w:r>
      <w:r>
        <w:rPr>
          <w:rFonts w:hint="eastAsia" w:ascii="宋体" w:hAnsi="宋体" w:cs="宋体"/>
          <w:b/>
          <w:spacing w:val="-16"/>
          <w:sz w:val="24"/>
          <w:szCs w:val="24"/>
          <w:highlight w:val="none"/>
        </w:rPr>
        <w:t xml:space="preserve"> 采用综合评分法。</w:t>
      </w:r>
      <w:r>
        <w:rPr>
          <w:rFonts w:hint="eastAsia" w:ascii="宋体" w:hAnsi="宋体" w:cs="宋体"/>
          <w:spacing w:val="-1"/>
          <w:sz w:val="24"/>
          <w:szCs w:val="24"/>
          <w:highlight w:val="none"/>
        </w:rPr>
        <w:t>即在投标文件满足招标文件全部实质性</w:t>
      </w:r>
      <w:r>
        <w:rPr>
          <w:rFonts w:hint="eastAsia" w:ascii="宋体" w:hAnsi="宋体" w:cs="宋体"/>
          <w:spacing w:val="-2"/>
          <w:sz w:val="24"/>
          <w:szCs w:val="24"/>
          <w:highlight w:val="none"/>
        </w:rPr>
        <w:t>要求且评审得分最高的投标人为排名第一的中标候选人。</w:t>
      </w:r>
    </w:p>
    <w:p>
      <w:pPr>
        <w:spacing w:line="360" w:lineRule="auto"/>
        <w:ind w:firstLine="482" w:firstLineChars="200"/>
        <w:jc w:val="left"/>
        <w:rPr>
          <w:rFonts w:ascii="宋体" w:hAnsi="宋体" w:cs="宋体"/>
          <w:b/>
          <w:bCs/>
          <w:sz w:val="24"/>
          <w:szCs w:val="24"/>
          <w:highlight w:val="none"/>
        </w:rPr>
      </w:pPr>
      <w:r>
        <w:rPr>
          <w:rFonts w:hint="eastAsia" w:ascii="宋体" w:hAnsi="宋体" w:cs="宋体"/>
          <w:b/>
          <w:bCs/>
          <w:sz w:val="24"/>
          <w:szCs w:val="24"/>
          <w:highlight w:val="none"/>
        </w:rPr>
        <w:t>21、确定中标供应商</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21.1中标供应商确定之日起2个工作日内，将在财政部门指定的政府采购信息发布媒体上公告，中标供应商及时到代理机构领取《中标通知书》。</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21.2中标通知书对采购人和中标供应商具有同等法律效力。</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21.3中标通知书发出后，中标供应商无正当理由不与采购人签订合同的，投标保证金不予退还；情节严重的，由财政部门将其列入不良行为记录名单，并予以通报。</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21.4招标代理和评标委员会对未中标的供应商不作未中标原因的解释。</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21.5所有投标文件都将作为档案保存，不论中标与否，招标代理均不退回。</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 xml:space="preserve">21.6招标人将根据评委会的推荐排名确定第一名中标侯选人为中标单位。如第一名中标侯选人放弃中标或因不可抗力提出不能履行合同时，则招标人可以确定排名第二的中标侯选人作为中标单位或重新招标；如第二名中标侯选人放弃中标或因不可抗力提出不能履行合同时，则招标人可以确定排名第三的中标侯选人作为中标单位或重新招标。 </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 xml:space="preserve">确定中标单位后，招标人向中标单位发出中标通知书。中标通知书将成为合同的组成部分。 </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中标单位收到中标通知书后，应在 15 日内与招标人签订施工合同。中标人不与招标人订立合同的，应当对招标人的损失承担赔偿责任。</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中标通知书发出后，除不可抗力情况外，中标人出现下列情形之一的， 招标人必须取消其中标资格： （1）放弃中标项目的；（2）拒不按照招标文件的要求提交履约保证金的；（3）不与招标人签订合同的，或者在签订合同时向招标人提出附加条件或者更改合同实质性内容要求的。</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在投标有效期结束前，因排名在前的中标候选人或中标人放弃中标的，其投标保证金不予退还。重新招标的，放弃中标的中标人不得参加该项目的投标。</w:t>
      </w:r>
    </w:p>
    <w:p>
      <w:pPr>
        <w:spacing w:line="360" w:lineRule="auto"/>
        <w:ind w:firstLine="482" w:firstLineChars="200"/>
        <w:jc w:val="left"/>
        <w:rPr>
          <w:rFonts w:ascii="宋体" w:hAnsi="宋体" w:cs="宋体"/>
          <w:b/>
          <w:sz w:val="24"/>
          <w:szCs w:val="24"/>
          <w:highlight w:val="none"/>
        </w:rPr>
      </w:pPr>
      <w:r>
        <w:rPr>
          <w:rFonts w:hint="eastAsia" w:ascii="宋体" w:hAnsi="宋体" w:cs="宋体"/>
          <w:b/>
          <w:sz w:val="24"/>
          <w:szCs w:val="24"/>
          <w:highlight w:val="none"/>
        </w:rPr>
        <w:t>22、编写评标报告</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22.1 评标委员会根据全体评标成员签字的原始评标记录和评标结果编写评标报告。</w:t>
      </w:r>
    </w:p>
    <w:p>
      <w:pPr>
        <w:pStyle w:val="33"/>
        <w:spacing w:line="360" w:lineRule="auto"/>
        <w:ind w:left="420" w:leftChars="200" w:firstLine="0" w:firstLineChars="0"/>
        <w:jc w:val="left"/>
        <w:rPr>
          <w:rFonts w:ascii="宋体" w:hAnsi="宋体" w:cs="宋体"/>
          <w:b/>
          <w:sz w:val="24"/>
          <w:szCs w:val="24"/>
          <w:highlight w:val="none"/>
        </w:rPr>
      </w:pPr>
      <w:r>
        <w:rPr>
          <w:rFonts w:hint="eastAsia" w:ascii="宋体" w:hAnsi="宋体" w:cs="宋体"/>
          <w:b/>
          <w:sz w:val="24"/>
          <w:szCs w:val="24"/>
          <w:highlight w:val="none"/>
        </w:rPr>
        <w:t>23、评标过程的保密性</w:t>
      </w:r>
    </w:p>
    <w:p>
      <w:pPr>
        <w:spacing w:line="360" w:lineRule="auto"/>
        <w:ind w:firstLine="432" w:firstLineChars="200"/>
        <w:jc w:val="left"/>
        <w:rPr>
          <w:rFonts w:ascii="宋体" w:hAnsi="宋体" w:cs="宋体"/>
          <w:sz w:val="24"/>
          <w:szCs w:val="24"/>
          <w:highlight w:val="none"/>
        </w:rPr>
      </w:pPr>
      <w:r>
        <w:rPr>
          <w:rFonts w:hint="eastAsia" w:ascii="宋体" w:hAnsi="宋体" w:cs="宋体"/>
          <w:spacing w:val="-12"/>
          <w:sz w:val="24"/>
          <w:szCs w:val="24"/>
          <w:highlight w:val="none"/>
        </w:rPr>
        <w:t>23.1招标代理将采取必要措施，保证评标在严格保密的情况下进行。</w:t>
      </w:r>
    </w:p>
    <w:p>
      <w:pPr>
        <w:spacing w:line="360" w:lineRule="auto"/>
        <w:ind w:firstLine="448" w:firstLineChars="200"/>
        <w:jc w:val="left"/>
        <w:rPr>
          <w:rFonts w:ascii="宋体" w:hAnsi="宋体" w:cs="宋体"/>
          <w:sz w:val="24"/>
          <w:szCs w:val="24"/>
          <w:highlight w:val="none"/>
        </w:rPr>
      </w:pPr>
      <w:r>
        <w:rPr>
          <w:rFonts w:hint="eastAsia" w:ascii="宋体" w:hAnsi="宋体" w:cs="宋体"/>
          <w:spacing w:val="-8"/>
          <w:sz w:val="24"/>
          <w:szCs w:val="24"/>
          <w:highlight w:val="none"/>
        </w:rPr>
        <w:t>23.2任何单位和个人不得非法干预、影响评标办法的确定，以及</w:t>
      </w:r>
      <w:r>
        <w:rPr>
          <w:rFonts w:hint="eastAsia" w:ascii="宋体" w:hAnsi="宋体" w:cs="宋体"/>
          <w:spacing w:val="-7"/>
          <w:sz w:val="24"/>
          <w:szCs w:val="24"/>
          <w:highlight w:val="none"/>
        </w:rPr>
        <w:t>评标过程和结果。</w:t>
      </w:r>
    </w:p>
    <w:p>
      <w:pPr>
        <w:spacing w:line="360" w:lineRule="auto"/>
        <w:ind w:firstLine="432" w:firstLineChars="200"/>
        <w:jc w:val="left"/>
        <w:rPr>
          <w:rFonts w:ascii="宋体" w:hAnsi="宋体" w:cs="宋体"/>
          <w:sz w:val="24"/>
          <w:szCs w:val="24"/>
          <w:highlight w:val="none"/>
        </w:rPr>
      </w:pPr>
      <w:r>
        <w:rPr>
          <w:rFonts w:hint="eastAsia" w:ascii="宋体" w:hAnsi="宋体" w:cs="宋体"/>
          <w:spacing w:val="-12"/>
          <w:sz w:val="24"/>
          <w:szCs w:val="24"/>
          <w:highlight w:val="none"/>
        </w:rPr>
        <w:t>23.3凡是与审查、澄清、评价和比较投标的有关资料等，均不向供应商及与评标无关的其他人员透露。</w:t>
      </w:r>
    </w:p>
    <w:p>
      <w:pPr>
        <w:pStyle w:val="33"/>
        <w:spacing w:line="360" w:lineRule="auto"/>
        <w:ind w:left="420" w:leftChars="200" w:firstLine="0" w:firstLineChars="0"/>
        <w:jc w:val="left"/>
        <w:outlineLvl w:val="1"/>
        <w:rPr>
          <w:rFonts w:ascii="宋体" w:hAnsi="宋体" w:cs="宋体"/>
          <w:b/>
          <w:sz w:val="24"/>
          <w:szCs w:val="24"/>
          <w:highlight w:val="none"/>
        </w:rPr>
      </w:pPr>
      <w:r>
        <w:rPr>
          <w:rFonts w:hint="eastAsia" w:ascii="宋体" w:hAnsi="宋体" w:cs="宋体"/>
          <w:b/>
          <w:sz w:val="24"/>
          <w:szCs w:val="24"/>
          <w:highlight w:val="none"/>
        </w:rPr>
        <w:t>五、签订合同</w:t>
      </w:r>
    </w:p>
    <w:p>
      <w:pPr>
        <w:spacing w:line="360" w:lineRule="auto"/>
        <w:ind w:firstLine="482" w:firstLineChars="200"/>
        <w:jc w:val="left"/>
        <w:rPr>
          <w:rFonts w:ascii="宋体" w:hAnsi="宋体" w:cs="宋体"/>
          <w:b/>
          <w:sz w:val="24"/>
          <w:szCs w:val="24"/>
          <w:highlight w:val="none"/>
        </w:rPr>
      </w:pPr>
      <w:r>
        <w:rPr>
          <w:rFonts w:hint="eastAsia" w:ascii="宋体" w:hAnsi="宋体" w:cs="宋体"/>
          <w:b/>
          <w:sz w:val="24"/>
          <w:szCs w:val="24"/>
          <w:highlight w:val="none"/>
        </w:rPr>
        <w:t>24、签订合同</w:t>
      </w:r>
    </w:p>
    <w:p>
      <w:pPr>
        <w:spacing w:line="360" w:lineRule="auto"/>
        <w:ind w:firstLine="476" w:firstLineChars="200"/>
        <w:jc w:val="left"/>
        <w:rPr>
          <w:rFonts w:ascii="宋体" w:hAnsi="宋体" w:cs="宋体"/>
          <w:sz w:val="24"/>
          <w:szCs w:val="24"/>
          <w:highlight w:val="none"/>
        </w:rPr>
      </w:pPr>
      <w:r>
        <w:rPr>
          <w:rFonts w:hint="eastAsia" w:ascii="宋体" w:hAnsi="宋体" w:cs="宋体"/>
          <w:spacing w:val="-1"/>
          <w:sz w:val="24"/>
          <w:szCs w:val="24"/>
          <w:highlight w:val="none"/>
        </w:rPr>
        <w:t>24.1采购人应当自中标通知书发出之日起</w:t>
      </w:r>
      <w:r>
        <w:rPr>
          <w:rFonts w:hint="eastAsia" w:ascii="宋体" w:hAnsi="宋体" w:cs="宋体"/>
          <w:sz w:val="24"/>
          <w:szCs w:val="24"/>
          <w:highlight w:val="none"/>
        </w:rPr>
        <w:t>30</w:t>
      </w:r>
      <w:r>
        <w:rPr>
          <w:rFonts w:hint="eastAsia" w:ascii="宋体" w:hAnsi="宋体" w:cs="宋体"/>
          <w:spacing w:val="-16"/>
          <w:sz w:val="24"/>
          <w:szCs w:val="24"/>
          <w:highlight w:val="none"/>
        </w:rPr>
        <w:t>日内，按照招标文件</w:t>
      </w:r>
      <w:r>
        <w:rPr>
          <w:rFonts w:hint="eastAsia" w:ascii="宋体" w:hAnsi="宋体" w:cs="宋体"/>
          <w:sz w:val="24"/>
          <w:szCs w:val="24"/>
          <w:highlight w:val="none"/>
        </w:rPr>
        <w:t>和中标人投标文件的规定与中标人签订书面合同。所签订的合同不</w:t>
      </w:r>
      <w:r>
        <w:rPr>
          <w:rFonts w:hint="eastAsia" w:ascii="宋体" w:hAnsi="宋体" w:cs="宋体"/>
          <w:spacing w:val="-1"/>
          <w:sz w:val="24"/>
          <w:szCs w:val="24"/>
          <w:highlight w:val="none"/>
        </w:rPr>
        <w:t>得对招标文件确定事项和中标人投标文件作实质性修改。</w:t>
      </w:r>
    </w:p>
    <w:p>
      <w:pPr>
        <w:spacing w:line="360" w:lineRule="auto"/>
        <w:ind w:firstLine="476" w:firstLineChars="200"/>
        <w:jc w:val="left"/>
        <w:rPr>
          <w:rFonts w:ascii="宋体" w:hAnsi="宋体" w:cs="宋体"/>
          <w:sz w:val="24"/>
          <w:szCs w:val="24"/>
          <w:highlight w:val="none"/>
        </w:rPr>
      </w:pPr>
      <w:r>
        <w:rPr>
          <w:rFonts w:hint="eastAsia" w:ascii="宋体" w:hAnsi="宋体" w:cs="宋体"/>
          <w:spacing w:val="-1"/>
          <w:sz w:val="24"/>
          <w:szCs w:val="24"/>
          <w:highlight w:val="none"/>
        </w:rPr>
        <w:t>24.2采购人不得向中标人提出任何不合理的要求作为签订合同的条件，不得与中标人私下订立背离合同实质性内容的协议。</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24.3中标人拒绝与采购人签订合同，或因不可抗力或者自身原因不能履行政府采购合同的，采购人可以按照评审报告中的得分高低顺序，确定下一顺序投标人为中标人，也可以重新开展政府采购活动。</w:t>
      </w:r>
    </w:p>
    <w:p>
      <w:pPr>
        <w:spacing w:line="360" w:lineRule="auto"/>
        <w:ind w:firstLine="482" w:firstLineChars="200"/>
        <w:jc w:val="left"/>
        <w:outlineLvl w:val="1"/>
        <w:rPr>
          <w:rFonts w:ascii="宋体" w:hAnsi="宋体" w:cs="宋体"/>
          <w:b/>
          <w:sz w:val="24"/>
          <w:szCs w:val="24"/>
          <w:highlight w:val="none"/>
        </w:rPr>
      </w:pPr>
      <w:r>
        <w:rPr>
          <w:rFonts w:hint="eastAsia" w:ascii="宋体" w:hAnsi="宋体" w:cs="宋体"/>
          <w:b/>
          <w:sz w:val="24"/>
          <w:szCs w:val="24"/>
          <w:highlight w:val="none"/>
        </w:rPr>
        <w:t>六、询问、质疑、投诉和诚实信用</w:t>
      </w:r>
    </w:p>
    <w:p>
      <w:pPr>
        <w:spacing w:line="360" w:lineRule="auto"/>
        <w:ind w:firstLine="482" w:firstLineChars="200"/>
        <w:jc w:val="left"/>
        <w:rPr>
          <w:rFonts w:ascii="宋体" w:hAnsi="宋体" w:cs="宋体"/>
          <w:b/>
          <w:sz w:val="24"/>
          <w:szCs w:val="24"/>
          <w:highlight w:val="none"/>
        </w:rPr>
      </w:pPr>
      <w:r>
        <w:rPr>
          <w:rFonts w:hint="eastAsia" w:ascii="宋体" w:hAnsi="宋体" w:cs="宋体"/>
          <w:b/>
          <w:sz w:val="24"/>
          <w:szCs w:val="24"/>
          <w:highlight w:val="none"/>
        </w:rPr>
        <w:t>25、询问</w:t>
      </w:r>
    </w:p>
    <w:p>
      <w:pPr>
        <w:spacing w:line="360" w:lineRule="auto"/>
        <w:ind w:firstLine="480" w:firstLineChars="200"/>
        <w:jc w:val="left"/>
        <w:rPr>
          <w:rFonts w:ascii="宋体" w:hAnsi="宋体" w:cs="宋体"/>
          <w:b/>
          <w:sz w:val="24"/>
          <w:szCs w:val="24"/>
          <w:highlight w:val="none"/>
        </w:rPr>
      </w:pPr>
      <w:r>
        <w:rPr>
          <w:rFonts w:hint="eastAsia" w:ascii="宋体" w:hAnsi="宋体" w:cs="宋体"/>
          <w:sz w:val="24"/>
          <w:szCs w:val="24"/>
          <w:highlight w:val="none"/>
        </w:rPr>
        <w:t>25.1</w:t>
      </w:r>
      <w:r>
        <w:rPr>
          <w:rFonts w:hint="eastAsia" w:ascii="宋体" w:hAnsi="宋体" w:cs="宋体"/>
          <w:spacing w:val="-10"/>
          <w:sz w:val="24"/>
          <w:szCs w:val="24"/>
          <w:highlight w:val="none"/>
        </w:rPr>
        <w:t>供应商对招标活动事项有疑问的，可以向招标代理或采购人</w:t>
      </w:r>
      <w:r>
        <w:rPr>
          <w:rFonts w:hint="eastAsia" w:ascii="宋体" w:hAnsi="宋体" w:cs="宋体"/>
          <w:sz w:val="24"/>
          <w:szCs w:val="24"/>
          <w:highlight w:val="none"/>
        </w:rPr>
        <w:t>提出询问，招标代理或采购人将在两个工作日内作出答复，但答复的内容不涉及商业秘密</w:t>
      </w:r>
      <w:r>
        <w:rPr>
          <w:rFonts w:hint="eastAsia" w:ascii="宋体" w:hAnsi="宋体" w:cs="宋体"/>
          <w:b/>
          <w:sz w:val="24"/>
          <w:szCs w:val="24"/>
          <w:highlight w:val="none"/>
        </w:rPr>
        <w:t>。</w:t>
      </w:r>
    </w:p>
    <w:p>
      <w:pPr>
        <w:spacing w:line="360" w:lineRule="auto"/>
        <w:ind w:firstLine="482" w:firstLineChars="200"/>
        <w:jc w:val="left"/>
        <w:rPr>
          <w:rFonts w:ascii="宋体" w:hAnsi="宋体" w:cs="宋体"/>
          <w:b/>
          <w:sz w:val="24"/>
          <w:szCs w:val="24"/>
          <w:highlight w:val="none"/>
        </w:rPr>
      </w:pPr>
      <w:r>
        <w:rPr>
          <w:rFonts w:hint="eastAsia" w:ascii="宋体" w:hAnsi="宋体" w:cs="宋体"/>
          <w:b/>
          <w:sz w:val="24"/>
          <w:szCs w:val="24"/>
          <w:highlight w:val="none"/>
        </w:rPr>
        <w:t>26、质疑</w:t>
      </w:r>
    </w:p>
    <w:p>
      <w:pPr>
        <w:spacing w:line="360" w:lineRule="auto"/>
        <w:ind w:firstLine="432" w:firstLineChars="200"/>
        <w:jc w:val="left"/>
        <w:rPr>
          <w:rFonts w:ascii="宋体" w:hAnsi="宋体" w:cs="宋体"/>
          <w:sz w:val="24"/>
          <w:szCs w:val="24"/>
          <w:highlight w:val="none"/>
        </w:rPr>
      </w:pPr>
      <w:r>
        <w:rPr>
          <w:rFonts w:hint="eastAsia" w:ascii="宋体" w:hAnsi="宋体" w:cs="宋体"/>
          <w:spacing w:val="-12"/>
          <w:sz w:val="24"/>
          <w:szCs w:val="24"/>
          <w:highlight w:val="none"/>
        </w:rPr>
        <w:t>26.1供应商认为采购文件、采购过程和中标结果使自己的合法权</w:t>
      </w:r>
      <w:r>
        <w:rPr>
          <w:rFonts w:hint="eastAsia" w:ascii="宋体" w:hAnsi="宋体" w:cs="宋体"/>
          <w:sz w:val="24"/>
          <w:szCs w:val="24"/>
          <w:highlight w:val="none"/>
        </w:rPr>
        <w:t>益受到损害的，可以在知道或者应当知道其权益受到损害之日起七个工作日内，将质疑文件原件以书面形式送达招标代理。</w:t>
      </w:r>
    </w:p>
    <w:p>
      <w:pPr>
        <w:spacing w:line="360" w:lineRule="auto"/>
        <w:ind w:firstLine="472" w:firstLineChars="200"/>
        <w:jc w:val="left"/>
        <w:rPr>
          <w:rFonts w:ascii="宋体" w:hAnsi="宋体" w:cs="宋体"/>
          <w:sz w:val="24"/>
          <w:szCs w:val="24"/>
          <w:highlight w:val="none"/>
        </w:rPr>
      </w:pPr>
      <w:r>
        <w:rPr>
          <w:rFonts w:hint="eastAsia" w:ascii="宋体" w:hAnsi="宋体" w:cs="宋体"/>
          <w:spacing w:val="-2"/>
          <w:sz w:val="24"/>
          <w:szCs w:val="24"/>
          <w:highlight w:val="none"/>
        </w:rPr>
        <w:t>a)质疑供应商是指直接参加本次投标活动的供应商，未参加</w:t>
      </w:r>
      <w:r>
        <w:rPr>
          <w:rFonts w:hint="eastAsia" w:ascii="宋体" w:hAnsi="宋体" w:cs="宋体"/>
          <w:sz w:val="24"/>
          <w:szCs w:val="24"/>
          <w:highlight w:val="none"/>
        </w:rPr>
        <w:t>投标活动的供应商或在投标活动中自身权益未受到损害的供应商所</w:t>
      </w:r>
      <w:r>
        <w:rPr>
          <w:rFonts w:hint="eastAsia" w:ascii="宋体" w:hAnsi="宋体" w:cs="宋体"/>
          <w:spacing w:val="-1"/>
          <w:sz w:val="24"/>
          <w:szCs w:val="24"/>
          <w:highlight w:val="none"/>
        </w:rPr>
        <w:t>提出的质疑不予受理。</w:t>
      </w:r>
    </w:p>
    <w:p>
      <w:pPr>
        <w:spacing w:line="360" w:lineRule="auto"/>
        <w:ind w:firstLine="452" w:firstLineChars="200"/>
        <w:jc w:val="left"/>
        <w:rPr>
          <w:rFonts w:ascii="宋体" w:hAnsi="宋体" w:cs="宋体"/>
          <w:sz w:val="24"/>
          <w:szCs w:val="24"/>
          <w:highlight w:val="none"/>
        </w:rPr>
      </w:pPr>
      <w:r>
        <w:rPr>
          <w:rFonts w:hint="eastAsia" w:ascii="宋体" w:hAnsi="宋体" w:cs="宋体"/>
          <w:spacing w:val="-7"/>
          <w:sz w:val="24"/>
          <w:szCs w:val="24"/>
          <w:highlight w:val="none"/>
        </w:rPr>
        <w:t>b)质疑必须以参加投标供应商法定代表人或授权代表</w:t>
      </w:r>
      <w:r>
        <w:rPr>
          <w:rFonts w:hint="eastAsia" w:ascii="宋体" w:hAnsi="宋体" w:cs="宋体"/>
          <w:sz w:val="24"/>
          <w:szCs w:val="24"/>
          <w:highlight w:val="none"/>
        </w:rPr>
        <w:t>（投标文件中所确定的</w:t>
      </w:r>
      <w:r>
        <w:rPr>
          <w:rFonts w:hint="eastAsia" w:ascii="宋体" w:hAnsi="宋体" w:cs="宋体"/>
          <w:spacing w:val="5"/>
          <w:sz w:val="24"/>
          <w:szCs w:val="24"/>
          <w:highlight w:val="none"/>
        </w:rPr>
        <w:t>）</w:t>
      </w:r>
      <w:r>
        <w:rPr>
          <w:rFonts w:hint="eastAsia" w:ascii="宋体" w:hAnsi="宋体" w:cs="宋体"/>
          <w:sz w:val="24"/>
          <w:szCs w:val="24"/>
          <w:highlight w:val="none"/>
        </w:rPr>
        <w:t>原件送达的方式提交，否则，招标代理有权不予受理。</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c)上述应知其权益受到损害之日是指：</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（1）对招标文件提出质疑的，为招标公告期限届满之日起计算；</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（2）对采购过程提出质疑的，自采购程序环节结束之日起计算；</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（3）对中标结果提出质疑的，自中标结果公告期限届满之日起计算。</w:t>
      </w:r>
    </w:p>
    <w:p>
      <w:pPr>
        <w:spacing w:line="360" w:lineRule="auto"/>
        <w:ind w:firstLine="512" w:firstLineChars="200"/>
        <w:jc w:val="left"/>
        <w:rPr>
          <w:rFonts w:ascii="宋体" w:hAnsi="宋体" w:cs="宋体"/>
          <w:sz w:val="24"/>
          <w:szCs w:val="24"/>
          <w:highlight w:val="none"/>
        </w:rPr>
      </w:pPr>
      <w:r>
        <w:rPr>
          <w:rFonts w:hint="eastAsia" w:ascii="宋体" w:hAnsi="宋体" w:cs="宋体"/>
          <w:spacing w:val="8"/>
          <w:sz w:val="24"/>
          <w:szCs w:val="24"/>
          <w:highlight w:val="none"/>
        </w:rPr>
        <w:t>d)质疑文件应包括以下主要内容，并按照“谁主张、谁举</w:t>
      </w:r>
      <w:r>
        <w:rPr>
          <w:rFonts w:hint="eastAsia" w:ascii="宋体" w:hAnsi="宋体" w:cs="宋体"/>
          <w:sz w:val="24"/>
          <w:szCs w:val="24"/>
          <w:highlight w:val="none"/>
        </w:rPr>
        <w:t>证”的原则，附上相关证明材料。否则，招标代理或采购人不予受理：</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（1）质疑项目名称、项目编号、招标公告发布时间、开标时间；</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（2）提起质疑的日期、具体的质疑事项及事实根据（具体条款）；</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3）认为自己合法权益受到损害或可能受到损害的相关证据材料。质疑相关证明材料中如涉及到产品功能或技术指标的，应出具相关制造商的证明文件（供应商全部产品线中没有满足技术需求要求的产品才可以对招标产品提出质疑，并提出修改理由和修改建议）；</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（4）质疑供应商名称、地址、邮编、联系人、联系电话（包括座机、手机、传真号码等）；</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（5）质疑文件应当署名，质疑人为自然人的，应当由本人签字并附有效身份证明；质疑人为法人或其他组织的，应当由法定代表人签字并加盖单位公章。</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（6）供应商委托代理质疑的，应当向被质疑人提交授权委托书， 并载明委托代理的具体权限和事项。</w:t>
      </w:r>
    </w:p>
    <w:p>
      <w:pPr>
        <w:spacing w:line="360" w:lineRule="auto"/>
        <w:ind w:firstLine="476" w:firstLineChars="200"/>
        <w:jc w:val="left"/>
        <w:rPr>
          <w:rFonts w:ascii="宋体" w:hAnsi="宋体" w:cs="宋体"/>
          <w:sz w:val="24"/>
          <w:szCs w:val="24"/>
          <w:highlight w:val="none"/>
        </w:rPr>
      </w:pPr>
      <w:r>
        <w:rPr>
          <w:rFonts w:hint="eastAsia" w:ascii="宋体" w:hAnsi="宋体" w:cs="宋体"/>
          <w:spacing w:val="-1"/>
          <w:sz w:val="24"/>
          <w:szCs w:val="24"/>
          <w:highlight w:val="none"/>
        </w:rPr>
        <w:t xml:space="preserve">e)招标代理在收到供应商的书面质疑后将及时组织调查核实， </w:t>
      </w:r>
      <w:r>
        <w:rPr>
          <w:rFonts w:hint="eastAsia" w:ascii="宋体" w:hAnsi="宋体" w:cs="宋体"/>
          <w:sz w:val="24"/>
          <w:szCs w:val="24"/>
          <w:highlight w:val="none"/>
        </w:rPr>
        <w:t>在七个工作日内作出答复，并以书面或在网站公告形式通知质疑供应商和其他有关供应商，答复的内容不涉及商业秘密。招标代理遵</w:t>
      </w:r>
      <w:r>
        <w:rPr>
          <w:rFonts w:hint="eastAsia" w:ascii="宋体" w:hAnsi="宋体" w:cs="宋体"/>
          <w:spacing w:val="-1"/>
          <w:sz w:val="24"/>
          <w:szCs w:val="24"/>
          <w:highlight w:val="none"/>
        </w:rPr>
        <w:t>循“谁过错谁负担”的原则，有过错的一方承担调查论证费用。</w:t>
      </w:r>
    </w:p>
    <w:p>
      <w:pPr>
        <w:spacing w:line="360" w:lineRule="auto"/>
        <w:ind w:firstLine="482" w:firstLineChars="200"/>
        <w:jc w:val="left"/>
        <w:rPr>
          <w:rFonts w:ascii="宋体" w:hAnsi="宋体" w:cs="宋体"/>
          <w:b/>
          <w:sz w:val="24"/>
          <w:szCs w:val="24"/>
          <w:highlight w:val="none"/>
        </w:rPr>
      </w:pPr>
      <w:r>
        <w:rPr>
          <w:rFonts w:hint="eastAsia" w:ascii="宋体" w:hAnsi="宋体" w:cs="宋体"/>
          <w:b/>
          <w:sz w:val="24"/>
          <w:szCs w:val="24"/>
          <w:highlight w:val="none"/>
        </w:rPr>
        <w:t>27、投诉</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27.1</w:t>
      </w:r>
      <w:r>
        <w:rPr>
          <w:rFonts w:hint="eastAsia" w:ascii="宋体" w:hAnsi="宋体" w:cs="宋体"/>
          <w:spacing w:val="-8"/>
          <w:sz w:val="24"/>
          <w:szCs w:val="24"/>
          <w:highlight w:val="none"/>
        </w:rPr>
        <w:t xml:space="preserve"> 质疑供应商对招标代理的答复不满意，或招标代理未在规定</w:t>
      </w:r>
      <w:r>
        <w:rPr>
          <w:rFonts w:hint="eastAsia" w:ascii="宋体" w:hAnsi="宋体" w:cs="宋体"/>
          <w:sz w:val="24"/>
          <w:szCs w:val="24"/>
          <w:highlight w:val="none"/>
        </w:rPr>
        <w:t>的时间内作出答复的，可以在答复期满后</w:t>
      </w:r>
      <w:r>
        <w:rPr>
          <w:rFonts w:hint="eastAsia" w:ascii="宋体" w:hAnsi="宋体" w:cs="宋体"/>
          <w:b/>
          <w:spacing w:val="5"/>
          <w:sz w:val="24"/>
          <w:szCs w:val="24"/>
          <w:highlight w:val="none"/>
        </w:rPr>
        <w:t>十五个工作日内</w:t>
      </w:r>
      <w:r>
        <w:rPr>
          <w:rFonts w:hint="eastAsia" w:ascii="宋体" w:hAnsi="宋体" w:cs="宋体"/>
          <w:sz w:val="24"/>
          <w:szCs w:val="24"/>
          <w:highlight w:val="none"/>
        </w:rPr>
        <w:t>向采购项目同级财政部门投诉。</w:t>
      </w:r>
    </w:p>
    <w:p>
      <w:pPr>
        <w:pStyle w:val="33"/>
        <w:spacing w:line="360" w:lineRule="auto"/>
        <w:ind w:left="420" w:leftChars="200" w:firstLine="0" w:firstLineChars="0"/>
        <w:jc w:val="left"/>
        <w:rPr>
          <w:rFonts w:ascii="宋体" w:hAnsi="宋体" w:cs="宋体"/>
          <w:b/>
          <w:sz w:val="24"/>
          <w:szCs w:val="24"/>
          <w:highlight w:val="none"/>
        </w:rPr>
      </w:pPr>
      <w:r>
        <w:rPr>
          <w:rFonts w:hint="eastAsia" w:ascii="宋体" w:hAnsi="宋体" w:cs="宋体"/>
          <w:b/>
          <w:sz w:val="24"/>
          <w:szCs w:val="24"/>
          <w:highlight w:val="none"/>
        </w:rPr>
        <w:t>28、诚实信用</w:t>
      </w:r>
    </w:p>
    <w:p>
      <w:pPr>
        <w:spacing w:line="360" w:lineRule="auto"/>
        <w:ind w:firstLine="444" w:firstLineChars="200"/>
        <w:jc w:val="left"/>
        <w:rPr>
          <w:rFonts w:ascii="宋体" w:hAnsi="宋体" w:cs="宋体"/>
          <w:sz w:val="24"/>
          <w:szCs w:val="24"/>
          <w:highlight w:val="none"/>
        </w:rPr>
      </w:pPr>
      <w:r>
        <w:rPr>
          <w:rFonts w:hint="eastAsia" w:ascii="宋体" w:hAnsi="宋体" w:cs="宋体"/>
          <w:spacing w:val="-9"/>
          <w:sz w:val="24"/>
          <w:szCs w:val="24"/>
          <w:highlight w:val="none"/>
        </w:rPr>
        <w:t>28.1供应商之间不得相互串通投标报价，不得妨碍其他供应商的公平竞争，不得损害采购人和其他供应商的合法权益。</w:t>
      </w:r>
    </w:p>
    <w:p>
      <w:pPr>
        <w:spacing w:line="360" w:lineRule="auto"/>
        <w:ind w:firstLine="444" w:firstLineChars="200"/>
        <w:jc w:val="left"/>
        <w:rPr>
          <w:rFonts w:ascii="宋体" w:hAnsi="宋体" w:cs="宋体"/>
          <w:sz w:val="24"/>
          <w:szCs w:val="24"/>
          <w:highlight w:val="none"/>
        </w:rPr>
      </w:pPr>
      <w:r>
        <w:rPr>
          <w:rFonts w:hint="eastAsia" w:ascii="宋体" w:hAnsi="宋体" w:cs="宋体"/>
          <w:spacing w:val="-9"/>
          <w:sz w:val="24"/>
          <w:szCs w:val="24"/>
          <w:highlight w:val="none"/>
        </w:rPr>
        <w:t>28.2供应商不得以向招标代理工作人员、评标委员会成员行贿或</w:t>
      </w:r>
      <w:r>
        <w:rPr>
          <w:rFonts w:hint="eastAsia" w:ascii="宋体" w:hAnsi="宋体" w:cs="宋体"/>
          <w:sz w:val="24"/>
          <w:szCs w:val="24"/>
          <w:highlight w:val="none"/>
        </w:rPr>
        <w:t>者采取其他不正当手段谋取中标。经查实供应商有此行为的，政府</w:t>
      </w:r>
      <w:r>
        <w:rPr>
          <w:rFonts w:hint="eastAsia" w:ascii="宋体" w:hAnsi="宋体" w:cs="宋体"/>
          <w:spacing w:val="-3"/>
          <w:sz w:val="24"/>
          <w:szCs w:val="24"/>
          <w:highlight w:val="none"/>
        </w:rPr>
        <w:t>采购管理部门将供应商列入不良行为记录名单，按照《政府采购法》有关规定处理。</w:t>
      </w:r>
    </w:p>
    <w:p>
      <w:pPr>
        <w:spacing w:line="360" w:lineRule="auto"/>
        <w:ind w:firstLine="444" w:firstLineChars="200"/>
        <w:jc w:val="left"/>
        <w:rPr>
          <w:rFonts w:ascii="宋体" w:hAnsi="宋体" w:cs="宋体"/>
          <w:sz w:val="24"/>
          <w:szCs w:val="24"/>
          <w:highlight w:val="none"/>
        </w:rPr>
      </w:pPr>
      <w:r>
        <w:rPr>
          <w:rFonts w:hint="eastAsia" w:ascii="宋体" w:hAnsi="宋体" w:cs="宋体"/>
          <w:spacing w:val="-9"/>
          <w:sz w:val="24"/>
          <w:szCs w:val="24"/>
          <w:highlight w:val="none"/>
        </w:rPr>
        <w:t>28.3供应商提出书面质疑必须有理、有据，不得虚假质疑和恶意</w:t>
      </w:r>
      <w:r>
        <w:rPr>
          <w:rFonts w:hint="eastAsia" w:ascii="宋体" w:hAnsi="宋体" w:cs="宋体"/>
          <w:sz w:val="24"/>
          <w:szCs w:val="24"/>
          <w:highlight w:val="none"/>
        </w:rPr>
        <w:t>质疑，并对质疑内容的真实性承担责任。一经查实，招标代理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招标代理将提请财政部门将</w:t>
      </w:r>
      <w:r>
        <w:rPr>
          <w:rFonts w:hint="eastAsia" w:ascii="宋体" w:hAnsi="宋体" w:cs="宋体"/>
          <w:spacing w:val="-1"/>
          <w:sz w:val="24"/>
          <w:szCs w:val="24"/>
          <w:highlight w:val="none"/>
        </w:rPr>
        <w:t>其列入不良行为记录名单，并依法予以处罚。</w:t>
      </w:r>
    </w:p>
    <w:p>
      <w:pPr>
        <w:spacing w:line="360" w:lineRule="auto"/>
        <w:ind w:firstLine="464" w:firstLineChars="200"/>
        <w:jc w:val="left"/>
        <w:rPr>
          <w:rFonts w:ascii="宋体" w:hAnsi="宋体" w:cs="宋体"/>
          <w:sz w:val="24"/>
          <w:szCs w:val="24"/>
          <w:highlight w:val="none"/>
        </w:rPr>
      </w:pPr>
      <w:r>
        <w:rPr>
          <w:rFonts w:hint="eastAsia" w:ascii="宋体" w:hAnsi="宋体" w:cs="宋体"/>
          <w:spacing w:val="-4"/>
          <w:sz w:val="24"/>
          <w:szCs w:val="24"/>
          <w:highlight w:val="none"/>
        </w:rPr>
        <w:t>28.4供应商不得虚假承诺，否则，按照提供虚假材料谋取中标成交处理。</w:t>
      </w:r>
      <w:r>
        <w:rPr>
          <w:rFonts w:hint="eastAsia" w:ascii="宋体" w:hAnsi="宋体" w:cs="宋体"/>
          <w:spacing w:val="-16"/>
          <w:sz w:val="24"/>
          <w:szCs w:val="24"/>
          <w:highlight w:val="none"/>
        </w:rPr>
        <w:t xml:space="preserve">供应商应自觉遵守开标、评标纪律，扰乱开标评标现场秩序的， </w:t>
      </w:r>
      <w:r>
        <w:rPr>
          <w:rFonts w:hint="eastAsia" w:ascii="宋体" w:hAnsi="宋体" w:cs="宋体"/>
          <w:spacing w:val="-11"/>
          <w:sz w:val="24"/>
          <w:szCs w:val="24"/>
          <w:highlight w:val="none"/>
        </w:rPr>
        <w:t>属于失信行为，上报上级财政主管部门。</w:t>
      </w:r>
    </w:p>
    <w:p>
      <w:pPr>
        <w:rPr>
          <w:rFonts w:ascii="宋体" w:hAnsi="宋体" w:cs="宋体"/>
          <w:sz w:val="28"/>
          <w:szCs w:val="28"/>
          <w:highlight w:val="none"/>
        </w:rPr>
      </w:pPr>
      <w:r>
        <w:rPr>
          <w:rFonts w:hint="eastAsia" w:ascii="宋体" w:hAnsi="宋体" w:cs="宋体"/>
          <w:spacing w:val="-11"/>
          <w:sz w:val="28"/>
          <w:szCs w:val="28"/>
          <w:highlight w:val="none"/>
        </w:rPr>
        <w:br w:type="page"/>
      </w:r>
    </w:p>
    <w:p>
      <w:pPr>
        <w:pStyle w:val="33"/>
        <w:numPr>
          <w:ilvl w:val="0"/>
          <w:numId w:val="4"/>
        </w:numPr>
        <w:spacing w:line="360" w:lineRule="auto"/>
        <w:ind w:left="-420" w:leftChars="-200" w:right="272" w:firstLine="643"/>
        <w:jc w:val="center"/>
        <w:outlineLvl w:val="0"/>
        <w:rPr>
          <w:rFonts w:ascii="宋体" w:hAnsi="宋体" w:cs="宋体"/>
          <w:b/>
          <w:bCs/>
          <w:kern w:val="44"/>
          <w:sz w:val="32"/>
          <w:szCs w:val="32"/>
          <w:highlight w:val="none"/>
        </w:rPr>
      </w:pPr>
      <w:bookmarkStart w:id="37" w:name="_Toc10934"/>
      <w:r>
        <w:rPr>
          <w:rFonts w:hint="eastAsia" w:ascii="宋体" w:hAnsi="宋体" w:cs="宋体"/>
          <w:b/>
          <w:bCs/>
          <w:kern w:val="44"/>
          <w:sz w:val="32"/>
          <w:szCs w:val="32"/>
          <w:highlight w:val="none"/>
        </w:rPr>
        <w:t>评审标准</w:t>
      </w:r>
      <w:bookmarkEnd w:id="37"/>
    </w:p>
    <w:p>
      <w:pPr>
        <w:pStyle w:val="5"/>
        <w:numPr>
          <w:ilvl w:val="0"/>
          <w:numId w:val="5"/>
        </w:numPr>
        <w:rPr>
          <w:highlight w:val="none"/>
        </w:rPr>
      </w:pPr>
      <w:r>
        <w:rPr>
          <w:rFonts w:hint="eastAsia" w:ascii="宋体" w:hAnsi="宋体" w:eastAsia="宋体" w:cs="宋体"/>
          <w:sz w:val="28"/>
          <w:szCs w:val="28"/>
          <w:highlight w:val="none"/>
        </w:rPr>
        <w:t>资格性审查</w:t>
      </w:r>
    </w:p>
    <w:p>
      <w:pPr>
        <w:ind w:firstLine="420" w:firstLineChars="200"/>
        <w:jc w:val="center"/>
        <w:rPr>
          <w:highlight w:val="none"/>
        </w:rPr>
      </w:pPr>
      <w:r>
        <w:rPr>
          <w:highlight w:val="none"/>
        </w:rPr>
        <w:t>公开招标采购项目开标结束后，采购人或者采购代理机构将依法对投标人的资格进行审</w:t>
      </w:r>
    </w:p>
    <w:p>
      <w:pPr>
        <w:pStyle w:val="16"/>
        <w:spacing w:before="159"/>
        <w:ind w:left="133"/>
        <w:rPr>
          <w:rFonts w:cs="Times New Roman"/>
          <w:szCs w:val="20"/>
          <w:highlight w:val="none"/>
        </w:rPr>
      </w:pPr>
      <w:r>
        <w:rPr>
          <w:rFonts w:cs="Times New Roman"/>
          <w:szCs w:val="20"/>
          <w:highlight w:val="none"/>
        </w:rPr>
        <w:t xml:space="preserve">查。资格审查记录表如下： </w:t>
      </w:r>
    </w:p>
    <w:p>
      <w:pPr>
        <w:pStyle w:val="16"/>
        <w:spacing w:before="12"/>
        <w:rPr>
          <w:sz w:val="11"/>
          <w:highlight w:val="none"/>
        </w:rPr>
      </w:pPr>
    </w:p>
    <w:tbl>
      <w:tblPr>
        <w:tblStyle w:val="26"/>
        <w:tblW w:w="8742" w:type="dxa"/>
        <w:tblInd w:w="1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6"/>
        <w:gridCol w:w="2411"/>
        <w:gridCol w:w="3261"/>
        <w:gridCol w:w="774"/>
        <w:gridCol w:w="14"/>
        <w:gridCol w:w="788"/>
        <w:gridCol w:w="38"/>
        <w:gridCol w:w="75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70" w:hRule="atLeast"/>
        </w:trPr>
        <w:tc>
          <w:tcPr>
            <w:tcW w:w="706" w:type="dxa"/>
            <w:vMerge w:val="restart"/>
            <w:vAlign w:val="center"/>
          </w:tcPr>
          <w:p>
            <w:pPr>
              <w:pStyle w:val="34"/>
              <w:spacing w:before="1"/>
              <w:jc w:val="center"/>
              <w:rPr>
                <w:szCs w:val="21"/>
                <w:highlight w:val="none"/>
              </w:rPr>
            </w:pPr>
          </w:p>
          <w:p>
            <w:pPr>
              <w:pStyle w:val="34"/>
              <w:ind w:left="110" w:right="-29"/>
              <w:jc w:val="center"/>
              <w:rPr>
                <w:szCs w:val="21"/>
                <w:highlight w:val="none"/>
              </w:rPr>
            </w:pPr>
            <w:r>
              <w:rPr>
                <w:szCs w:val="21"/>
                <w:highlight w:val="none"/>
              </w:rPr>
              <w:t>序号</w:t>
            </w:r>
          </w:p>
        </w:tc>
        <w:tc>
          <w:tcPr>
            <w:tcW w:w="2411" w:type="dxa"/>
            <w:vMerge w:val="restart"/>
            <w:vAlign w:val="center"/>
          </w:tcPr>
          <w:p>
            <w:pPr>
              <w:pStyle w:val="34"/>
              <w:spacing w:before="1"/>
              <w:jc w:val="center"/>
              <w:rPr>
                <w:szCs w:val="21"/>
                <w:highlight w:val="none"/>
              </w:rPr>
            </w:pPr>
          </w:p>
          <w:p>
            <w:pPr>
              <w:pStyle w:val="34"/>
              <w:ind w:left="724"/>
              <w:jc w:val="center"/>
              <w:rPr>
                <w:szCs w:val="21"/>
                <w:highlight w:val="none"/>
              </w:rPr>
            </w:pPr>
            <w:r>
              <w:rPr>
                <w:szCs w:val="21"/>
                <w:highlight w:val="none"/>
              </w:rPr>
              <w:t>审查因素</w:t>
            </w:r>
          </w:p>
        </w:tc>
        <w:tc>
          <w:tcPr>
            <w:tcW w:w="3261" w:type="dxa"/>
            <w:vMerge w:val="restart"/>
            <w:vAlign w:val="center"/>
          </w:tcPr>
          <w:p>
            <w:pPr>
              <w:pStyle w:val="34"/>
              <w:spacing w:before="1"/>
              <w:jc w:val="center"/>
              <w:rPr>
                <w:szCs w:val="21"/>
                <w:highlight w:val="none"/>
              </w:rPr>
            </w:pPr>
          </w:p>
          <w:p>
            <w:pPr>
              <w:pStyle w:val="34"/>
              <w:ind w:left="1151"/>
              <w:jc w:val="center"/>
              <w:rPr>
                <w:szCs w:val="21"/>
                <w:highlight w:val="none"/>
              </w:rPr>
            </w:pPr>
            <w:r>
              <w:rPr>
                <w:szCs w:val="21"/>
                <w:highlight w:val="none"/>
              </w:rPr>
              <w:t>审查标准</w:t>
            </w:r>
          </w:p>
        </w:tc>
        <w:tc>
          <w:tcPr>
            <w:tcW w:w="2364" w:type="dxa"/>
            <w:gridSpan w:val="5"/>
            <w:vAlign w:val="center"/>
          </w:tcPr>
          <w:p>
            <w:pPr>
              <w:pStyle w:val="34"/>
              <w:spacing w:before="4"/>
              <w:ind w:left="426"/>
              <w:jc w:val="center"/>
              <w:rPr>
                <w:szCs w:val="21"/>
                <w:highlight w:val="none"/>
              </w:rPr>
            </w:pPr>
            <w:r>
              <w:rPr>
                <w:szCs w:val="21"/>
                <w:highlight w:val="none"/>
              </w:rPr>
              <w:t>投标人名称及审查意见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65" w:hRule="atLeast"/>
        </w:trPr>
        <w:tc>
          <w:tcPr>
            <w:tcW w:w="706" w:type="dxa"/>
            <w:vMerge w:val="continue"/>
            <w:tcBorders>
              <w:top w:val="nil"/>
            </w:tcBorders>
            <w:vAlign w:val="center"/>
          </w:tcPr>
          <w:p>
            <w:pPr>
              <w:jc w:val="center"/>
              <w:rPr>
                <w:szCs w:val="21"/>
                <w:highlight w:val="none"/>
              </w:rPr>
            </w:pPr>
          </w:p>
        </w:tc>
        <w:tc>
          <w:tcPr>
            <w:tcW w:w="2411" w:type="dxa"/>
            <w:vMerge w:val="continue"/>
            <w:tcBorders>
              <w:top w:val="nil"/>
            </w:tcBorders>
            <w:vAlign w:val="center"/>
          </w:tcPr>
          <w:p>
            <w:pPr>
              <w:jc w:val="center"/>
              <w:rPr>
                <w:szCs w:val="21"/>
                <w:highlight w:val="none"/>
              </w:rPr>
            </w:pPr>
          </w:p>
        </w:tc>
        <w:tc>
          <w:tcPr>
            <w:tcW w:w="3261" w:type="dxa"/>
            <w:vMerge w:val="continue"/>
            <w:tcBorders>
              <w:top w:val="nil"/>
            </w:tcBorders>
            <w:vAlign w:val="center"/>
          </w:tcPr>
          <w:p>
            <w:pPr>
              <w:jc w:val="center"/>
              <w:rPr>
                <w:szCs w:val="21"/>
                <w:highlight w:val="none"/>
              </w:rPr>
            </w:pPr>
          </w:p>
        </w:tc>
        <w:tc>
          <w:tcPr>
            <w:tcW w:w="788" w:type="dxa"/>
            <w:gridSpan w:val="2"/>
            <w:vAlign w:val="center"/>
          </w:tcPr>
          <w:p>
            <w:pPr>
              <w:pStyle w:val="34"/>
              <w:spacing w:before="4"/>
              <w:ind w:left="116"/>
              <w:jc w:val="center"/>
              <w:rPr>
                <w:szCs w:val="21"/>
                <w:highlight w:val="none"/>
              </w:rPr>
            </w:pPr>
          </w:p>
        </w:tc>
        <w:tc>
          <w:tcPr>
            <w:tcW w:w="788" w:type="dxa"/>
            <w:vAlign w:val="center"/>
          </w:tcPr>
          <w:p>
            <w:pPr>
              <w:pStyle w:val="34"/>
              <w:spacing w:before="4"/>
              <w:ind w:left="116"/>
              <w:jc w:val="center"/>
              <w:rPr>
                <w:szCs w:val="21"/>
                <w:highlight w:val="none"/>
              </w:rPr>
            </w:pPr>
          </w:p>
        </w:tc>
        <w:tc>
          <w:tcPr>
            <w:tcW w:w="788" w:type="dxa"/>
            <w:gridSpan w:val="2"/>
            <w:vAlign w:val="center"/>
          </w:tcPr>
          <w:p>
            <w:pPr>
              <w:pStyle w:val="34"/>
              <w:spacing w:before="4"/>
              <w:ind w:left="116"/>
              <w:jc w:val="center"/>
              <w:rPr>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401" w:hRule="atLeast"/>
        </w:trPr>
        <w:tc>
          <w:tcPr>
            <w:tcW w:w="706" w:type="dxa"/>
            <w:vAlign w:val="center"/>
          </w:tcPr>
          <w:p>
            <w:pPr>
              <w:pStyle w:val="34"/>
              <w:jc w:val="center"/>
              <w:rPr>
                <w:szCs w:val="21"/>
                <w:highlight w:val="none"/>
              </w:rPr>
            </w:pPr>
          </w:p>
          <w:p>
            <w:pPr>
              <w:pStyle w:val="34"/>
              <w:spacing w:before="163"/>
              <w:ind w:right="166"/>
              <w:jc w:val="center"/>
              <w:rPr>
                <w:szCs w:val="21"/>
                <w:highlight w:val="none"/>
              </w:rPr>
            </w:pPr>
            <w:r>
              <w:rPr>
                <w:szCs w:val="21"/>
                <w:highlight w:val="none"/>
              </w:rPr>
              <w:t>1</w:t>
            </w:r>
          </w:p>
        </w:tc>
        <w:tc>
          <w:tcPr>
            <w:tcW w:w="2411" w:type="dxa"/>
            <w:vAlign w:val="center"/>
          </w:tcPr>
          <w:p>
            <w:pPr>
              <w:pStyle w:val="34"/>
              <w:spacing w:before="163"/>
              <w:ind w:left="105"/>
              <w:jc w:val="center"/>
              <w:rPr>
                <w:szCs w:val="21"/>
                <w:highlight w:val="none"/>
              </w:rPr>
            </w:pPr>
            <w:r>
              <w:rPr>
                <w:rFonts w:hint="eastAsia"/>
                <w:szCs w:val="21"/>
                <w:highlight w:val="none"/>
              </w:rPr>
              <w:t>具有独立承担民事责任的能力</w:t>
            </w:r>
          </w:p>
        </w:tc>
        <w:tc>
          <w:tcPr>
            <w:tcW w:w="3261" w:type="dxa"/>
            <w:vAlign w:val="center"/>
          </w:tcPr>
          <w:p>
            <w:pPr>
              <w:pStyle w:val="34"/>
              <w:spacing w:before="6" w:line="460" w:lineRule="atLeast"/>
              <w:ind w:left="109" w:right="138"/>
              <w:jc w:val="center"/>
              <w:rPr>
                <w:szCs w:val="21"/>
                <w:highlight w:val="none"/>
              </w:rPr>
            </w:pPr>
            <w:r>
              <w:rPr>
                <w:rFonts w:hint="eastAsia"/>
                <w:szCs w:val="21"/>
                <w:highlight w:val="none"/>
              </w:rPr>
              <w:t>提供法人或者其他组织的营业执照，自然人的身份证</w:t>
            </w:r>
          </w:p>
        </w:tc>
        <w:tc>
          <w:tcPr>
            <w:tcW w:w="788" w:type="dxa"/>
            <w:gridSpan w:val="2"/>
            <w:vAlign w:val="center"/>
          </w:tcPr>
          <w:p>
            <w:pPr>
              <w:pStyle w:val="34"/>
              <w:jc w:val="center"/>
              <w:rPr>
                <w:szCs w:val="21"/>
                <w:highlight w:val="none"/>
              </w:rPr>
            </w:pPr>
          </w:p>
          <w:p>
            <w:pPr>
              <w:pStyle w:val="34"/>
              <w:spacing w:before="163"/>
              <w:ind w:left="104"/>
              <w:jc w:val="center"/>
              <w:rPr>
                <w:szCs w:val="21"/>
                <w:highlight w:val="none"/>
              </w:rPr>
            </w:pPr>
          </w:p>
          <w:p>
            <w:pPr>
              <w:pStyle w:val="34"/>
              <w:jc w:val="center"/>
              <w:rPr>
                <w:szCs w:val="21"/>
                <w:highlight w:val="none"/>
              </w:rPr>
            </w:pPr>
          </w:p>
          <w:p>
            <w:pPr>
              <w:pStyle w:val="34"/>
              <w:spacing w:before="163"/>
              <w:ind w:left="103"/>
              <w:jc w:val="center"/>
              <w:rPr>
                <w:szCs w:val="21"/>
                <w:highlight w:val="none"/>
              </w:rPr>
            </w:pPr>
          </w:p>
        </w:tc>
        <w:tc>
          <w:tcPr>
            <w:tcW w:w="788" w:type="dxa"/>
            <w:vAlign w:val="center"/>
          </w:tcPr>
          <w:p>
            <w:pPr>
              <w:pStyle w:val="34"/>
              <w:spacing w:before="163"/>
              <w:ind w:left="103"/>
              <w:jc w:val="center"/>
              <w:rPr>
                <w:szCs w:val="21"/>
                <w:highlight w:val="none"/>
              </w:rPr>
            </w:pPr>
          </w:p>
        </w:tc>
        <w:tc>
          <w:tcPr>
            <w:tcW w:w="788" w:type="dxa"/>
            <w:gridSpan w:val="2"/>
            <w:vAlign w:val="center"/>
          </w:tcPr>
          <w:p>
            <w:pPr>
              <w:pStyle w:val="34"/>
              <w:spacing w:before="163"/>
              <w:ind w:left="103"/>
              <w:jc w:val="center"/>
              <w:rPr>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401" w:hRule="atLeast"/>
        </w:trPr>
        <w:tc>
          <w:tcPr>
            <w:tcW w:w="706" w:type="dxa"/>
            <w:vAlign w:val="center"/>
          </w:tcPr>
          <w:p>
            <w:pPr>
              <w:pStyle w:val="34"/>
              <w:jc w:val="center"/>
              <w:rPr>
                <w:szCs w:val="21"/>
                <w:highlight w:val="none"/>
              </w:rPr>
            </w:pPr>
          </w:p>
          <w:p>
            <w:pPr>
              <w:pStyle w:val="34"/>
              <w:spacing w:before="163"/>
              <w:ind w:right="166"/>
              <w:jc w:val="center"/>
              <w:rPr>
                <w:szCs w:val="21"/>
                <w:highlight w:val="none"/>
              </w:rPr>
            </w:pPr>
            <w:r>
              <w:rPr>
                <w:szCs w:val="21"/>
                <w:highlight w:val="none"/>
              </w:rPr>
              <w:t>2</w:t>
            </w:r>
          </w:p>
        </w:tc>
        <w:tc>
          <w:tcPr>
            <w:tcW w:w="2411" w:type="dxa"/>
            <w:vAlign w:val="center"/>
          </w:tcPr>
          <w:p>
            <w:pPr>
              <w:pStyle w:val="34"/>
              <w:spacing w:line="367" w:lineRule="auto"/>
              <w:ind w:left="105" w:right="133"/>
              <w:jc w:val="center"/>
              <w:rPr>
                <w:szCs w:val="21"/>
                <w:highlight w:val="none"/>
              </w:rPr>
            </w:pPr>
            <w:r>
              <w:rPr>
                <w:rFonts w:hint="eastAsia"/>
                <w:szCs w:val="21"/>
                <w:highlight w:val="none"/>
              </w:rPr>
              <w:t>具有良好的商业信誉和健全的财务会计制度</w:t>
            </w:r>
          </w:p>
        </w:tc>
        <w:tc>
          <w:tcPr>
            <w:tcW w:w="3261" w:type="dxa"/>
            <w:vAlign w:val="center"/>
          </w:tcPr>
          <w:p>
            <w:pPr>
              <w:pStyle w:val="34"/>
              <w:spacing w:before="6" w:line="460" w:lineRule="atLeast"/>
              <w:ind w:left="109" w:right="138"/>
              <w:jc w:val="center"/>
              <w:rPr>
                <w:szCs w:val="21"/>
                <w:highlight w:val="none"/>
              </w:rPr>
            </w:pPr>
            <w:r>
              <w:rPr>
                <w:rFonts w:hint="eastAsia"/>
                <w:szCs w:val="21"/>
                <w:highlight w:val="none"/>
              </w:rPr>
              <w:t>提供参加本次政府采购活动前的会计报表</w:t>
            </w:r>
          </w:p>
        </w:tc>
        <w:tc>
          <w:tcPr>
            <w:tcW w:w="788" w:type="dxa"/>
            <w:gridSpan w:val="2"/>
            <w:vAlign w:val="center"/>
          </w:tcPr>
          <w:p>
            <w:pPr>
              <w:pStyle w:val="34"/>
              <w:jc w:val="center"/>
              <w:rPr>
                <w:szCs w:val="21"/>
                <w:highlight w:val="none"/>
              </w:rPr>
            </w:pPr>
          </w:p>
          <w:p>
            <w:pPr>
              <w:pStyle w:val="34"/>
              <w:spacing w:before="163"/>
              <w:ind w:left="104"/>
              <w:jc w:val="center"/>
              <w:rPr>
                <w:szCs w:val="21"/>
                <w:highlight w:val="none"/>
              </w:rPr>
            </w:pPr>
          </w:p>
          <w:p>
            <w:pPr>
              <w:pStyle w:val="34"/>
              <w:jc w:val="center"/>
              <w:rPr>
                <w:szCs w:val="21"/>
                <w:highlight w:val="none"/>
              </w:rPr>
            </w:pPr>
          </w:p>
          <w:p>
            <w:pPr>
              <w:pStyle w:val="34"/>
              <w:spacing w:before="163"/>
              <w:ind w:left="103"/>
              <w:jc w:val="center"/>
              <w:rPr>
                <w:szCs w:val="21"/>
                <w:highlight w:val="none"/>
              </w:rPr>
            </w:pPr>
          </w:p>
        </w:tc>
        <w:tc>
          <w:tcPr>
            <w:tcW w:w="788" w:type="dxa"/>
            <w:vAlign w:val="center"/>
          </w:tcPr>
          <w:p>
            <w:pPr>
              <w:pStyle w:val="34"/>
              <w:spacing w:before="163"/>
              <w:ind w:left="103"/>
              <w:jc w:val="center"/>
              <w:rPr>
                <w:szCs w:val="21"/>
                <w:highlight w:val="none"/>
              </w:rPr>
            </w:pPr>
          </w:p>
        </w:tc>
        <w:tc>
          <w:tcPr>
            <w:tcW w:w="788" w:type="dxa"/>
            <w:gridSpan w:val="2"/>
            <w:vAlign w:val="center"/>
          </w:tcPr>
          <w:p>
            <w:pPr>
              <w:pStyle w:val="34"/>
              <w:spacing w:before="163"/>
              <w:ind w:left="103"/>
              <w:jc w:val="center"/>
              <w:rPr>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1" w:hRule="atLeast"/>
        </w:trPr>
        <w:tc>
          <w:tcPr>
            <w:tcW w:w="706" w:type="dxa"/>
            <w:vAlign w:val="center"/>
          </w:tcPr>
          <w:p>
            <w:pPr>
              <w:pStyle w:val="34"/>
              <w:jc w:val="center"/>
              <w:rPr>
                <w:szCs w:val="21"/>
                <w:highlight w:val="none"/>
              </w:rPr>
            </w:pPr>
          </w:p>
          <w:p>
            <w:pPr>
              <w:pStyle w:val="34"/>
              <w:spacing w:before="162"/>
              <w:ind w:right="166"/>
              <w:jc w:val="center"/>
              <w:rPr>
                <w:szCs w:val="21"/>
                <w:highlight w:val="none"/>
              </w:rPr>
            </w:pPr>
            <w:r>
              <w:rPr>
                <w:szCs w:val="21"/>
                <w:highlight w:val="none"/>
              </w:rPr>
              <w:t>3</w:t>
            </w:r>
          </w:p>
        </w:tc>
        <w:tc>
          <w:tcPr>
            <w:tcW w:w="2411" w:type="dxa"/>
            <w:vAlign w:val="center"/>
          </w:tcPr>
          <w:p>
            <w:pPr>
              <w:pStyle w:val="34"/>
              <w:spacing w:before="3"/>
              <w:ind w:left="105"/>
              <w:jc w:val="center"/>
              <w:rPr>
                <w:szCs w:val="21"/>
                <w:highlight w:val="none"/>
              </w:rPr>
            </w:pPr>
            <w:r>
              <w:rPr>
                <w:rFonts w:hint="eastAsia"/>
                <w:szCs w:val="21"/>
                <w:highlight w:val="none"/>
              </w:rPr>
              <w:t>具有履行合同所必需的设备和专业技术能力</w:t>
            </w:r>
          </w:p>
        </w:tc>
        <w:tc>
          <w:tcPr>
            <w:tcW w:w="3261" w:type="dxa"/>
            <w:vAlign w:val="center"/>
          </w:tcPr>
          <w:p>
            <w:pPr>
              <w:pStyle w:val="34"/>
              <w:spacing w:before="3"/>
              <w:ind w:left="109"/>
              <w:jc w:val="center"/>
              <w:rPr>
                <w:szCs w:val="21"/>
                <w:highlight w:val="none"/>
              </w:rPr>
            </w:pPr>
            <w:r>
              <w:rPr>
                <w:rFonts w:hint="eastAsia"/>
                <w:szCs w:val="21"/>
                <w:highlight w:val="none"/>
              </w:rPr>
              <w:t>根据项目需求提供履行合同所必需的设备和专业技术能力的证明材料</w:t>
            </w:r>
          </w:p>
        </w:tc>
        <w:tc>
          <w:tcPr>
            <w:tcW w:w="788" w:type="dxa"/>
            <w:gridSpan w:val="2"/>
            <w:vAlign w:val="center"/>
          </w:tcPr>
          <w:p>
            <w:pPr>
              <w:pStyle w:val="34"/>
              <w:jc w:val="center"/>
              <w:rPr>
                <w:szCs w:val="21"/>
                <w:highlight w:val="none"/>
              </w:rPr>
            </w:pPr>
          </w:p>
          <w:p>
            <w:pPr>
              <w:pStyle w:val="34"/>
              <w:spacing w:before="158"/>
              <w:ind w:left="104"/>
              <w:jc w:val="center"/>
              <w:rPr>
                <w:szCs w:val="21"/>
                <w:highlight w:val="none"/>
              </w:rPr>
            </w:pPr>
          </w:p>
          <w:p>
            <w:pPr>
              <w:pStyle w:val="34"/>
              <w:jc w:val="center"/>
              <w:rPr>
                <w:szCs w:val="21"/>
                <w:highlight w:val="none"/>
              </w:rPr>
            </w:pPr>
          </w:p>
          <w:p>
            <w:pPr>
              <w:pStyle w:val="34"/>
              <w:spacing w:before="158"/>
              <w:ind w:left="103"/>
              <w:jc w:val="center"/>
              <w:rPr>
                <w:szCs w:val="21"/>
                <w:highlight w:val="none"/>
              </w:rPr>
            </w:pPr>
          </w:p>
        </w:tc>
        <w:tc>
          <w:tcPr>
            <w:tcW w:w="788" w:type="dxa"/>
            <w:vAlign w:val="center"/>
          </w:tcPr>
          <w:p>
            <w:pPr>
              <w:pStyle w:val="34"/>
              <w:spacing w:before="158"/>
              <w:ind w:left="103"/>
              <w:jc w:val="center"/>
              <w:rPr>
                <w:szCs w:val="21"/>
                <w:highlight w:val="none"/>
              </w:rPr>
            </w:pPr>
          </w:p>
        </w:tc>
        <w:tc>
          <w:tcPr>
            <w:tcW w:w="788" w:type="dxa"/>
            <w:gridSpan w:val="2"/>
            <w:vAlign w:val="center"/>
          </w:tcPr>
          <w:p>
            <w:pPr>
              <w:pStyle w:val="34"/>
              <w:spacing w:before="158"/>
              <w:ind w:left="103"/>
              <w:jc w:val="center"/>
              <w:rPr>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7" w:hRule="atLeast"/>
        </w:trPr>
        <w:tc>
          <w:tcPr>
            <w:tcW w:w="706" w:type="dxa"/>
            <w:vAlign w:val="center"/>
          </w:tcPr>
          <w:p>
            <w:pPr>
              <w:pStyle w:val="34"/>
              <w:jc w:val="center"/>
              <w:rPr>
                <w:szCs w:val="21"/>
                <w:highlight w:val="none"/>
              </w:rPr>
            </w:pPr>
          </w:p>
          <w:p>
            <w:pPr>
              <w:pStyle w:val="34"/>
              <w:jc w:val="center"/>
              <w:rPr>
                <w:szCs w:val="21"/>
                <w:highlight w:val="none"/>
              </w:rPr>
            </w:pPr>
          </w:p>
          <w:p>
            <w:pPr>
              <w:pStyle w:val="34"/>
              <w:ind w:right="166"/>
              <w:jc w:val="center"/>
              <w:rPr>
                <w:szCs w:val="21"/>
                <w:highlight w:val="none"/>
              </w:rPr>
            </w:pPr>
            <w:r>
              <w:rPr>
                <w:szCs w:val="21"/>
                <w:highlight w:val="none"/>
              </w:rPr>
              <w:t>4</w:t>
            </w:r>
          </w:p>
        </w:tc>
        <w:tc>
          <w:tcPr>
            <w:tcW w:w="2411" w:type="dxa"/>
            <w:vAlign w:val="center"/>
          </w:tcPr>
          <w:p>
            <w:pPr>
              <w:pStyle w:val="34"/>
              <w:spacing w:before="5"/>
              <w:ind w:left="105"/>
              <w:jc w:val="center"/>
              <w:rPr>
                <w:szCs w:val="21"/>
                <w:highlight w:val="none"/>
              </w:rPr>
            </w:pPr>
            <w:r>
              <w:rPr>
                <w:rFonts w:hint="eastAsia"/>
                <w:szCs w:val="21"/>
                <w:highlight w:val="none"/>
              </w:rPr>
              <w:t>有依法缴纳税收和社会保障资金的良好记录</w:t>
            </w:r>
          </w:p>
        </w:tc>
        <w:tc>
          <w:tcPr>
            <w:tcW w:w="3261" w:type="dxa"/>
            <w:vAlign w:val="center"/>
          </w:tcPr>
          <w:p>
            <w:pPr>
              <w:pStyle w:val="34"/>
              <w:spacing w:line="364" w:lineRule="auto"/>
              <w:ind w:left="109" w:right="138"/>
              <w:jc w:val="center"/>
              <w:rPr>
                <w:szCs w:val="21"/>
                <w:highlight w:val="none"/>
              </w:rPr>
            </w:pPr>
            <w:r>
              <w:rPr>
                <w:rFonts w:hint="eastAsia"/>
                <w:szCs w:val="21"/>
                <w:highlight w:val="none"/>
              </w:rPr>
              <w:t>提供参加本次政府采购活动前半年内（至少一个月）依法缴纳税收和社会保障资金的相关材料</w:t>
            </w:r>
          </w:p>
        </w:tc>
        <w:tc>
          <w:tcPr>
            <w:tcW w:w="788" w:type="dxa"/>
            <w:gridSpan w:val="2"/>
            <w:vAlign w:val="center"/>
          </w:tcPr>
          <w:p>
            <w:pPr>
              <w:pStyle w:val="34"/>
              <w:jc w:val="center"/>
              <w:rPr>
                <w:szCs w:val="21"/>
                <w:highlight w:val="none"/>
              </w:rPr>
            </w:pPr>
          </w:p>
          <w:p>
            <w:pPr>
              <w:pStyle w:val="34"/>
              <w:jc w:val="center"/>
              <w:rPr>
                <w:szCs w:val="21"/>
                <w:highlight w:val="none"/>
              </w:rPr>
            </w:pPr>
          </w:p>
          <w:p>
            <w:pPr>
              <w:pStyle w:val="34"/>
              <w:ind w:left="104"/>
              <w:jc w:val="center"/>
              <w:rPr>
                <w:szCs w:val="21"/>
                <w:highlight w:val="none"/>
              </w:rPr>
            </w:pPr>
          </w:p>
          <w:p>
            <w:pPr>
              <w:pStyle w:val="34"/>
              <w:jc w:val="center"/>
              <w:rPr>
                <w:szCs w:val="21"/>
                <w:highlight w:val="none"/>
              </w:rPr>
            </w:pPr>
          </w:p>
          <w:p>
            <w:pPr>
              <w:pStyle w:val="34"/>
              <w:jc w:val="center"/>
              <w:rPr>
                <w:szCs w:val="21"/>
                <w:highlight w:val="none"/>
              </w:rPr>
            </w:pPr>
          </w:p>
          <w:p>
            <w:pPr>
              <w:pStyle w:val="34"/>
              <w:ind w:left="103"/>
              <w:jc w:val="center"/>
              <w:rPr>
                <w:szCs w:val="21"/>
                <w:highlight w:val="none"/>
              </w:rPr>
            </w:pPr>
          </w:p>
        </w:tc>
        <w:tc>
          <w:tcPr>
            <w:tcW w:w="788" w:type="dxa"/>
            <w:vAlign w:val="center"/>
          </w:tcPr>
          <w:p>
            <w:pPr>
              <w:pStyle w:val="34"/>
              <w:ind w:left="103"/>
              <w:jc w:val="center"/>
              <w:rPr>
                <w:szCs w:val="21"/>
                <w:highlight w:val="none"/>
              </w:rPr>
            </w:pPr>
          </w:p>
        </w:tc>
        <w:tc>
          <w:tcPr>
            <w:tcW w:w="788" w:type="dxa"/>
            <w:gridSpan w:val="2"/>
            <w:vAlign w:val="center"/>
          </w:tcPr>
          <w:p>
            <w:pPr>
              <w:pStyle w:val="34"/>
              <w:ind w:left="103"/>
              <w:jc w:val="center"/>
              <w:rPr>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1" w:hRule="atLeast"/>
        </w:trPr>
        <w:tc>
          <w:tcPr>
            <w:tcW w:w="706" w:type="dxa"/>
            <w:vAlign w:val="center"/>
          </w:tcPr>
          <w:p>
            <w:pPr>
              <w:pStyle w:val="34"/>
              <w:jc w:val="center"/>
              <w:rPr>
                <w:szCs w:val="21"/>
                <w:highlight w:val="none"/>
              </w:rPr>
            </w:pPr>
          </w:p>
          <w:p>
            <w:pPr>
              <w:pStyle w:val="34"/>
              <w:spacing w:before="162"/>
              <w:ind w:right="166"/>
              <w:jc w:val="center"/>
              <w:rPr>
                <w:szCs w:val="21"/>
                <w:highlight w:val="none"/>
              </w:rPr>
            </w:pPr>
            <w:r>
              <w:rPr>
                <w:szCs w:val="21"/>
                <w:highlight w:val="none"/>
              </w:rPr>
              <w:t>5</w:t>
            </w:r>
          </w:p>
        </w:tc>
        <w:tc>
          <w:tcPr>
            <w:tcW w:w="2411" w:type="dxa"/>
            <w:vAlign w:val="center"/>
          </w:tcPr>
          <w:p>
            <w:pPr>
              <w:pStyle w:val="34"/>
              <w:spacing w:before="3"/>
              <w:ind w:left="105"/>
              <w:jc w:val="center"/>
              <w:rPr>
                <w:szCs w:val="21"/>
                <w:highlight w:val="none"/>
              </w:rPr>
            </w:pPr>
            <w:r>
              <w:rPr>
                <w:rFonts w:hint="eastAsia"/>
                <w:szCs w:val="21"/>
                <w:highlight w:val="none"/>
              </w:rPr>
              <w:t>参加政府采购活动前三年内，在经营活动中没有重大违法记录</w:t>
            </w:r>
          </w:p>
        </w:tc>
        <w:tc>
          <w:tcPr>
            <w:tcW w:w="3261" w:type="dxa"/>
            <w:vAlign w:val="center"/>
          </w:tcPr>
          <w:p>
            <w:pPr>
              <w:pStyle w:val="34"/>
              <w:spacing w:before="3"/>
              <w:ind w:left="109"/>
              <w:jc w:val="center"/>
              <w:rPr>
                <w:szCs w:val="21"/>
                <w:highlight w:val="none"/>
              </w:rPr>
            </w:pPr>
            <w:r>
              <w:rPr>
                <w:rFonts w:hint="eastAsia"/>
                <w:szCs w:val="21"/>
                <w:highlight w:val="none"/>
              </w:rPr>
              <w:t>提供参加本次政府采购活动前3年内在经营活动中没有重大违法记录的书面声明（格式见后附件）</w:t>
            </w:r>
          </w:p>
        </w:tc>
        <w:tc>
          <w:tcPr>
            <w:tcW w:w="788" w:type="dxa"/>
            <w:gridSpan w:val="2"/>
            <w:vAlign w:val="center"/>
          </w:tcPr>
          <w:p>
            <w:pPr>
              <w:pStyle w:val="34"/>
              <w:jc w:val="center"/>
              <w:rPr>
                <w:szCs w:val="21"/>
                <w:highlight w:val="none"/>
              </w:rPr>
            </w:pPr>
          </w:p>
          <w:p>
            <w:pPr>
              <w:pStyle w:val="34"/>
              <w:spacing w:before="162"/>
              <w:ind w:left="104"/>
              <w:jc w:val="center"/>
              <w:rPr>
                <w:szCs w:val="21"/>
                <w:highlight w:val="none"/>
              </w:rPr>
            </w:pPr>
          </w:p>
          <w:p>
            <w:pPr>
              <w:pStyle w:val="34"/>
              <w:jc w:val="center"/>
              <w:rPr>
                <w:szCs w:val="21"/>
                <w:highlight w:val="none"/>
              </w:rPr>
            </w:pPr>
          </w:p>
          <w:p>
            <w:pPr>
              <w:pStyle w:val="34"/>
              <w:spacing w:before="162"/>
              <w:ind w:left="103"/>
              <w:jc w:val="center"/>
              <w:rPr>
                <w:szCs w:val="21"/>
                <w:highlight w:val="none"/>
              </w:rPr>
            </w:pPr>
          </w:p>
        </w:tc>
        <w:tc>
          <w:tcPr>
            <w:tcW w:w="788" w:type="dxa"/>
            <w:vAlign w:val="center"/>
          </w:tcPr>
          <w:p>
            <w:pPr>
              <w:pStyle w:val="34"/>
              <w:spacing w:before="162"/>
              <w:ind w:left="103"/>
              <w:jc w:val="center"/>
              <w:rPr>
                <w:szCs w:val="21"/>
                <w:highlight w:val="none"/>
              </w:rPr>
            </w:pPr>
          </w:p>
        </w:tc>
        <w:tc>
          <w:tcPr>
            <w:tcW w:w="788" w:type="dxa"/>
            <w:gridSpan w:val="2"/>
            <w:vAlign w:val="center"/>
          </w:tcPr>
          <w:p>
            <w:pPr>
              <w:pStyle w:val="34"/>
              <w:spacing w:before="162"/>
              <w:ind w:left="103"/>
              <w:jc w:val="center"/>
              <w:rPr>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7" w:hRule="atLeast"/>
        </w:trPr>
        <w:tc>
          <w:tcPr>
            <w:tcW w:w="706" w:type="dxa"/>
            <w:vAlign w:val="center"/>
          </w:tcPr>
          <w:p>
            <w:pPr>
              <w:pStyle w:val="34"/>
              <w:jc w:val="center"/>
              <w:rPr>
                <w:szCs w:val="21"/>
                <w:highlight w:val="none"/>
              </w:rPr>
            </w:pPr>
          </w:p>
          <w:p>
            <w:pPr>
              <w:pStyle w:val="34"/>
              <w:jc w:val="center"/>
              <w:rPr>
                <w:szCs w:val="21"/>
                <w:highlight w:val="none"/>
              </w:rPr>
            </w:pPr>
          </w:p>
          <w:p>
            <w:pPr>
              <w:pStyle w:val="34"/>
              <w:ind w:right="166"/>
              <w:jc w:val="center"/>
              <w:rPr>
                <w:szCs w:val="21"/>
                <w:highlight w:val="none"/>
              </w:rPr>
            </w:pPr>
            <w:r>
              <w:rPr>
                <w:szCs w:val="21"/>
                <w:highlight w:val="none"/>
              </w:rPr>
              <w:t>6</w:t>
            </w:r>
          </w:p>
        </w:tc>
        <w:tc>
          <w:tcPr>
            <w:tcW w:w="2411" w:type="dxa"/>
            <w:vAlign w:val="center"/>
          </w:tcPr>
          <w:p>
            <w:pPr>
              <w:pStyle w:val="34"/>
              <w:spacing w:before="5"/>
              <w:ind w:left="105"/>
              <w:jc w:val="center"/>
              <w:rPr>
                <w:szCs w:val="21"/>
                <w:highlight w:val="none"/>
              </w:rPr>
            </w:pPr>
            <w:r>
              <w:rPr>
                <w:rFonts w:hint="eastAsia"/>
                <w:szCs w:val="21"/>
                <w:highlight w:val="none"/>
              </w:rPr>
              <w:t>企业具有建筑工程施工总承包三级（含）以上资质</w:t>
            </w:r>
          </w:p>
        </w:tc>
        <w:tc>
          <w:tcPr>
            <w:tcW w:w="3261" w:type="dxa"/>
            <w:vAlign w:val="center"/>
          </w:tcPr>
          <w:p>
            <w:pPr>
              <w:pStyle w:val="34"/>
              <w:spacing w:line="364" w:lineRule="auto"/>
              <w:ind w:left="109" w:right="138"/>
              <w:jc w:val="center"/>
              <w:rPr>
                <w:szCs w:val="21"/>
                <w:highlight w:val="none"/>
              </w:rPr>
            </w:pPr>
            <w:r>
              <w:rPr>
                <w:rFonts w:hint="eastAsia"/>
                <w:szCs w:val="21"/>
                <w:highlight w:val="none"/>
              </w:rPr>
              <w:t>提供资质证书复印件并加盖公章</w:t>
            </w:r>
          </w:p>
        </w:tc>
        <w:tc>
          <w:tcPr>
            <w:tcW w:w="788" w:type="dxa"/>
            <w:gridSpan w:val="2"/>
            <w:vAlign w:val="center"/>
          </w:tcPr>
          <w:p>
            <w:pPr>
              <w:pStyle w:val="34"/>
              <w:jc w:val="center"/>
              <w:rPr>
                <w:szCs w:val="21"/>
                <w:highlight w:val="none"/>
              </w:rPr>
            </w:pPr>
          </w:p>
          <w:p>
            <w:pPr>
              <w:pStyle w:val="34"/>
              <w:jc w:val="center"/>
              <w:rPr>
                <w:szCs w:val="21"/>
                <w:highlight w:val="none"/>
              </w:rPr>
            </w:pPr>
          </w:p>
          <w:p>
            <w:pPr>
              <w:pStyle w:val="34"/>
              <w:ind w:left="104"/>
              <w:jc w:val="center"/>
              <w:rPr>
                <w:szCs w:val="21"/>
                <w:highlight w:val="none"/>
              </w:rPr>
            </w:pPr>
          </w:p>
          <w:p>
            <w:pPr>
              <w:pStyle w:val="34"/>
              <w:jc w:val="center"/>
              <w:rPr>
                <w:szCs w:val="21"/>
                <w:highlight w:val="none"/>
              </w:rPr>
            </w:pPr>
          </w:p>
          <w:p>
            <w:pPr>
              <w:pStyle w:val="34"/>
              <w:jc w:val="center"/>
              <w:rPr>
                <w:szCs w:val="21"/>
                <w:highlight w:val="none"/>
              </w:rPr>
            </w:pPr>
          </w:p>
          <w:p>
            <w:pPr>
              <w:pStyle w:val="34"/>
              <w:ind w:left="103"/>
              <w:jc w:val="center"/>
              <w:rPr>
                <w:szCs w:val="21"/>
                <w:highlight w:val="none"/>
              </w:rPr>
            </w:pPr>
          </w:p>
        </w:tc>
        <w:tc>
          <w:tcPr>
            <w:tcW w:w="788" w:type="dxa"/>
            <w:vAlign w:val="center"/>
          </w:tcPr>
          <w:p>
            <w:pPr>
              <w:pStyle w:val="34"/>
              <w:ind w:left="103"/>
              <w:jc w:val="center"/>
              <w:rPr>
                <w:szCs w:val="21"/>
                <w:highlight w:val="none"/>
              </w:rPr>
            </w:pPr>
          </w:p>
        </w:tc>
        <w:tc>
          <w:tcPr>
            <w:tcW w:w="788" w:type="dxa"/>
            <w:gridSpan w:val="2"/>
            <w:vAlign w:val="center"/>
          </w:tcPr>
          <w:p>
            <w:pPr>
              <w:pStyle w:val="34"/>
              <w:ind w:left="103"/>
              <w:jc w:val="center"/>
              <w:rPr>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706" w:type="dxa"/>
            <w:vAlign w:val="center"/>
          </w:tcPr>
          <w:p>
            <w:pPr>
              <w:pStyle w:val="34"/>
              <w:jc w:val="center"/>
              <w:rPr>
                <w:szCs w:val="21"/>
                <w:highlight w:val="none"/>
              </w:rPr>
            </w:pPr>
          </w:p>
          <w:p>
            <w:pPr>
              <w:pStyle w:val="34"/>
              <w:jc w:val="center"/>
              <w:rPr>
                <w:szCs w:val="21"/>
                <w:highlight w:val="none"/>
              </w:rPr>
            </w:pPr>
          </w:p>
          <w:p>
            <w:pPr>
              <w:pStyle w:val="34"/>
              <w:jc w:val="center"/>
              <w:rPr>
                <w:szCs w:val="21"/>
                <w:highlight w:val="none"/>
              </w:rPr>
            </w:pPr>
          </w:p>
          <w:p>
            <w:pPr>
              <w:pStyle w:val="34"/>
              <w:ind w:right="166"/>
              <w:jc w:val="center"/>
              <w:rPr>
                <w:szCs w:val="21"/>
                <w:highlight w:val="none"/>
              </w:rPr>
            </w:pPr>
            <w:r>
              <w:rPr>
                <w:szCs w:val="21"/>
                <w:highlight w:val="none"/>
              </w:rPr>
              <w:t>7</w:t>
            </w:r>
          </w:p>
        </w:tc>
        <w:tc>
          <w:tcPr>
            <w:tcW w:w="2411" w:type="dxa"/>
            <w:vAlign w:val="center"/>
          </w:tcPr>
          <w:p>
            <w:pPr>
              <w:pStyle w:val="34"/>
              <w:spacing w:line="306" w:lineRule="exact"/>
              <w:ind w:left="105"/>
              <w:jc w:val="center"/>
              <w:rPr>
                <w:szCs w:val="21"/>
                <w:highlight w:val="none"/>
              </w:rPr>
            </w:pPr>
            <w:r>
              <w:rPr>
                <w:rFonts w:hint="eastAsia"/>
                <w:szCs w:val="21"/>
                <w:highlight w:val="none"/>
              </w:rPr>
              <w:t>项目负责人具有注册建造师证建筑工程二级（含）以上并具有有效的安全生产考核合格证书（B类证）</w:t>
            </w:r>
          </w:p>
        </w:tc>
        <w:tc>
          <w:tcPr>
            <w:tcW w:w="3261" w:type="dxa"/>
            <w:vAlign w:val="center"/>
          </w:tcPr>
          <w:p>
            <w:pPr>
              <w:spacing w:line="336" w:lineRule="auto"/>
              <w:ind w:firstLine="420" w:firstLineChars="200"/>
              <w:jc w:val="center"/>
              <w:rPr>
                <w:rFonts w:ascii="宋体" w:hAnsi="宋体" w:cs="宋体"/>
                <w:szCs w:val="21"/>
                <w:highlight w:val="none"/>
              </w:rPr>
            </w:pPr>
            <w:r>
              <w:rPr>
                <w:rFonts w:hint="eastAsia" w:ascii="宋体" w:hAnsi="宋体" w:cs="宋体"/>
                <w:szCs w:val="21"/>
                <w:highlight w:val="none"/>
              </w:rPr>
              <w:t>提供投标人为其缴纳的2021年11月-2022年4月的社会保险证明，须有社保中心章或社保中心参保缴费证明电子专用章，如投标单位因疫情迟缴或免缴社保可提供由社保中心出具的证明（疫情防控期间建设工程企业资质证书有效期延期和注册执业人员注册证书（含安全生产考核合格证书B类）有效期延期执行国家及省、市相关文件规定 ）</w:t>
            </w:r>
          </w:p>
          <w:p>
            <w:pPr>
              <w:pStyle w:val="34"/>
              <w:spacing w:before="162" w:line="364" w:lineRule="auto"/>
              <w:ind w:left="109" w:right="138"/>
              <w:jc w:val="center"/>
              <w:rPr>
                <w:szCs w:val="21"/>
                <w:highlight w:val="none"/>
              </w:rPr>
            </w:pPr>
          </w:p>
        </w:tc>
        <w:tc>
          <w:tcPr>
            <w:tcW w:w="788" w:type="dxa"/>
            <w:gridSpan w:val="2"/>
            <w:vAlign w:val="center"/>
          </w:tcPr>
          <w:p>
            <w:pPr>
              <w:pStyle w:val="34"/>
              <w:jc w:val="center"/>
              <w:rPr>
                <w:szCs w:val="21"/>
                <w:highlight w:val="none"/>
              </w:rPr>
            </w:pPr>
          </w:p>
          <w:p>
            <w:pPr>
              <w:pStyle w:val="34"/>
              <w:jc w:val="center"/>
              <w:rPr>
                <w:szCs w:val="21"/>
                <w:highlight w:val="none"/>
              </w:rPr>
            </w:pPr>
          </w:p>
          <w:p>
            <w:pPr>
              <w:pStyle w:val="34"/>
              <w:jc w:val="center"/>
              <w:rPr>
                <w:szCs w:val="21"/>
                <w:highlight w:val="none"/>
              </w:rPr>
            </w:pPr>
          </w:p>
          <w:p>
            <w:pPr>
              <w:pStyle w:val="34"/>
              <w:ind w:left="104"/>
              <w:jc w:val="center"/>
              <w:rPr>
                <w:szCs w:val="21"/>
                <w:highlight w:val="none"/>
              </w:rPr>
            </w:pPr>
          </w:p>
          <w:p>
            <w:pPr>
              <w:pStyle w:val="34"/>
              <w:jc w:val="center"/>
              <w:rPr>
                <w:szCs w:val="21"/>
                <w:highlight w:val="none"/>
              </w:rPr>
            </w:pPr>
          </w:p>
          <w:p>
            <w:pPr>
              <w:pStyle w:val="34"/>
              <w:jc w:val="center"/>
              <w:rPr>
                <w:szCs w:val="21"/>
                <w:highlight w:val="none"/>
              </w:rPr>
            </w:pPr>
          </w:p>
          <w:p>
            <w:pPr>
              <w:pStyle w:val="34"/>
              <w:jc w:val="center"/>
              <w:rPr>
                <w:szCs w:val="21"/>
                <w:highlight w:val="none"/>
              </w:rPr>
            </w:pPr>
          </w:p>
          <w:p>
            <w:pPr>
              <w:pStyle w:val="34"/>
              <w:ind w:left="104"/>
              <w:jc w:val="center"/>
              <w:rPr>
                <w:szCs w:val="21"/>
                <w:highlight w:val="none"/>
              </w:rPr>
            </w:pPr>
          </w:p>
          <w:p>
            <w:pPr>
              <w:pStyle w:val="34"/>
              <w:jc w:val="center"/>
              <w:rPr>
                <w:szCs w:val="21"/>
                <w:highlight w:val="none"/>
              </w:rPr>
            </w:pPr>
          </w:p>
          <w:p>
            <w:pPr>
              <w:pStyle w:val="34"/>
              <w:jc w:val="center"/>
              <w:rPr>
                <w:szCs w:val="21"/>
                <w:highlight w:val="none"/>
              </w:rPr>
            </w:pPr>
          </w:p>
          <w:p>
            <w:pPr>
              <w:pStyle w:val="34"/>
              <w:ind w:left="104"/>
              <w:jc w:val="center"/>
              <w:rPr>
                <w:szCs w:val="21"/>
                <w:highlight w:val="none"/>
              </w:rPr>
            </w:pPr>
            <w:r>
              <w:rPr>
                <w:rFonts w:hint="eastAsia"/>
                <w:szCs w:val="21"/>
                <w:highlight w:val="none"/>
              </w:rPr>
              <w:t xml:space="preserve"> </w:t>
            </w:r>
          </w:p>
          <w:p>
            <w:pPr>
              <w:pStyle w:val="34"/>
              <w:ind w:left="103"/>
              <w:jc w:val="center"/>
              <w:rPr>
                <w:szCs w:val="21"/>
                <w:highlight w:val="none"/>
              </w:rPr>
            </w:pPr>
          </w:p>
        </w:tc>
        <w:tc>
          <w:tcPr>
            <w:tcW w:w="788" w:type="dxa"/>
            <w:vAlign w:val="center"/>
          </w:tcPr>
          <w:p>
            <w:pPr>
              <w:pStyle w:val="34"/>
              <w:ind w:left="103"/>
              <w:jc w:val="center"/>
              <w:rPr>
                <w:szCs w:val="21"/>
                <w:highlight w:val="none"/>
              </w:rPr>
            </w:pPr>
          </w:p>
        </w:tc>
        <w:tc>
          <w:tcPr>
            <w:tcW w:w="788" w:type="dxa"/>
            <w:gridSpan w:val="2"/>
            <w:vAlign w:val="center"/>
          </w:tcPr>
          <w:p>
            <w:pPr>
              <w:pStyle w:val="34"/>
              <w:ind w:left="103"/>
              <w:jc w:val="center"/>
              <w:rPr>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2" w:hRule="atLeast"/>
        </w:trPr>
        <w:tc>
          <w:tcPr>
            <w:tcW w:w="706" w:type="dxa"/>
            <w:vAlign w:val="center"/>
          </w:tcPr>
          <w:p>
            <w:pPr>
              <w:pStyle w:val="34"/>
              <w:ind w:right="166"/>
              <w:jc w:val="center"/>
              <w:rPr>
                <w:szCs w:val="21"/>
                <w:highlight w:val="none"/>
              </w:rPr>
            </w:pPr>
            <w:r>
              <w:rPr>
                <w:rFonts w:hint="eastAsia"/>
                <w:szCs w:val="21"/>
                <w:highlight w:val="none"/>
              </w:rPr>
              <w:t>8</w:t>
            </w:r>
          </w:p>
        </w:tc>
        <w:tc>
          <w:tcPr>
            <w:tcW w:w="2411" w:type="dxa"/>
            <w:vAlign w:val="center"/>
          </w:tcPr>
          <w:p>
            <w:pPr>
              <w:pStyle w:val="34"/>
              <w:spacing w:line="306" w:lineRule="exact"/>
              <w:ind w:left="105"/>
              <w:jc w:val="center"/>
              <w:rPr>
                <w:szCs w:val="21"/>
                <w:highlight w:val="none"/>
              </w:rPr>
            </w:pPr>
            <w:r>
              <w:rPr>
                <w:rFonts w:hint="eastAsia"/>
                <w:szCs w:val="21"/>
                <w:highlight w:val="none"/>
              </w:rPr>
              <w:t>企业具备安全生产条件，并取得安全生产许可证</w:t>
            </w:r>
          </w:p>
        </w:tc>
        <w:tc>
          <w:tcPr>
            <w:tcW w:w="3261" w:type="dxa"/>
            <w:vAlign w:val="center"/>
          </w:tcPr>
          <w:p>
            <w:pPr>
              <w:spacing w:line="336" w:lineRule="auto"/>
              <w:rPr>
                <w:rFonts w:ascii="宋体" w:hAnsi="宋体" w:cs="宋体"/>
                <w:szCs w:val="21"/>
                <w:highlight w:val="none"/>
              </w:rPr>
            </w:pPr>
            <w:r>
              <w:rPr>
                <w:rFonts w:hint="eastAsia" w:ascii="宋体" w:hAnsi="宋体" w:cs="宋体"/>
                <w:szCs w:val="21"/>
                <w:highlight w:val="none"/>
              </w:rPr>
              <w:t>疫情期间建筑业企业资质证书延期遵循《住房和城乡建设部办公厅关于建设工程企业资质延续有关事项的通知》相关规定</w:t>
            </w:r>
          </w:p>
          <w:p>
            <w:pPr>
              <w:pStyle w:val="34"/>
              <w:spacing w:before="162" w:line="364" w:lineRule="auto"/>
              <w:ind w:left="109" w:right="138"/>
              <w:jc w:val="center"/>
              <w:rPr>
                <w:szCs w:val="21"/>
                <w:highlight w:val="none"/>
              </w:rPr>
            </w:pPr>
          </w:p>
        </w:tc>
        <w:tc>
          <w:tcPr>
            <w:tcW w:w="774" w:type="dxa"/>
            <w:vAlign w:val="center"/>
          </w:tcPr>
          <w:p>
            <w:pPr>
              <w:pStyle w:val="34"/>
              <w:ind w:left="104"/>
              <w:jc w:val="center"/>
              <w:rPr>
                <w:szCs w:val="21"/>
                <w:highlight w:val="none"/>
              </w:rPr>
            </w:pPr>
          </w:p>
        </w:tc>
        <w:tc>
          <w:tcPr>
            <w:tcW w:w="840" w:type="dxa"/>
            <w:gridSpan w:val="3"/>
            <w:vAlign w:val="center"/>
          </w:tcPr>
          <w:p>
            <w:pPr>
              <w:pStyle w:val="34"/>
              <w:ind w:left="104"/>
              <w:jc w:val="center"/>
              <w:rPr>
                <w:szCs w:val="21"/>
                <w:highlight w:val="none"/>
              </w:rPr>
            </w:pPr>
          </w:p>
        </w:tc>
        <w:tc>
          <w:tcPr>
            <w:tcW w:w="750" w:type="dxa"/>
            <w:vAlign w:val="center"/>
          </w:tcPr>
          <w:p>
            <w:pPr>
              <w:pStyle w:val="34"/>
              <w:ind w:left="103"/>
              <w:jc w:val="center"/>
              <w:rPr>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37" w:hRule="atLeast"/>
        </w:trPr>
        <w:tc>
          <w:tcPr>
            <w:tcW w:w="706" w:type="dxa"/>
            <w:vAlign w:val="center"/>
          </w:tcPr>
          <w:p>
            <w:pPr>
              <w:pStyle w:val="34"/>
              <w:ind w:right="166"/>
              <w:jc w:val="center"/>
              <w:rPr>
                <w:szCs w:val="21"/>
                <w:highlight w:val="none"/>
              </w:rPr>
            </w:pPr>
            <w:r>
              <w:rPr>
                <w:rFonts w:hint="eastAsia"/>
                <w:szCs w:val="21"/>
                <w:highlight w:val="none"/>
              </w:rPr>
              <w:t>9</w:t>
            </w:r>
          </w:p>
        </w:tc>
        <w:tc>
          <w:tcPr>
            <w:tcW w:w="2411" w:type="dxa"/>
            <w:vAlign w:val="center"/>
          </w:tcPr>
          <w:p>
            <w:pPr>
              <w:pStyle w:val="34"/>
              <w:spacing w:line="306" w:lineRule="exact"/>
              <w:ind w:left="105"/>
              <w:jc w:val="center"/>
              <w:rPr>
                <w:szCs w:val="21"/>
                <w:highlight w:val="none"/>
              </w:rPr>
            </w:pPr>
            <w:r>
              <w:rPr>
                <w:rFonts w:hint="eastAsia"/>
                <w:szCs w:val="21"/>
                <w:highlight w:val="none"/>
              </w:rPr>
              <w:t>疫情防控期间建设工程企业资质证书有效期延期和注册执业人员注册证书（含安全生产考核合格证书B类）有效期延期执行国家及省、市相关文件规定</w:t>
            </w:r>
          </w:p>
        </w:tc>
        <w:tc>
          <w:tcPr>
            <w:tcW w:w="3261" w:type="dxa"/>
            <w:vAlign w:val="center"/>
          </w:tcPr>
          <w:p>
            <w:pPr>
              <w:pStyle w:val="34"/>
              <w:spacing w:before="162" w:line="364" w:lineRule="auto"/>
              <w:ind w:left="109" w:right="138"/>
              <w:jc w:val="center"/>
              <w:rPr>
                <w:szCs w:val="21"/>
                <w:highlight w:val="none"/>
              </w:rPr>
            </w:pPr>
            <w:r>
              <w:rPr>
                <w:rFonts w:hint="eastAsia"/>
                <w:szCs w:val="21"/>
                <w:highlight w:val="none"/>
              </w:rPr>
              <w:t>有效期延期执行国家及省、市相关文件规定</w:t>
            </w:r>
          </w:p>
        </w:tc>
        <w:tc>
          <w:tcPr>
            <w:tcW w:w="774" w:type="dxa"/>
            <w:vAlign w:val="center"/>
          </w:tcPr>
          <w:p>
            <w:pPr>
              <w:pStyle w:val="34"/>
              <w:ind w:left="104"/>
              <w:jc w:val="center"/>
              <w:rPr>
                <w:szCs w:val="21"/>
                <w:highlight w:val="none"/>
              </w:rPr>
            </w:pPr>
          </w:p>
        </w:tc>
        <w:tc>
          <w:tcPr>
            <w:tcW w:w="840" w:type="dxa"/>
            <w:gridSpan w:val="3"/>
            <w:vAlign w:val="center"/>
          </w:tcPr>
          <w:p>
            <w:pPr>
              <w:pStyle w:val="34"/>
              <w:ind w:left="104"/>
              <w:jc w:val="center"/>
              <w:rPr>
                <w:szCs w:val="21"/>
                <w:highlight w:val="none"/>
              </w:rPr>
            </w:pPr>
          </w:p>
        </w:tc>
        <w:tc>
          <w:tcPr>
            <w:tcW w:w="750" w:type="dxa"/>
            <w:vAlign w:val="center"/>
          </w:tcPr>
          <w:p>
            <w:pPr>
              <w:pStyle w:val="34"/>
              <w:ind w:left="103"/>
              <w:jc w:val="center"/>
              <w:rPr>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2" w:hRule="atLeast"/>
        </w:trPr>
        <w:tc>
          <w:tcPr>
            <w:tcW w:w="706" w:type="dxa"/>
            <w:vAlign w:val="center"/>
          </w:tcPr>
          <w:p>
            <w:pPr>
              <w:pStyle w:val="34"/>
              <w:ind w:right="166"/>
              <w:jc w:val="center"/>
              <w:rPr>
                <w:szCs w:val="21"/>
                <w:highlight w:val="none"/>
              </w:rPr>
            </w:pPr>
            <w:r>
              <w:rPr>
                <w:rFonts w:hint="eastAsia"/>
                <w:szCs w:val="21"/>
                <w:highlight w:val="none"/>
              </w:rPr>
              <w:t>10</w:t>
            </w:r>
          </w:p>
        </w:tc>
        <w:tc>
          <w:tcPr>
            <w:tcW w:w="2411" w:type="dxa"/>
            <w:vAlign w:val="center"/>
          </w:tcPr>
          <w:p>
            <w:pPr>
              <w:pStyle w:val="34"/>
              <w:spacing w:line="306" w:lineRule="exact"/>
              <w:ind w:left="105"/>
              <w:jc w:val="center"/>
              <w:rPr>
                <w:szCs w:val="21"/>
                <w:highlight w:val="none"/>
              </w:rPr>
            </w:pPr>
            <w:r>
              <w:rPr>
                <w:rFonts w:hint="eastAsia"/>
                <w:szCs w:val="21"/>
                <w:highlight w:val="none"/>
              </w:rPr>
              <w:t>拒绝下述条件的供应商参加本次采购活动：</w:t>
            </w:r>
          </w:p>
        </w:tc>
        <w:tc>
          <w:tcPr>
            <w:tcW w:w="3261" w:type="dxa"/>
            <w:vAlign w:val="center"/>
          </w:tcPr>
          <w:p>
            <w:pPr>
              <w:spacing w:line="336" w:lineRule="auto"/>
              <w:rPr>
                <w:rFonts w:ascii="宋体" w:hAnsi="宋体" w:cs="宋体"/>
                <w:szCs w:val="21"/>
                <w:highlight w:val="none"/>
              </w:rPr>
            </w:pPr>
            <w:r>
              <w:rPr>
                <w:rFonts w:hint="eastAsia" w:ascii="宋体" w:hAnsi="宋体" w:cs="宋体"/>
                <w:szCs w:val="21"/>
                <w:highlight w:val="none"/>
              </w:rPr>
              <w:t>（1）单位负责人为同一人或者存在直接控股、管理关系的不同供应商，不得参加同一合同项下的政府采购活动；</w:t>
            </w:r>
          </w:p>
          <w:p>
            <w:pPr>
              <w:spacing w:line="336" w:lineRule="auto"/>
              <w:rPr>
                <w:rFonts w:ascii="宋体" w:hAnsi="宋体" w:cs="宋体"/>
                <w:szCs w:val="21"/>
                <w:highlight w:val="none"/>
              </w:rPr>
            </w:pPr>
            <w:r>
              <w:rPr>
                <w:rFonts w:hint="eastAsia" w:ascii="宋体" w:hAnsi="宋体" w:cs="宋体"/>
                <w:szCs w:val="21"/>
                <w:highlight w:val="none"/>
              </w:rPr>
              <w:t>（2）为采购项目提供整体设计、规范编制、项目实施单位或者项目管理、监理等服务的供应商，不得再参加该采购项目的其他采购活动；</w:t>
            </w:r>
          </w:p>
          <w:p>
            <w:pPr>
              <w:spacing w:line="336" w:lineRule="auto"/>
              <w:rPr>
                <w:rFonts w:ascii="宋体" w:hAnsi="宋体" w:cs="宋体"/>
                <w:szCs w:val="21"/>
                <w:highlight w:val="none"/>
              </w:rPr>
            </w:pPr>
            <w:r>
              <w:rPr>
                <w:rFonts w:hint="eastAsia" w:ascii="宋体" w:hAnsi="宋体" w:cs="宋体"/>
                <w:szCs w:val="21"/>
                <w:highlight w:val="none"/>
              </w:rPr>
              <w:t>（3）拒绝列入失信被执行人、重大税收违法案件当事人名单、政府采购严重违法失信行为记录名单的供应商参与政府采购活动。采购代理机构在供应商购买采购文件时，通过“信用中国”网站(</w:t>
            </w:r>
            <w:r>
              <w:rPr>
                <w:rFonts w:hint="eastAsia" w:ascii="宋体" w:hAnsi="宋体" w:cs="宋体"/>
                <w:szCs w:val="21"/>
                <w:highlight w:val="none"/>
              </w:rPr>
              <w:fldChar w:fldCharType="begin"/>
            </w:r>
            <w:r>
              <w:rPr>
                <w:rFonts w:hint="eastAsia" w:ascii="宋体" w:hAnsi="宋体" w:cs="宋体"/>
                <w:szCs w:val="21"/>
                <w:highlight w:val="none"/>
              </w:rPr>
              <w:instrText xml:space="preserve">INCLUDEPICTURE \d "C:\\Users\\Administrator\\AppData\\Roaming\\Tencent\\QQTempSys\\%W@GJ$ACOF(TYDYECOKVDYB.png" \* MERGEFORMATINET </w:instrText>
            </w:r>
            <w:r>
              <w:rPr>
                <w:rFonts w:hint="eastAsia" w:ascii="宋体" w:hAnsi="宋体" w:cs="宋体"/>
                <w:szCs w:val="21"/>
                <w:highlight w:val="none"/>
              </w:rPr>
              <w:fldChar w:fldCharType="separate"/>
            </w:r>
            <w:r>
              <w:rPr>
                <w:rFonts w:hint="eastAsia" w:ascii="宋体" w:hAnsi="宋体" w:cs="宋体"/>
                <w:szCs w:val="21"/>
                <w:highlight w:val="none"/>
              </w:rPr>
              <w:drawing>
                <wp:inline distT="0" distB="0" distL="114300" distR="114300">
                  <wp:extent cx="190500" cy="142875"/>
                  <wp:effectExtent l="0" t="0" r="0" b="9525"/>
                  <wp:docPr id="1" name="图片 1"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7"/>
                          <pic:cNvPicPr>
                            <a:picLocks noChangeAspect="1"/>
                          </pic:cNvPicPr>
                        </pic:nvPicPr>
                        <pic:blipFill>
                          <a:blip r:embed="rId7" cstate="print"/>
                          <a:stretch>
                            <a:fillRect/>
                          </a:stretch>
                        </pic:blipFill>
                        <pic:spPr>
                          <a:xfrm>
                            <a:off x="0" y="0"/>
                            <a:ext cx="190500" cy="142875"/>
                          </a:xfrm>
                          <a:prstGeom prst="rect">
                            <a:avLst/>
                          </a:prstGeom>
                          <a:noFill/>
                          <a:ln>
                            <a:noFill/>
                          </a:ln>
                        </pic:spPr>
                      </pic:pic>
                    </a:graphicData>
                  </a:graphic>
                </wp:inline>
              </w:drawing>
            </w:r>
            <w:r>
              <w:rPr>
                <w:rFonts w:hint="eastAsia" w:ascii="宋体" w:hAnsi="宋体" w:cs="宋体"/>
                <w:szCs w:val="21"/>
                <w:highlight w:val="none"/>
              </w:rPr>
              <w:fldChar w:fldCharType="end"/>
            </w:r>
            <w:r>
              <w:rPr>
                <w:rFonts w:hint="eastAsia" w:ascii="宋体" w:hAnsi="宋体" w:cs="宋体"/>
                <w:szCs w:val="21"/>
                <w:highlight w:val="none"/>
              </w:rPr>
              <w:t>www.creditchina.gov.cn)、中国政府采购网(</w:t>
            </w:r>
            <w:r>
              <w:rPr>
                <w:rFonts w:hint="eastAsia" w:ascii="宋体" w:hAnsi="宋体" w:cs="宋体"/>
                <w:szCs w:val="21"/>
                <w:highlight w:val="none"/>
              </w:rPr>
              <w:fldChar w:fldCharType="begin"/>
            </w:r>
            <w:r>
              <w:rPr>
                <w:rFonts w:hint="eastAsia" w:ascii="宋体" w:hAnsi="宋体" w:cs="宋体"/>
                <w:szCs w:val="21"/>
                <w:highlight w:val="none"/>
              </w:rPr>
              <w:instrText xml:space="preserve">INCLUDEPICTURE \d "C:\\Users\\Administrator\\AppData\\Roaming\\Tencent\\QQTempSys\\%W@GJ$ACOF(TYDYECOKVDYB.png" \* MERGEFORMATINET </w:instrText>
            </w:r>
            <w:r>
              <w:rPr>
                <w:rFonts w:hint="eastAsia" w:ascii="宋体" w:hAnsi="宋体" w:cs="宋体"/>
                <w:szCs w:val="21"/>
                <w:highlight w:val="none"/>
              </w:rPr>
              <w:fldChar w:fldCharType="separate"/>
            </w:r>
            <w:r>
              <w:rPr>
                <w:rFonts w:hint="eastAsia" w:ascii="宋体" w:hAnsi="宋体" w:cs="宋体"/>
                <w:szCs w:val="21"/>
                <w:highlight w:val="none"/>
              </w:rPr>
              <w:drawing>
                <wp:inline distT="0" distB="0" distL="114300" distR="114300">
                  <wp:extent cx="190500" cy="142875"/>
                  <wp:effectExtent l="0" t="0" r="0" b="9525"/>
                  <wp:docPr id="2"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7"/>
                          <pic:cNvPicPr>
                            <a:picLocks noChangeAspect="1"/>
                          </pic:cNvPicPr>
                        </pic:nvPicPr>
                        <pic:blipFill>
                          <a:blip r:embed="rId7" cstate="print"/>
                          <a:stretch>
                            <a:fillRect/>
                          </a:stretch>
                        </pic:blipFill>
                        <pic:spPr>
                          <a:xfrm>
                            <a:off x="0" y="0"/>
                            <a:ext cx="190500" cy="142875"/>
                          </a:xfrm>
                          <a:prstGeom prst="rect">
                            <a:avLst/>
                          </a:prstGeom>
                          <a:noFill/>
                          <a:ln>
                            <a:noFill/>
                          </a:ln>
                        </pic:spPr>
                      </pic:pic>
                    </a:graphicData>
                  </a:graphic>
                </wp:inline>
              </w:drawing>
            </w:r>
            <w:r>
              <w:rPr>
                <w:rFonts w:hint="eastAsia" w:ascii="宋体" w:hAnsi="宋体" w:cs="宋体"/>
                <w:szCs w:val="21"/>
                <w:highlight w:val="none"/>
              </w:rPr>
              <w:fldChar w:fldCharType="end"/>
            </w:r>
            <w:r>
              <w:rPr>
                <w:rFonts w:hint="eastAsia" w:ascii="宋体" w:hAnsi="宋体" w:cs="宋体"/>
                <w:szCs w:val="21"/>
                <w:highlight w:val="none"/>
              </w:rPr>
              <w:t>www.ccgp.gov.cn) 等渠道查询供应商在采购公告发布之日前的信用记录并保存。</w:t>
            </w:r>
          </w:p>
          <w:p>
            <w:pPr>
              <w:pStyle w:val="34"/>
              <w:spacing w:before="162" w:line="364" w:lineRule="auto"/>
              <w:ind w:left="109" w:right="138"/>
              <w:jc w:val="center"/>
              <w:rPr>
                <w:szCs w:val="21"/>
                <w:highlight w:val="none"/>
              </w:rPr>
            </w:pPr>
          </w:p>
        </w:tc>
        <w:tc>
          <w:tcPr>
            <w:tcW w:w="774" w:type="dxa"/>
            <w:vAlign w:val="center"/>
          </w:tcPr>
          <w:p>
            <w:pPr>
              <w:pStyle w:val="34"/>
              <w:ind w:left="104"/>
              <w:jc w:val="center"/>
              <w:rPr>
                <w:szCs w:val="21"/>
                <w:highlight w:val="none"/>
              </w:rPr>
            </w:pPr>
          </w:p>
        </w:tc>
        <w:tc>
          <w:tcPr>
            <w:tcW w:w="840" w:type="dxa"/>
            <w:gridSpan w:val="3"/>
            <w:vAlign w:val="center"/>
          </w:tcPr>
          <w:p>
            <w:pPr>
              <w:pStyle w:val="34"/>
              <w:ind w:left="104"/>
              <w:jc w:val="center"/>
              <w:rPr>
                <w:szCs w:val="21"/>
                <w:highlight w:val="none"/>
              </w:rPr>
            </w:pPr>
          </w:p>
        </w:tc>
        <w:tc>
          <w:tcPr>
            <w:tcW w:w="750" w:type="dxa"/>
            <w:vAlign w:val="center"/>
          </w:tcPr>
          <w:p>
            <w:pPr>
              <w:pStyle w:val="34"/>
              <w:ind w:left="103"/>
              <w:jc w:val="center"/>
              <w:rPr>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2" w:hRule="atLeast"/>
        </w:trPr>
        <w:tc>
          <w:tcPr>
            <w:tcW w:w="706" w:type="dxa"/>
            <w:vAlign w:val="center"/>
          </w:tcPr>
          <w:p>
            <w:pPr>
              <w:pStyle w:val="34"/>
              <w:ind w:right="166"/>
              <w:jc w:val="center"/>
              <w:rPr>
                <w:szCs w:val="21"/>
                <w:highlight w:val="none"/>
              </w:rPr>
            </w:pPr>
            <w:r>
              <w:rPr>
                <w:rFonts w:hint="eastAsia"/>
                <w:szCs w:val="21"/>
                <w:highlight w:val="none"/>
              </w:rPr>
              <w:t>11</w:t>
            </w:r>
          </w:p>
        </w:tc>
        <w:tc>
          <w:tcPr>
            <w:tcW w:w="2411" w:type="dxa"/>
            <w:vAlign w:val="center"/>
          </w:tcPr>
          <w:p>
            <w:pPr>
              <w:pStyle w:val="34"/>
              <w:spacing w:line="306" w:lineRule="exact"/>
              <w:ind w:left="105"/>
              <w:jc w:val="center"/>
              <w:rPr>
                <w:szCs w:val="21"/>
                <w:highlight w:val="none"/>
              </w:rPr>
            </w:pPr>
            <w:r>
              <w:rPr>
                <w:rFonts w:hint="eastAsia"/>
                <w:szCs w:val="21"/>
                <w:highlight w:val="none"/>
              </w:rPr>
              <w:t>是否接受进口产品</w:t>
            </w:r>
          </w:p>
        </w:tc>
        <w:tc>
          <w:tcPr>
            <w:tcW w:w="3261" w:type="dxa"/>
            <w:vAlign w:val="center"/>
          </w:tcPr>
          <w:p>
            <w:pPr>
              <w:pStyle w:val="34"/>
              <w:spacing w:before="162" w:line="364" w:lineRule="auto"/>
              <w:ind w:left="109" w:right="138"/>
              <w:jc w:val="center"/>
              <w:rPr>
                <w:spacing w:val="-16"/>
                <w:szCs w:val="21"/>
                <w:highlight w:val="none"/>
              </w:rPr>
            </w:pPr>
            <w:r>
              <w:rPr>
                <w:rFonts w:hint="eastAsia"/>
                <w:szCs w:val="21"/>
                <w:highlight w:val="none"/>
              </w:rPr>
              <w:t>否</w:t>
            </w:r>
          </w:p>
        </w:tc>
        <w:tc>
          <w:tcPr>
            <w:tcW w:w="774" w:type="dxa"/>
            <w:vAlign w:val="center"/>
          </w:tcPr>
          <w:p>
            <w:pPr>
              <w:pStyle w:val="34"/>
              <w:ind w:left="104"/>
              <w:jc w:val="center"/>
              <w:rPr>
                <w:szCs w:val="21"/>
                <w:highlight w:val="none"/>
              </w:rPr>
            </w:pPr>
          </w:p>
        </w:tc>
        <w:tc>
          <w:tcPr>
            <w:tcW w:w="840" w:type="dxa"/>
            <w:gridSpan w:val="3"/>
            <w:vAlign w:val="center"/>
          </w:tcPr>
          <w:p>
            <w:pPr>
              <w:pStyle w:val="34"/>
              <w:ind w:left="104"/>
              <w:jc w:val="center"/>
              <w:rPr>
                <w:szCs w:val="21"/>
                <w:highlight w:val="none"/>
              </w:rPr>
            </w:pPr>
          </w:p>
        </w:tc>
        <w:tc>
          <w:tcPr>
            <w:tcW w:w="750" w:type="dxa"/>
            <w:vAlign w:val="center"/>
          </w:tcPr>
          <w:p>
            <w:pPr>
              <w:pStyle w:val="34"/>
              <w:ind w:left="103"/>
              <w:jc w:val="center"/>
              <w:rPr>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2" w:hRule="atLeast"/>
        </w:trPr>
        <w:tc>
          <w:tcPr>
            <w:tcW w:w="706" w:type="dxa"/>
            <w:vAlign w:val="center"/>
          </w:tcPr>
          <w:p>
            <w:pPr>
              <w:pStyle w:val="34"/>
              <w:ind w:right="166"/>
              <w:jc w:val="center"/>
              <w:rPr>
                <w:szCs w:val="21"/>
                <w:highlight w:val="none"/>
              </w:rPr>
            </w:pPr>
            <w:r>
              <w:rPr>
                <w:rFonts w:hint="eastAsia"/>
                <w:szCs w:val="21"/>
                <w:highlight w:val="none"/>
              </w:rPr>
              <w:t>12</w:t>
            </w:r>
          </w:p>
        </w:tc>
        <w:tc>
          <w:tcPr>
            <w:tcW w:w="2411" w:type="dxa"/>
            <w:vAlign w:val="center"/>
          </w:tcPr>
          <w:p>
            <w:pPr>
              <w:pStyle w:val="34"/>
              <w:spacing w:line="306" w:lineRule="exact"/>
              <w:ind w:left="105"/>
              <w:jc w:val="center"/>
              <w:rPr>
                <w:szCs w:val="21"/>
                <w:highlight w:val="none"/>
              </w:rPr>
            </w:pPr>
            <w:r>
              <w:rPr>
                <w:rFonts w:hint="eastAsia"/>
                <w:szCs w:val="21"/>
                <w:highlight w:val="none"/>
              </w:rPr>
              <w:t>本次项目不接受联合体供应商</w:t>
            </w:r>
          </w:p>
        </w:tc>
        <w:tc>
          <w:tcPr>
            <w:tcW w:w="3261" w:type="dxa"/>
            <w:vAlign w:val="center"/>
          </w:tcPr>
          <w:p>
            <w:pPr>
              <w:pStyle w:val="34"/>
              <w:spacing w:before="162" w:line="364" w:lineRule="auto"/>
              <w:ind w:left="109" w:right="138"/>
              <w:jc w:val="center"/>
              <w:rPr>
                <w:spacing w:val="-16"/>
                <w:szCs w:val="21"/>
                <w:highlight w:val="none"/>
              </w:rPr>
            </w:pPr>
            <w:r>
              <w:rPr>
                <w:rFonts w:hint="eastAsia"/>
                <w:szCs w:val="21"/>
                <w:highlight w:val="none"/>
              </w:rPr>
              <w:t>本次项目不接受联合体供应商</w:t>
            </w:r>
          </w:p>
        </w:tc>
        <w:tc>
          <w:tcPr>
            <w:tcW w:w="774" w:type="dxa"/>
            <w:vAlign w:val="center"/>
          </w:tcPr>
          <w:p>
            <w:pPr>
              <w:pStyle w:val="34"/>
              <w:ind w:left="104"/>
              <w:jc w:val="center"/>
              <w:rPr>
                <w:szCs w:val="21"/>
                <w:highlight w:val="none"/>
              </w:rPr>
            </w:pPr>
          </w:p>
        </w:tc>
        <w:tc>
          <w:tcPr>
            <w:tcW w:w="840" w:type="dxa"/>
            <w:gridSpan w:val="3"/>
            <w:vAlign w:val="center"/>
          </w:tcPr>
          <w:p>
            <w:pPr>
              <w:pStyle w:val="34"/>
              <w:ind w:left="104"/>
              <w:jc w:val="center"/>
              <w:rPr>
                <w:szCs w:val="21"/>
                <w:highlight w:val="none"/>
              </w:rPr>
            </w:pPr>
          </w:p>
        </w:tc>
        <w:tc>
          <w:tcPr>
            <w:tcW w:w="750" w:type="dxa"/>
            <w:vAlign w:val="center"/>
          </w:tcPr>
          <w:p>
            <w:pPr>
              <w:pStyle w:val="34"/>
              <w:ind w:left="103"/>
              <w:jc w:val="center"/>
              <w:rPr>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2" w:hRule="atLeast"/>
        </w:trPr>
        <w:tc>
          <w:tcPr>
            <w:tcW w:w="706" w:type="dxa"/>
            <w:vAlign w:val="center"/>
          </w:tcPr>
          <w:p>
            <w:pPr>
              <w:pStyle w:val="34"/>
              <w:ind w:right="166"/>
              <w:jc w:val="center"/>
              <w:rPr>
                <w:szCs w:val="21"/>
                <w:highlight w:val="none"/>
              </w:rPr>
            </w:pPr>
            <w:r>
              <w:rPr>
                <w:rFonts w:hint="eastAsia"/>
                <w:szCs w:val="21"/>
                <w:highlight w:val="none"/>
              </w:rPr>
              <w:t>13</w:t>
            </w:r>
          </w:p>
        </w:tc>
        <w:tc>
          <w:tcPr>
            <w:tcW w:w="2411" w:type="dxa"/>
            <w:vAlign w:val="center"/>
          </w:tcPr>
          <w:p>
            <w:pPr>
              <w:pStyle w:val="34"/>
              <w:spacing w:line="306" w:lineRule="exact"/>
              <w:ind w:left="105"/>
              <w:jc w:val="center"/>
              <w:rPr>
                <w:szCs w:val="21"/>
                <w:highlight w:val="none"/>
              </w:rPr>
            </w:pPr>
            <w:r>
              <w:rPr>
                <w:rFonts w:hint="eastAsia"/>
                <w:szCs w:val="21"/>
                <w:highlight w:val="none"/>
              </w:rPr>
              <w:t>本项目为专门面向中小企业采购的项目，供应商须为中小微企业、监狱企业、残疾人福利性单位</w:t>
            </w:r>
          </w:p>
        </w:tc>
        <w:tc>
          <w:tcPr>
            <w:tcW w:w="3261" w:type="dxa"/>
            <w:vAlign w:val="center"/>
          </w:tcPr>
          <w:p>
            <w:pPr>
              <w:pStyle w:val="34"/>
              <w:spacing w:before="162" w:line="364" w:lineRule="auto"/>
              <w:ind w:left="109" w:right="138"/>
              <w:jc w:val="center"/>
              <w:rPr>
                <w:szCs w:val="21"/>
                <w:highlight w:val="none"/>
              </w:rPr>
            </w:pPr>
            <w:r>
              <w:rPr>
                <w:rFonts w:hint="eastAsia"/>
                <w:szCs w:val="21"/>
                <w:highlight w:val="none"/>
              </w:rPr>
              <w:t>提供中小企业声明函或残疾人福利性、监狱企业声明函加盖公章</w:t>
            </w:r>
          </w:p>
        </w:tc>
        <w:tc>
          <w:tcPr>
            <w:tcW w:w="774" w:type="dxa"/>
            <w:vAlign w:val="center"/>
          </w:tcPr>
          <w:p>
            <w:pPr>
              <w:pStyle w:val="34"/>
              <w:ind w:left="104"/>
              <w:jc w:val="center"/>
              <w:rPr>
                <w:szCs w:val="21"/>
                <w:highlight w:val="none"/>
              </w:rPr>
            </w:pPr>
          </w:p>
        </w:tc>
        <w:tc>
          <w:tcPr>
            <w:tcW w:w="840" w:type="dxa"/>
            <w:gridSpan w:val="3"/>
            <w:vAlign w:val="center"/>
          </w:tcPr>
          <w:p>
            <w:pPr>
              <w:pStyle w:val="34"/>
              <w:ind w:left="104"/>
              <w:jc w:val="center"/>
              <w:rPr>
                <w:szCs w:val="21"/>
                <w:highlight w:val="none"/>
              </w:rPr>
            </w:pPr>
          </w:p>
        </w:tc>
        <w:tc>
          <w:tcPr>
            <w:tcW w:w="750" w:type="dxa"/>
            <w:vAlign w:val="center"/>
          </w:tcPr>
          <w:p>
            <w:pPr>
              <w:pStyle w:val="34"/>
              <w:ind w:left="103"/>
              <w:jc w:val="center"/>
              <w:rPr>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2" w:hRule="atLeast"/>
        </w:trPr>
        <w:tc>
          <w:tcPr>
            <w:tcW w:w="706" w:type="dxa"/>
            <w:vAlign w:val="center"/>
          </w:tcPr>
          <w:p>
            <w:pPr>
              <w:pStyle w:val="34"/>
              <w:ind w:right="166"/>
              <w:jc w:val="center"/>
              <w:rPr>
                <w:szCs w:val="21"/>
                <w:highlight w:val="none"/>
              </w:rPr>
            </w:pPr>
            <w:r>
              <w:rPr>
                <w:rFonts w:hint="eastAsia"/>
                <w:szCs w:val="21"/>
                <w:highlight w:val="none"/>
              </w:rPr>
              <w:t>14</w:t>
            </w:r>
          </w:p>
        </w:tc>
        <w:tc>
          <w:tcPr>
            <w:tcW w:w="2411" w:type="dxa"/>
            <w:vAlign w:val="center"/>
          </w:tcPr>
          <w:p>
            <w:pPr>
              <w:pStyle w:val="34"/>
              <w:spacing w:line="306" w:lineRule="exact"/>
              <w:ind w:left="105"/>
              <w:jc w:val="center"/>
              <w:rPr>
                <w:szCs w:val="21"/>
                <w:highlight w:val="none"/>
              </w:rPr>
            </w:pPr>
            <w:r>
              <w:rPr>
                <w:szCs w:val="21"/>
                <w:highlight w:val="none"/>
              </w:rPr>
              <w:t>投标保证金</w:t>
            </w:r>
          </w:p>
        </w:tc>
        <w:tc>
          <w:tcPr>
            <w:tcW w:w="3261" w:type="dxa"/>
            <w:vAlign w:val="center"/>
          </w:tcPr>
          <w:p>
            <w:pPr>
              <w:pStyle w:val="34"/>
              <w:spacing w:before="162" w:line="364" w:lineRule="auto"/>
              <w:ind w:left="109" w:right="138"/>
              <w:jc w:val="center"/>
              <w:rPr>
                <w:szCs w:val="21"/>
                <w:highlight w:val="none"/>
              </w:rPr>
            </w:pPr>
            <w:r>
              <w:rPr>
                <w:szCs w:val="21"/>
                <w:highlight w:val="none"/>
              </w:rPr>
              <w:t>符合第二章</w:t>
            </w:r>
            <w:r>
              <w:rPr>
                <w:rFonts w:hint="eastAsia"/>
                <w:szCs w:val="21"/>
                <w:highlight w:val="none"/>
              </w:rPr>
              <w:t>供应商</w:t>
            </w:r>
            <w:r>
              <w:rPr>
                <w:szCs w:val="21"/>
                <w:highlight w:val="none"/>
              </w:rPr>
              <w:t>须知</w:t>
            </w:r>
            <w:r>
              <w:rPr>
                <w:spacing w:val="-16"/>
                <w:szCs w:val="21"/>
                <w:highlight w:val="none"/>
              </w:rPr>
              <w:t xml:space="preserve">第 </w:t>
            </w:r>
            <w:r>
              <w:rPr>
                <w:rFonts w:hint="eastAsia"/>
                <w:szCs w:val="21"/>
                <w:highlight w:val="none"/>
              </w:rPr>
              <w:t>10项</w:t>
            </w:r>
            <w:r>
              <w:rPr>
                <w:spacing w:val="-15"/>
                <w:szCs w:val="21"/>
                <w:highlight w:val="none"/>
              </w:rPr>
              <w:t>要求</w:t>
            </w:r>
          </w:p>
        </w:tc>
        <w:tc>
          <w:tcPr>
            <w:tcW w:w="774" w:type="dxa"/>
            <w:vAlign w:val="center"/>
          </w:tcPr>
          <w:p>
            <w:pPr>
              <w:pStyle w:val="34"/>
              <w:ind w:left="104"/>
              <w:jc w:val="center"/>
              <w:rPr>
                <w:szCs w:val="21"/>
                <w:highlight w:val="none"/>
              </w:rPr>
            </w:pPr>
          </w:p>
        </w:tc>
        <w:tc>
          <w:tcPr>
            <w:tcW w:w="840" w:type="dxa"/>
            <w:gridSpan w:val="3"/>
            <w:vAlign w:val="center"/>
          </w:tcPr>
          <w:p>
            <w:pPr>
              <w:pStyle w:val="34"/>
              <w:ind w:left="104"/>
              <w:jc w:val="center"/>
              <w:rPr>
                <w:szCs w:val="21"/>
                <w:highlight w:val="none"/>
              </w:rPr>
            </w:pPr>
          </w:p>
        </w:tc>
        <w:tc>
          <w:tcPr>
            <w:tcW w:w="750" w:type="dxa"/>
            <w:vAlign w:val="center"/>
          </w:tcPr>
          <w:p>
            <w:pPr>
              <w:pStyle w:val="34"/>
              <w:ind w:left="103"/>
              <w:jc w:val="center"/>
              <w:rPr>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2" w:hRule="atLeast"/>
        </w:trPr>
        <w:tc>
          <w:tcPr>
            <w:tcW w:w="6378" w:type="dxa"/>
            <w:gridSpan w:val="3"/>
            <w:vAlign w:val="center"/>
          </w:tcPr>
          <w:p>
            <w:pPr>
              <w:pStyle w:val="34"/>
              <w:spacing w:before="162" w:line="364" w:lineRule="auto"/>
              <w:ind w:left="109" w:right="138"/>
              <w:jc w:val="center"/>
              <w:rPr>
                <w:spacing w:val="-16"/>
                <w:szCs w:val="21"/>
                <w:highlight w:val="none"/>
              </w:rPr>
            </w:pPr>
            <w:r>
              <w:rPr>
                <w:b/>
                <w:szCs w:val="21"/>
                <w:highlight w:val="none"/>
              </w:rPr>
              <w:t>资格审查结论</w:t>
            </w:r>
          </w:p>
        </w:tc>
        <w:tc>
          <w:tcPr>
            <w:tcW w:w="774" w:type="dxa"/>
            <w:vAlign w:val="center"/>
          </w:tcPr>
          <w:p>
            <w:pPr>
              <w:pStyle w:val="34"/>
              <w:ind w:left="104"/>
              <w:jc w:val="center"/>
              <w:rPr>
                <w:szCs w:val="21"/>
                <w:highlight w:val="none"/>
              </w:rPr>
            </w:pPr>
          </w:p>
        </w:tc>
        <w:tc>
          <w:tcPr>
            <w:tcW w:w="840" w:type="dxa"/>
            <w:gridSpan w:val="3"/>
            <w:vAlign w:val="center"/>
          </w:tcPr>
          <w:p>
            <w:pPr>
              <w:pStyle w:val="34"/>
              <w:ind w:left="104"/>
              <w:jc w:val="center"/>
              <w:rPr>
                <w:szCs w:val="21"/>
                <w:highlight w:val="none"/>
              </w:rPr>
            </w:pPr>
          </w:p>
        </w:tc>
        <w:tc>
          <w:tcPr>
            <w:tcW w:w="750" w:type="dxa"/>
            <w:vAlign w:val="center"/>
          </w:tcPr>
          <w:p>
            <w:pPr>
              <w:pStyle w:val="34"/>
              <w:ind w:left="103"/>
              <w:jc w:val="center"/>
              <w:rPr>
                <w:szCs w:val="21"/>
                <w:highlight w:val="none"/>
              </w:rPr>
            </w:pPr>
          </w:p>
        </w:tc>
      </w:tr>
    </w:tbl>
    <w:p>
      <w:pPr>
        <w:pStyle w:val="33"/>
        <w:spacing w:line="360" w:lineRule="auto"/>
        <w:ind w:left="223" w:right="272" w:firstLine="0" w:firstLineChars="0"/>
        <w:rPr>
          <w:highlight w:val="none"/>
        </w:rPr>
      </w:pPr>
      <w:r>
        <w:rPr>
          <w:highlight w:val="none"/>
        </w:rPr>
        <w:t>说明：采购人或者采购代理机构对投标人提交的资格证明材料进行审查，并在对应的审查意见一栏记录审查意见：通过资格审查标注为√；未通过资格审查标注为×。</w:t>
      </w:r>
    </w:p>
    <w:p>
      <w:pPr>
        <w:rPr>
          <w:highlight w:val="none"/>
        </w:rPr>
      </w:pPr>
      <w:r>
        <w:rPr>
          <w:highlight w:val="none"/>
        </w:rPr>
        <w:br w:type="page"/>
      </w:r>
    </w:p>
    <w:p>
      <w:pPr>
        <w:pStyle w:val="5"/>
        <w:numPr>
          <w:ilvl w:val="0"/>
          <w:numId w:val="5"/>
        </w:numPr>
        <w:rPr>
          <w:rFonts w:ascii="宋体" w:hAnsi="宋体" w:eastAsia="宋体" w:cs="宋体"/>
          <w:sz w:val="28"/>
          <w:szCs w:val="28"/>
          <w:highlight w:val="none"/>
        </w:rPr>
      </w:pPr>
      <w:r>
        <w:rPr>
          <w:rFonts w:hint="eastAsia" w:ascii="宋体" w:hAnsi="宋体" w:eastAsia="宋体" w:cs="宋体"/>
          <w:sz w:val="28"/>
          <w:szCs w:val="28"/>
          <w:highlight w:val="none"/>
        </w:rPr>
        <w:t>符合性审查</w:t>
      </w:r>
    </w:p>
    <w:tbl>
      <w:tblPr>
        <w:tblStyle w:val="26"/>
        <w:tblW w:w="8047" w:type="dxa"/>
        <w:tblInd w:w="2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02"/>
        <w:gridCol w:w="3000"/>
        <w:gridCol w:w="900"/>
        <w:gridCol w:w="990"/>
        <w:gridCol w:w="235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32" w:hRule="atLeast"/>
        </w:trPr>
        <w:tc>
          <w:tcPr>
            <w:tcW w:w="802" w:type="dxa"/>
            <w:vAlign w:val="center"/>
          </w:tcPr>
          <w:p>
            <w:pPr>
              <w:pStyle w:val="34"/>
              <w:spacing w:before="38"/>
              <w:ind w:left="200" w:right="66"/>
              <w:jc w:val="center"/>
              <w:rPr>
                <w:sz w:val="24"/>
                <w:highlight w:val="none"/>
              </w:rPr>
            </w:pPr>
            <w:r>
              <w:rPr>
                <w:sz w:val="24"/>
                <w:highlight w:val="none"/>
              </w:rPr>
              <w:t>序号</w:t>
            </w:r>
          </w:p>
        </w:tc>
        <w:tc>
          <w:tcPr>
            <w:tcW w:w="3000" w:type="dxa"/>
            <w:vAlign w:val="center"/>
          </w:tcPr>
          <w:p>
            <w:pPr>
              <w:pStyle w:val="34"/>
              <w:spacing w:before="38"/>
              <w:jc w:val="center"/>
              <w:rPr>
                <w:sz w:val="24"/>
                <w:highlight w:val="none"/>
              </w:rPr>
            </w:pPr>
            <w:r>
              <w:rPr>
                <w:sz w:val="24"/>
                <w:highlight w:val="none"/>
              </w:rPr>
              <w:t>项目内容</w:t>
            </w:r>
          </w:p>
        </w:tc>
        <w:tc>
          <w:tcPr>
            <w:tcW w:w="900" w:type="dxa"/>
            <w:vAlign w:val="center"/>
          </w:tcPr>
          <w:p>
            <w:pPr>
              <w:pStyle w:val="34"/>
              <w:spacing w:before="38"/>
              <w:ind w:right="311"/>
              <w:jc w:val="center"/>
              <w:rPr>
                <w:sz w:val="24"/>
                <w:highlight w:val="none"/>
              </w:rPr>
            </w:pPr>
            <w:r>
              <w:rPr>
                <w:sz w:val="24"/>
                <w:highlight w:val="none"/>
              </w:rPr>
              <w:t>合格</w:t>
            </w:r>
          </w:p>
        </w:tc>
        <w:tc>
          <w:tcPr>
            <w:tcW w:w="990" w:type="dxa"/>
            <w:vAlign w:val="center"/>
          </w:tcPr>
          <w:p>
            <w:pPr>
              <w:pStyle w:val="34"/>
              <w:spacing w:before="38"/>
              <w:jc w:val="center"/>
              <w:rPr>
                <w:sz w:val="24"/>
                <w:highlight w:val="none"/>
              </w:rPr>
            </w:pPr>
            <w:r>
              <w:rPr>
                <w:sz w:val="24"/>
                <w:highlight w:val="none"/>
              </w:rPr>
              <w:t>不合格</w:t>
            </w:r>
          </w:p>
        </w:tc>
        <w:tc>
          <w:tcPr>
            <w:tcW w:w="2355" w:type="dxa"/>
            <w:vAlign w:val="center"/>
          </w:tcPr>
          <w:p>
            <w:pPr>
              <w:pStyle w:val="34"/>
              <w:spacing w:before="38"/>
              <w:jc w:val="center"/>
              <w:rPr>
                <w:sz w:val="24"/>
                <w:highlight w:val="none"/>
              </w:rPr>
            </w:pPr>
            <w:r>
              <w:rPr>
                <w:sz w:val="24"/>
                <w:highlight w:val="none"/>
              </w:rPr>
              <w:t>不合格理由</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802" w:type="dxa"/>
            <w:vAlign w:val="center"/>
          </w:tcPr>
          <w:p>
            <w:pPr>
              <w:pStyle w:val="34"/>
              <w:spacing w:before="38"/>
              <w:ind w:left="195" w:right="66"/>
              <w:jc w:val="center"/>
              <w:rPr>
                <w:sz w:val="24"/>
                <w:highlight w:val="none"/>
              </w:rPr>
            </w:pPr>
            <w:r>
              <w:rPr>
                <w:sz w:val="24"/>
                <w:highlight w:val="none"/>
              </w:rPr>
              <w:t>1</w:t>
            </w:r>
          </w:p>
        </w:tc>
        <w:tc>
          <w:tcPr>
            <w:tcW w:w="3000" w:type="dxa"/>
            <w:vAlign w:val="center"/>
          </w:tcPr>
          <w:p>
            <w:pPr>
              <w:pStyle w:val="34"/>
              <w:spacing w:before="38"/>
              <w:ind w:right="326"/>
              <w:jc w:val="center"/>
              <w:rPr>
                <w:sz w:val="24"/>
                <w:highlight w:val="none"/>
              </w:rPr>
            </w:pPr>
            <w:r>
              <w:rPr>
                <w:sz w:val="24"/>
                <w:highlight w:val="none"/>
              </w:rPr>
              <w:t>投标文件的有效性</w:t>
            </w:r>
          </w:p>
        </w:tc>
        <w:tc>
          <w:tcPr>
            <w:tcW w:w="900" w:type="dxa"/>
            <w:vAlign w:val="center"/>
          </w:tcPr>
          <w:p>
            <w:pPr>
              <w:pStyle w:val="34"/>
              <w:spacing w:before="38"/>
              <w:ind w:right="311"/>
              <w:jc w:val="center"/>
              <w:rPr>
                <w:sz w:val="24"/>
                <w:highlight w:val="none"/>
              </w:rPr>
            </w:pPr>
          </w:p>
        </w:tc>
        <w:tc>
          <w:tcPr>
            <w:tcW w:w="990" w:type="dxa"/>
            <w:vAlign w:val="center"/>
          </w:tcPr>
          <w:p>
            <w:pPr>
              <w:pStyle w:val="34"/>
              <w:spacing w:before="38"/>
              <w:ind w:left="1140"/>
              <w:jc w:val="center"/>
              <w:rPr>
                <w:sz w:val="24"/>
                <w:highlight w:val="none"/>
              </w:rPr>
            </w:pPr>
          </w:p>
        </w:tc>
        <w:tc>
          <w:tcPr>
            <w:tcW w:w="2355" w:type="dxa"/>
            <w:vAlign w:val="center"/>
          </w:tcPr>
          <w:p>
            <w:pPr>
              <w:pStyle w:val="34"/>
              <w:spacing w:before="38"/>
              <w:ind w:left="1275"/>
              <w:jc w:val="center"/>
              <w:rPr>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2" w:hRule="atLeast"/>
        </w:trPr>
        <w:tc>
          <w:tcPr>
            <w:tcW w:w="802" w:type="dxa"/>
            <w:vAlign w:val="center"/>
          </w:tcPr>
          <w:p>
            <w:pPr>
              <w:pStyle w:val="34"/>
              <w:spacing w:before="33"/>
              <w:ind w:left="195" w:right="66"/>
              <w:jc w:val="center"/>
              <w:rPr>
                <w:sz w:val="24"/>
                <w:highlight w:val="none"/>
              </w:rPr>
            </w:pPr>
            <w:r>
              <w:rPr>
                <w:sz w:val="24"/>
                <w:highlight w:val="none"/>
              </w:rPr>
              <w:t>2</w:t>
            </w:r>
          </w:p>
        </w:tc>
        <w:tc>
          <w:tcPr>
            <w:tcW w:w="3000" w:type="dxa"/>
            <w:vAlign w:val="center"/>
          </w:tcPr>
          <w:p>
            <w:pPr>
              <w:pStyle w:val="34"/>
              <w:spacing w:before="33"/>
              <w:ind w:right="326"/>
              <w:jc w:val="center"/>
              <w:rPr>
                <w:sz w:val="24"/>
                <w:highlight w:val="none"/>
              </w:rPr>
            </w:pPr>
            <w:r>
              <w:rPr>
                <w:sz w:val="24"/>
                <w:highlight w:val="none"/>
              </w:rPr>
              <w:t>投标文件的完整性</w:t>
            </w:r>
          </w:p>
        </w:tc>
        <w:tc>
          <w:tcPr>
            <w:tcW w:w="900" w:type="dxa"/>
            <w:vAlign w:val="center"/>
          </w:tcPr>
          <w:p>
            <w:pPr>
              <w:pStyle w:val="34"/>
              <w:spacing w:before="33"/>
              <w:ind w:right="311"/>
              <w:jc w:val="center"/>
              <w:rPr>
                <w:sz w:val="24"/>
                <w:highlight w:val="none"/>
              </w:rPr>
            </w:pPr>
          </w:p>
        </w:tc>
        <w:tc>
          <w:tcPr>
            <w:tcW w:w="990" w:type="dxa"/>
            <w:vAlign w:val="center"/>
          </w:tcPr>
          <w:p>
            <w:pPr>
              <w:pStyle w:val="34"/>
              <w:spacing w:before="33"/>
              <w:ind w:left="1140"/>
              <w:jc w:val="center"/>
              <w:rPr>
                <w:sz w:val="24"/>
                <w:highlight w:val="none"/>
              </w:rPr>
            </w:pPr>
          </w:p>
        </w:tc>
        <w:tc>
          <w:tcPr>
            <w:tcW w:w="2355" w:type="dxa"/>
            <w:vAlign w:val="center"/>
          </w:tcPr>
          <w:p>
            <w:pPr>
              <w:pStyle w:val="34"/>
              <w:spacing w:before="33"/>
              <w:ind w:left="1275"/>
              <w:jc w:val="center"/>
              <w:rPr>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802" w:type="dxa"/>
            <w:vAlign w:val="center"/>
          </w:tcPr>
          <w:p>
            <w:pPr>
              <w:pStyle w:val="34"/>
              <w:spacing w:before="38"/>
              <w:ind w:left="195" w:right="66"/>
              <w:jc w:val="center"/>
              <w:rPr>
                <w:sz w:val="24"/>
                <w:highlight w:val="none"/>
              </w:rPr>
            </w:pPr>
            <w:r>
              <w:rPr>
                <w:sz w:val="24"/>
                <w:highlight w:val="none"/>
              </w:rPr>
              <w:t>3</w:t>
            </w:r>
          </w:p>
        </w:tc>
        <w:tc>
          <w:tcPr>
            <w:tcW w:w="3000" w:type="dxa"/>
            <w:vAlign w:val="center"/>
          </w:tcPr>
          <w:p>
            <w:pPr>
              <w:pStyle w:val="34"/>
              <w:spacing w:before="38"/>
              <w:ind w:right="326"/>
              <w:jc w:val="center"/>
              <w:rPr>
                <w:sz w:val="24"/>
                <w:highlight w:val="none"/>
              </w:rPr>
            </w:pPr>
            <w:r>
              <w:rPr>
                <w:sz w:val="24"/>
                <w:highlight w:val="none"/>
              </w:rPr>
              <w:t>对招标文件的响应程度</w:t>
            </w:r>
          </w:p>
        </w:tc>
        <w:tc>
          <w:tcPr>
            <w:tcW w:w="900" w:type="dxa"/>
            <w:vAlign w:val="center"/>
          </w:tcPr>
          <w:p>
            <w:pPr>
              <w:pStyle w:val="34"/>
              <w:spacing w:before="38"/>
              <w:ind w:right="311"/>
              <w:jc w:val="center"/>
              <w:rPr>
                <w:sz w:val="24"/>
                <w:highlight w:val="none"/>
              </w:rPr>
            </w:pPr>
          </w:p>
        </w:tc>
        <w:tc>
          <w:tcPr>
            <w:tcW w:w="990" w:type="dxa"/>
            <w:vAlign w:val="center"/>
          </w:tcPr>
          <w:p>
            <w:pPr>
              <w:pStyle w:val="34"/>
              <w:spacing w:before="38"/>
              <w:ind w:left="1140"/>
              <w:jc w:val="center"/>
              <w:rPr>
                <w:sz w:val="24"/>
                <w:highlight w:val="none"/>
              </w:rPr>
            </w:pPr>
          </w:p>
        </w:tc>
        <w:tc>
          <w:tcPr>
            <w:tcW w:w="2355" w:type="dxa"/>
            <w:vAlign w:val="center"/>
          </w:tcPr>
          <w:p>
            <w:pPr>
              <w:pStyle w:val="34"/>
              <w:spacing w:before="38"/>
              <w:ind w:left="1275"/>
              <w:jc w:val="center"/>
              <w:rPr>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802" w:type="dxa"/>
            <w:vAlign w:val="center"/>
          </w:tcPr>
          <w:p>
            <w:pPr>
              <w:pStyle w:val="34"/>
              <w:spacing w:before="38"/>
              <w:ind w:left="195" w:right="66"/>
              <w:jc w:val="center"/>
              <w:rPr>
                <w:sz w:val="24"/>
                <w:highlight w:val="none"/>
              </w:rPr>
            </w:pPr>
            <w:r>
              <w:rPr>
                <w:sz w:val="24"/>
                <w:highlight w:val="none"/>
              </w:rPr>
              <w:t>4</w:t>
            </w:r>
          </w:p>
        </w:tc>
        <w:tc>
          <w:tcPr>
            <w:tcW w:w="3000" w:type="dxa"/>
            <w:vAlign w:val="center"/>
          </w:tcPr>
          <w:p>
            <w:pPr>
              <w:pStyle w:val="34"/>
              <w:spacing w:before="38"/>
              <w:ind w:right="326"/>
              <w:jc w:val="center"/>
              <w:rPr>
                <w:sz w:val="24"/>
                <w:highlight w:val="none"/>
              </w:rPr>
            </w:pPr>
            <w:r>
              <w:rPr>
                <w:sz w:val="24"/>
                <w:highlight w:val="none"/>
              </w:rPr>
              <w:t>报价是否超过预算</w:t>
            </w:r>
          </w:p>
        </w:tc>
        <w:tc>
          <w:tcPr>
            <w:tcW w:w="900" w:type="dxa"/>
            <w:vAlign w:val="center"/>
          </w:tcPr>
          <w:p>
            <w:pPr>
              <w:pStyle w:val="34"/>
              <w:spacing w:before="38"/>
              <w:ind w:right="311"/>
              <w:jc w:val="center"/>
              <w:rPr>
                <w:sz w:val="24"/>
                <w:highlight w:val="none"/>
              </w:rPr>
            </w:pPr>
          </w:p>
        </w:tc>
        <w:tc>
          <w:tcPr>
            <w:tcW w:w="990" w:type="dxa"/>
            <w:vAlign w:val="center"/>
          </w:tcPr>
          <w:p>
            <w:pPr>
              <w:pStyle w:val="34"/>
              <w:spacing w:before="38"/>
              <w:ind w:left="1140"/>
              <w:jc w:val="center"/>
              <w:rPr>
                <w:sz w:val="24"/>
                <w:highlight w:val="none"/>
              </w:rPr>
            </w:pPr>
          </w:p>
        </w:tc>
        <w:tc>
          <w:tcPr>
            <w:tcW w:w="2355" w:type="dxa"/>
            <w:vAlign w:val="center"/>
          </w:tcPr>
          <w:p>
            <w:pPr>
              <w:pStyle w:val="34"/>
              <w:spacing w:before="38"/>
              <w:ind w:left="1275"/>
              <w:jc w:val="center"/>
              <w:rPr>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7" w:hRule="atLeast"/>
        </w:trPr>
        <w:tc>
          <w:tcPr>
            <w:tcW w:w="802" w:type="dxa"/>
            <w:vAlign w:val="center"/>
          </w:tcPr>
          <w:p>
            <w:pPr>
              <w:pStyle w:val="34"/>
              <w:spacing w:before="43"/>
              <w:ind w:left="195" w:right="66"/>
              <w:jc w:val="center"/>
              <w:rPr>
                <w:sz w:val="24"/>
                <w:highlight w:val="none"/>
              </w:rPr>
            </w:pPr>
            <w:r>
              <w:rPr>
                <w:sz w:val="24"/>
                <w:highlight w:val="none"/>
              </w:rPr>
              <w:t>5</w:t>
            </w:r>
          </w:p>
        </w:tc>
        <w:tc>
          <w:tcPr>
            <w:tcW w:w="3000" w:type="dxa"/>
            <w:vAlign w:val="center"/>
          </w:tcPr>
          <w:p>
            <w:pPr>
              <w:pStyle w:val="34"/>
              <w:spacing w:before="43"/>
              <w:jc w:val="center"/>
              <w:rPr>
                <w:sz w:val="24"/>
                <w:highlight w:val="none"/>
              </w:rPr>
            </w:pPr>
            <w:r>
              <w:rPr>
                <w:sz w:val="24"/>
                <w:highlight w:val="none"/>
              </w:rPr>
              <w:t>雷同性审查</w:t>
            </w:r>
          </w:p>
        </w:tc>
        <w:tc>
          <w:tcPr>
            <w:tcW w:w="900" w:type="dxa"/>
            <w:vAlign w:val="center"/>
          </w:tcPr>
          <w:p>
            <w:pPr>
              <w:pStyle w:val="34"/>
              <w:spacing w:before="43"/>
              <w:ind w:right="311"/>
              <w:jc w:val="center"/>
              <w:rPr>
                <w:sz w:val="24"/>
                <w:highlight w:val="none"/>
              </w:rPr>
            </w:pPr>
          </w:p>
        </w:tc>
        <w:tc>
          <w:tcPr>
            <w:tcW w:w="990" w:type="dxa"/>
            <w:vAlign w:val="center"/>
          </w:tcPr>
          <w:p>
            <w:pPr>
              <w:pStyle w:val="34"/>
              <w:spacing w:before="43"/>
              <w:ind w:left="1140"/>
              <w:jc w:val="center"/>
              <w:rPr>
                <w:sz w:val="24"/>
                <w:highlight w:val="none"/>
              </w:rPr>
            </w:pPr>
          </w:p>
        </w:tc>
        <w:tc>
          <w:tcPr>
            <w:tcW w:w="2355" w:type="dxa"/>
            <w:vAlign w:val="center"/>
          </w:tcPr>
          <w:p>
            <w:pPr>
              <w:pStyle w:val="34"/>
              <w:spacing w:before="43"/>
              <w:ind w:left="1275"/>
              <w:jc w:val="center"/>
              <w:rPr>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802" w:type="dxa"/>
            <w:vAlign w:val="center"/>
          </w:tcPr>
          <w:p>
            <w:pPr>
              <w:pStyle w:val="34"/>
              <w:spacing w:before="38"/>
              <w:ind w:left="195" w:right="66"/>
              <w:jc w:val="center"/>
              <w:rPr>
                <w:sz w:val="24"/>
                <w:highlight w:val="none"/>
              </w:rPr>
            </w:pPr>
            <w:r>
              <w:rPr>
                <w:sz w:val="24"/>
                <w:highlight w:val="none"/>
              </w:rPr>
              <w:t>6</w:t>
            </w:r>
          </w:p>
        </w:tc>
        <w:tc>
          <w:tcPr>
            <w:tcW w:w="3000" w:type="dxa"/>
            <w:vAlign w:val="center"/>
          </w:tcPr>
          <w:p>
            <w:pPr>
              <w:pStyle w:val="34"/>
              <w:spacing w:before="38"/>
              <w:ind w:right="326"/>
              <w:jc w:val="center"/>
              <w:rPr>
                <w:sz w:val="24"/>
                <w:highlight w:val="none"/>
              </w:rPr>
            </w:pPr>
            <w:r>
              <w:rPr>
                <w:sz w:val="24"/>
                <w:highlight w:val="none"/>
              </w:rPr>
              <w:t>投标单位廉政承诺书</w:t>
            </w:r>
          </w:p>
        </w:tc>
        <w:tc>
          <w:tcPr>
            <w:tcW w:w="900" w:type="dxa"/>
            <w:vAlign w:val="center"/>
          </w:tcPr>
          <w:p>
            <w:pPr>
              <w:pStyle w:val="34"/>
              <w:spacing w:before="38"/>
              <w:ind w:right="311"/>
              <w:jc w:val="center"/>
              <w:rPr>
                <w:sz w:val="24"/>
                <w:highlight w:val="none"/>
              </w:rPr>
            </w:pPr>
          </w:p>
        </w:tc>
        <w:tc>
          <w:tcPr>
            <w:tcW w:w="990" w:type="dxa"/>
            <w:vAlign w:val="center"/>
          </w:tcPr>
          <w:p>
            <w:pPr>
              <w:pStyle w:val="34"/>
              <w:spacing w:before="38"/>
              <w:ind w:left="1140"/>
              <w:jc w:val="center"/>
              <w:rPr>
                <w:sz w:val="24"/>
                <w:highlight w:val="none"/>
              </w:rPr>
            </w:pPr>
          </w:p>
        </w:tc>
        <w:tc>
          <w:tcPr>
            <w:tcW w:w="2355" w:type="dxa"/>
            <w:vAlign w:val="center"/>
          </w:tcPr>
          <w:p>
            <w:pPr>
              <w:pStyle w:val="34"/>
              <w:spacing w:before="38"/>
              <w:ind w:left="1275"/>
              <w:jc w:val="center"/>
              <w:rPr>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802" w:type="dxa"/>
            <w:vAlign w:val="center"/>
          </w:tcPr>
          <w:p>
            <w:pPr>
              <w:pStyle w:val="34"/>
              <w:spacing w:before="38"/>
              <w:ind w:left="195" w:right="66"/>
              <w:jc w:val="center"/>
              <w:rPr>
                <w:sz w:val="24"/>
                <w:highlight w:val="none"/>
              </w:rPr>
            </w:pPr>
            <w:r>
              <w:rPr>
                <w:sz w:val="24"/>
                <w:highlight w:val="none"/>
              </w:rPr>
              <w:t>7</w:t>
            </w:r>
          </w:p>
        </w:tc>
        <w:tc>
          <w:tcPr>
            <w:tcW w:w="3000" w:type="dxa"/>
            <w:vAlign w:val="center"/>
          </w:tcPr>
          <w:p>
            <w:pPr>
              <w:pStyle w:val="34"/>
              <w:spacing w:before="38"/>
              <w:ind w:right="446"/>
              <w:jc w:val="center"/>
              <w:rPr>
                <w:sz w:val="24"/>
                <w:highlight w:val="none"/>
              </w:rPr>
            </w:pPr>
            <w:r>
              <w:rPr>
                <w:sz w:val="24"/>
                <w:highlight w:val="none"/>
              </w:rPr>
              <w:t>其它实质性偏差</w:t>
            </w:r>
          </w:p>
        </w:tc>
        <w:tc>
          <w:tcPr>
            <w:tcW w:w="900" w:type="dxa"/>
            <w:vAlign w:val="center"/>
          </w:tcPr>
          <w:p>
            <w:pPr>
              <w:pStyle w:val="34"/>
              <w:spacing w:before="38"/>
              <w:ind w:right="311"/>
              <w:jc w:val="center"/>
              <w:rPr>
                <w:sz w:val="24"/>
                <w:highlight w:val="none"/>
              </w:rPr>
            </w:pPr>
          </w:p>
        </w:tc>
        <w:tc>
          <w:tcPr>
            <w:tcW w:w="990" w:type="dxa"/>
            <w:vAlign w:val="center"/>
          </w:tcPr>
          <w:p>
            <w:pPr>
              <w:pStyle w:val="34"/>
              <w:spacing w:before="38"/>
              <w:ind w:left="1140"/>
              <w:jc w:val="center"/>
              <w:rPr>
                <w:sz w:val="24"/>
                <w:highlight w:val="none"/>
              </w:rPr>
            </w:pPr>
          </w:p>
        </w:tc>
        <w:tc>
          <w:tcPr>
            <w:tcW w:w="2355" w:type="dxa"/>
            <w:vAlign w:val="center"/>
          </w:tcPr>
          <w:p>
            <w:pPr>
              <w:pStyle w:val="34"/>
              <w:spacing w:before="38"/>
              <w:ind w:left="1275"/>
              <w:jc w:val="center"/>
              <w:rPr>
                <w:sz w:val="24"/>
                <w:highlight w:val="none"/>
              </w:rPr>
            </w:pPr>
          </w:p>
        </w:tc>
      </w:tr>
    </w:tbl>
    <w:p>
      <w:pPr>
        <w:rPr>
          <w:highlight w:val="none"/>
        </w:rPr>
      </w:pPr>
    </w:p>
    <w:p>
      <w:pPr>
        <w:ind w:firstLine="420" w:firstLineChars="200"/>
        <w:rPr>
          <w:szCs w:val="24"/>
          <w:highlight w:val="none"/>
        </w:rPr>
      </w:pPr>
      <w:r>
        <w:rPr>
          <w:rFonts w:hint="eastAsia" w:cs="Arial"/>
          <w:szCs w:val="24"/>
          <w:highlight w:val="none"/>
        </w:rPr>
        <w:t>注：评标委员会根据</w:t>
      </w:r>
      <w:r>
        <w:rPr>
          <w:rFonts w:hint="eastAsia"/>
          <w:szCs w:val="24"/>
          <w:highlight w:val="none"/>
        </w:rPr>
        <w:t>招标文件第三章供应商</w:t>
      </w:r>
      <w:r>
        <w:rPr>
          <w:szCs w:val="24"/>
          <w:highlight w:val="none"/>
        </w:rPr>
        <w:t>须知第</w:t>
      </w:r>
      <w:r>
        <w:rPr>
          <w:rFonts w:hint="eastAsia"/>
          <w:szCs w:val="24"/>
          <w:highlight w:val="none"/>
        </w:rPr>
        <w:t>20.2.2</w:t>
      </w:r>
      <w:r>
        <w:rPr>
          <w:szCs w:val="24"/>
          <w:highlight w:val="none"/>
        </w:rPr>
        <w:t>的规定，</w:t>
      </w:r>
      <w:r>
        <w:rPr>
          <w:rFonts w:hint="eastAsia"/>
          <w:szCs w:val="24"/>
          <w:highlight w:val="none"/>
        </w:rPr>
        <w:t>对通过资格审查的合格投标人的</w:t>
      </w:r>
      <w:r>
        <w:rPr>
          <w:szCs w:val="24"/>
          <w:highlight w:val="none"/>
        </w:rPr>
        <w:t>投标文件</w:t>
      </w:r>
      <w:r>
        <w:rPr>
          <w:rFonts w:hint="eastAsia"/>
          <w:szCs w:val="24"/>
          <w:highlight w:val="none"/>
        </w:rPr>
        <w:t>进行符合性审查，未通过符合性审查的投标不进入详细评审。</w:t>
      </w:r>
    </w:p>
    <w:p>
      <w:pPr>
        <w:pStyle w:val="33"/>
        <w:spacing w:line="360" w:lineRule="auto"/>
        <w:ind w:left="223" w:right="272" w:firstLine="0" w:firstLineChars="0"/>
        <w:rPr>
          <w:highlight w:val="none"/>
        </w:rPr>
      </w:pPr>
    </w:p>
    <w:p>
      <w:pPr>
        <w:rPr>
          <w:rFonts w:ascii="宋体" w:hAnsi="宋体" w:cs="宋体"/>
          <w:b/>
          <w:sz w:val="28"/>
          <w:szCs w:val="28"/>
          <w:highlight w:val="none"/>
        </w:rPr>
      </w:pPr>
      <w:r>
        <w:rPr>
          <w:rFonts w:hint="eastAsia" w:ascii="宋体" w:hAnsi="宋体" w:cs="宋体"/>
          <w:b/>
          <w:sz w:val="28"/>
          <w:szCs w:val="28"/>
          <w:highlight w:val="none"/>
        </w:rPr>
        <w:br w:type="page"/>
      </w:r>
    </w:p>
    <w:p>
      <w:pPr>
        <w:spacing w:line="360" w:lineRule="auto"/>
        <w:ind w:firstLine="562" w:firstLineChars="200"/>
        <w:jc w:val="left"/>
        <w:outlineLvl w:val="1"/>
        <w:rPr>
          <w:rFonts w:ascii="宋体" w:hAnsi="宋体" w:cs="宋体"/>
          <w:b/>
          <w:sz w:val="28"/>
          <w:szCs w:val="28"/>
          <w:highlight w:val="none"/>
        </w:rPr>
      </w:pPr>
      <w:r>
        <w:rPr>
          <w:rFonts w:hint="eastAsia" w:ascii="宋体" w:hAnsi="宋体" w:cs="宋体"/>
          <w:b/>
          <w:sz w:val="28"/>
          <w:szCs w:val="28"/>
          <w:highlight w:val="none"/>
        </w:rPr>
        <w:t>三、评标方法与定标原则</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评标委员会将对确定为实质性响应招标文件要求的投标文件进行评价和比较，评标采用综合评分法。采用综合评分法的，评标结果按评审后得分由高到低顺序排列。得分相同的，按投标报价由低到高顺序排列。得分且投标报价相同的抽签决定。投标文件满足招标文件全部实质性要求，且评审得分最高的投标人为排名第一的中标候选人、得分次高的投标人为第二中标候选人，以此类推。</w:t>
      </w:r>
    </w:p>
    <w:p>
      <w:pPr>
        <w:spacing w:line="360" w:lineRule="auto"/>
        <w:ind w:firstLine="562" w:firstLineChars="200"/>
        <w:jc w:val="left"/>
        <w:outlineLvl w:val="1"/>
        <w:rPr>
          <w:rFonts w:ascii="宋体" w:hAnsi="宋体" w:cs="宋体"/>
          <w:b/>
          <w:sz w:val="28"/>
          <w:szCs w:val="28"/>
          <w:highlight w:val="none"/>
        </w:rPr>
      </w:pPr>
      <w:r>
        <w:rPr>
          <w:rFonts w:hint="eastAsia" w:ascii="宋体" w:hAnsi="宋体" w:cs="宋体"/>
          <w:b/>
          <w:sz w:val="28"/>
          <w:szCs w:val="28"/>
          <w:highlight w:val="none"/>
        </w:rPr>
        <w:t>四、评标标准</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本项目采用综合评分法确定中标候选人。评标委员会将按下列评分办法和标准进行评分，总分值为 100 分。</w:t>
      </w:r>
    </w:p>
    <w:p>
      <w:pPr>
        <w:spacing w:before="210"/>
        <w:ind w:right="271" w:firstLine="562" w:firstLineChars="200"/>
        <w:jc w:val="center"/>
        <w:rPr>
          <w:rFonts w:ascii="宋体" w:hAnsi="宋体" w:cs="宋体"/>
          <w:b/>
          <w:bCs/>
          <w:sz w:val="28"/>
          <w:szCs w:val="28"/>
          <w:highlight w:val="none"/>
        </w:rPr>
      </w:pPr>
      <w:r>
        <w:rPr>
          <w:rFonts w:hint="eastAsia" w:ascii="宋体" w:hAnsi="宋体" w:cs="宋体"/>
          <w:b/>
          <w:bCs/>
          <w:sz w:val="28"/>
          <w:szCs w:val="28"/>
          <w:highlight w:val="none"/>
        </w:rPr>
        <w:t>评标办法</w:t>
      </w:r>
    </w:p>
    <w:tbl>
      <w:tblPr>
        <w:tblStyle w:val="26"/>
        <w:tblW w:w="9066" w:type="dxa"/>
        <w:tblInd w:w="-2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900"/>
        <w:gridCol w:w="6166"/>
        <w:gridCol w:w="100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0" w:hRule="atLeast"/>
        </w:trPr>
        <w:tc>
          <w:tcPr>
            <w:tcW w:w="1900" w:type="dxa"/>
          </w:tcPr>
          <w:p>
            <w:pPr>
              <w:pStyle w:val="34"/>
              <w:jc w:val="center"/>
              <w:rPr>
                <w:b/>
                <w:bCs/>
                <w:sz w:val="24"/>
                <w:szCs w:val="24"/>
                <w:highlight w:val="none"/>
              </w:rPr>
            </w:pPr>
            <w:r>
              <w:rPr>
                <w:rFonts w:hint="eastAsia"/>
                <w:b/>
                <w:bCs/>
                <w:sz w:val="24"/>
                <w:szCs w:val="24"/>
                <w:highlight w:val="none"/>
              </w:rPr>
              <w:t>类别</w:t>
            </w:r>
          </w:p>
        </w:tc>
        <w:tc>
          <w:tcPr>
            <w:tcW w:w="6166" w:type="dxa"/>
          </w:tcPr>
          <w:p>
            <w:pPr>
              <w:pStyle w:val="34"/>
              <w:jc w:val="center"/>
              <w:rPr>
                <w:b/>
                <w:bCs/>
                <w:sz w:val="24"/>
                <w:szCs w:val="24"/>
                <w:highlight w:val="none"/>
              </w:rPr>
            </w:pPr>
            <w:r>
              <w:rPr>
                <w:rFonts w:hint="eastAsia"/>
                <w:b/>
                <w:bCs/>
                <w:sz w:val="24"/>
                <w:szCs w:val="24"/>
                <w:highlight w:val="none"/>
              </w:rPr>
              <w:t>评分依据</w:t>
            </w:r>
          </w:p>
        </w:tc>
        <w:tc>
          <w:tcPr>
            <w:tcW w:w="1000" w:type="dxa"/>
          </w:tcPr>
          <w:p>
            <w:pPr>
              <w:pStyle w:val="34"/>
              <w:spacing w:before="153"/>
              <w:ind w:left="114" w:right="101"/>
              <w:jc w:val="center"/>
              <w:rPr>
                <w:b/>
                <w:sz w:val="24"/>
                <w:szCs w:val="24"/>
                <w:highlight w:val="none"/>
              </w:rPr>
            </w:pPr>
            <w:r>
              <w:rPr>
                <w:rFonts w:hint="eastAsia"/>
                <w:b/>
                <w:w w:val="105"/>
                <w:sz w:val="24"/>
                <w:szCs w:val="24"/>
                <w:highlight w:val="none"/>
              </w:rPr>
              <w:t>分值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45" w:hRule="atLeast"/>
        </w:trPr>
        <w:tc>
          <w:tcPr>
            <w:tcW w:w="1900" w:type="dxa"/>
            <w:vAlign w:val="center"/>
          </w:tcPr>
          <w:p>
            <w:pPr>
              <w:pStyle w:val="34"/>
              <w:spacing w:before="1"/>
              <w:ind w:right="173" w:firstLine="240" w:firstLineChars="100"/>
              <w:jc w:val="left"/>
              <w:rPr>
                <w:sz w:val="24"/>
                <w:szCs w:val="24"/>
                <w:highlight w:val="none"/>
              </w:rPr>
            </w:pPr>
            <w:r>
              <w:rPr>
                <w:rFonts w:hint="eastAsia"/>
                <w:sz w:val="24"/>
                <w:szCs w:val="24"/>
                <w:highlight w:val="none"/>
              </w:rPr>
              <w:t>价格（3</w:t>
            </w:r>
            <w:r>
              <w:rPr>
                <w:rFonts w:hint="eastAsia"/>
                <w:sz w:val="24"/>
                <w:szCs w:val="24"/>
                <w:highlight w:val="none"/>
                <w:lang w:val="en-US" w:eastAsia="zh-CN"/>
              </w:rPr>
              <w:t>2</w:t>
            </w:r>
            <w:r>
              <w:rPr>
                <w:rFonts w:hint="eastAsia"/>
                <w:sz w:val="24"/>
                <w:szCs w:val="24"/>
                <w:highlight w:val="none"/>
              </w:rPr>
              <w:t>分）</w:t>
            </w:r>
          </w:p>
        </w:tc>
        <w:tc>
          <w:tcPr>
            <w:tcW w:w="6166" w:type="dxa"/>
            <w:vAlign w:val="center"/>
          </w:tcPr>
          <w:p>
            <w:pPr>
              <w:pStyle w:val="34"/>
              <w:spacing w:before="117"/>
              <w:ind w:left="100" w:right="87"/>
              <w:jc w:val="left"/>
              <w:rPr>
                <w:sz w:val="24"/>
                <w:szCs w:val="24"/>
                <w:highlight w:val="none"/>
              </w:rPr>
            </w:pPr>
            <w:r>
              <w:rPr>
                <w:rFonts w:hint="eastAsia"/>
                <w:sz w:val="24"/>
                <w:szCs w:val="24"/>
                <w:highlight w:val="none"/>
              </w:rPr>
              <w:t>采用低价优先法计算，即满足招标文件要求且投标价格低的投标报价为评标基准价，其价格分为满分。其他投标人的价格分按照下列公式计算（小数点保留两位）：投标报价得分=(评标基准价／投标报价)×3</w:t>
            </w:r>
            <w:r>
              <w:rPr>
                <w:rFonts w:hint="eastAsia"/>
                <w:sz w:val="24"/>
                <w:szCs w:val="24"/>
                <w:highlight w:val="none"/>
                <w:lang w:val="en-US" w:eastAsia="zh-CN"/>
              </w:rPr>
              <w:t>2</w:t>
            </w:r>
            <w:r>
              <w:rPr>
                <w:rFonts w:hint="eastAsia"/>
                <w:sz w:val="24"/>
                <w:szCs w:val="24"/>
                <w:highlight w:val="none"/>
              </w:rPr>
              <w:t>分</w:t>
            </w:r>
          </w:p>
        </w:tc>
        <w:tc>
          <w:tcPr>
            <w:tcW w:w="1000" w:type="dxa"/>
            <w:vAlign w:val="center"/>
          </w:tcPr>
          <w:p>
            <w:pPr>
              <w:pStyle w:val="34"/>
              <w:spacing w:before="1"/>
              <w:ind w:right="101" w:firstLine="480" w:firstLineChars="200"/>
              <w:jc w:val="left"/>
              <w:rPr>
                <w:rFonts w:hint="eastAsia" w:eastAsia="宋体"/>
                <w:sz w:val="24"/>
                <w:szCs w:val="24"/>
                <w:highlight w:val="none"/>
                <w:lang w:eastAsia="zh-CN"/>
              </w:rPr>
            </w:pPr>
            <w:r>
              <w:rPr>
                <w:rFonts w:hint="eastAsia"/>
                <w:sz w:val="24"/>
                <w:szCs w:val="24"/>
                <w:highlight w:val="none"/>
              </w:rPr>
              <w:t>3</w:t>
            </w:r>
            <w:r>
              <w:rPr>
                <w:rFonts w:hint="eastAsia"/>
                <w:sz w:val="24"/>
                <w:szCs w:val="24"/>
                <w:highlight w:val="none"/>
                <w:lang w:val="en-US" w:eastAsia="zh-CN"/>
              </w:rPr>
              <w:t>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40" w:hRule="atLeast"/>
        </w:trPr>
        <w:tc>
          <w:tcPr>
            <w:tcW w:w="1900" w:type="dxa"/>
            <w:vAlign w:val="center"/>
          </w:tcPr>
          <w:p>
            <w:pPr>
              <w:pStyle w:val="34"/>
              <w:spacing w:before="117"/>
              <w:ind w:right="87"/>
              <w:jc w:val="center"/>
              <w:rPr>
                <w:sz w:val="24"/>
                <w:szCs w:val="24"/>
                <w:highlight w:val="none"/>
              </w:rPr>
            </w:pPr>
            <w:r>
              <w:rPr>
                <w:rFonts w:hint="eastAsia"/>
                <w:sz w:val="24"/>
                <w:szCs w:val="24"/>
                <w:highlight w:val="none"/>
              </w:rPr>
              <w:t>企业业绩（8分）</w:t>
            </w:r>
          </w:p>
        </w:tc>
        <w:tc>
          <w:tcPr>
            <w:tcW w:w="6166" w:type="dxa"/>
            <w:vAlign w:val="center"/>
          </w:tcPr>
          <w:p>
            <w:pPr>
              <w:pStyle w:val="34"/>
              <w:spacing w:before="117"/>
              <w:ind w:left="100" w:right="87"/>
              <w:jc w:val="left"/>
              <w:rPr>
                <w:sz w:val="24"/>
                <w:szCs w:val="24"/>
                <w:highlight w:val="none"/>
              </w:rPr>
            </w:pPr>
            <w:r>
              <w:rPr>
                <w:rFonts w:hint="eastAsia"/>
                <w:sz w:val="24"/>
                <w:szCs w:val="24"/>
                <w:highlight w:val="none"/>
              </w:rPr>
              <w:t>投标人自2019年05月01日（含）以来承担过类似工程业绩的得2分，满分8分（时间、金额以合同为准，须提供</w:t>
            </w:r>
            <w:r>
              <w:rPr>
                <w:rFonts w:hint="eastAsia"/>
                <w:sz w:val="24"/>
                <w:szCs w:val="24"/>
                <w:highlight w:val="none"/>
                <w:lang w:val="de-DE"/>
              </w:rPr>
              <w:t>中标通知书、合同、竣工验收证明</w:t>
            </w:r>
            <w:r>
              <w:rPr>
                <w:rFonts w:hint="eastAsia"/>
                <w:sz w:val="24"/>
                <w:szCs w:val="24"/>
                <w:highlight w:val="none"/>
                <w:lang w:val="de-DE" w:eastAsia="zh-CN"/>
              </w:rPr>
              <w:t>）</w:t>
            </w:r>
            <w:r>
              <w:rPr>
                <w:rFonts w:hint="eastAsia"/>
                <w:sz w:val="24"/>
                <w:szCs w:val="24"/>
                <w:highlight w:val="none"/>
              </w:rPr>
              <w:t>，</w:t>
            </w:r>
            <w:r>
              <w:rPr>
                <w:rFonts w:hint="eastAsia"/>
                <w:b/>
                <w:bCs/>
                <w:sz w:val="24"/>
                <w:szCs w:val="24"/>
                <w:highlight w:val="none"/>
                <w:lang w:eastAsia="zh-CN"/>
              </w:rPr>
              <w:t>业绩证明材料原件备查</w:t>
            </w:r>
            <w:r>
              <w:rPr>
                <w:rFonts w:hint="eastAsia"/>
                <w:sz w:val="24"/>
                <w:szCs w:val="24"/>
                <w:highlight w:val="none"/>
                <w:lang w:eastAsia="zh-CN"/>
              </w:rPr>
              <w:t>，</w:t>
            </w:r>
            <w:r>
              <w:rPr>
                <w:rFonts w:hint="eastAsia"/>
                <w:sz w:val="24"/>
                <w:szCs w:val="24"/>
                <w:highlight w:val="none"/>
              </w:rPr>
              <w:t>企业业绩和项目经理业绩不可兼得。</w:t>
            </w:r>
          </w:p>
        </w:tc>
        <w:tc>
          <w:tcPr>
            <w:tcW w:w="1000" w:type="dxa"/>
            <w:vMerge w:val="restart"/>
            <w:vAlign w:val="center"/>
          </w:tcPr>
          <w:p>
            <w:pPr>
              <w:pStyle w:val="34"/>
              <w:ind w:right="101" w:firstLine="480" w:firstLineChars="200"/>
              <w:jc w:val="left"/>
              <w:rPr>
                <w:rFonts w:hint="default" w:eastAsia="宋体"/>
                <w:sz w:val="24"/>
                <w:szCs w:val="24"/>
                <w:highlight w:val="none"/>
                <w:lang w:val="en-US" w:eastAsia="zh-CN"/>
              </w:rPr>
            </w:pPr>
            <w:r>
              <w:rPr>
                <w:rFonts w:hint="eastAsia"/>
                <w:sz w:val="24"/>
                <w:szCs w:val="24"/>
                <w:highlight w:val="none"/>
                <w:lang w:val="en-US" w:eastAsia="zh-CN"/>
              </w:rPr>
              <w:t>14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40" w:hRule="atLeast"/>
        </w:trPr>
        <w:tc>
          <w:tcPr>
            <w:tcW w:w="1900" w:type="dxa"/>
            <w:vAlign w:val="center"/>
          </w:tcPr>
          <w:p>
            <w:pPr>
              <w:pStyle w:val="34"/>
              <w:spacing w:before="117"/>
              <w:ind w:left="100" w:right="87"/>
              <w:jc w:val="left"/>
              <w:rPr>
                <w:sz w:val="24"/>
                <w:szCs w:val="24"/>
                <w:highlight w:val="none"/>
              </w:rPr>
            </w:pPr>
            <w:r>
              <w:rPr>
                <w:rFonts w:hint="eastAsia"/>
                <w:sz w:val="24"/>
                <w:szCs w:val="24"/>
                <w:highlight w:val="none"/>
              </w:rPr>
              <w:t>项目</w:t>
            </w:r>
            <w:r>
              <w:rPr>
                <w:rFonts w:hint="eastAsia"/>
                <w:sz w:val="24"/>
                <w:szCs w:val="24"/>
                <w:highlight w:val="none"/>
                <w:lang w:eastAsia="zh-CN"/>
              </w:rPr>
              <w:t>经理</w:t>
            </w:r>
            <w:r>
              <w:rPr>
                <w:rFonts w:hint="eastAsia"/>
                <w:sz w:val="24"/>
                <w:szCs w:val="24"/>
                <w:highlight w:val="none"/>
              </w:rPr>
              <w:t>业绩（</w:t>
            </w:r>
            <w:r>
              <w:rPr>
                <w:rFonts w:hint="eastAsia"/>
                <w:sz w:val="24"/>
                <w:szCs w:val="24"/>
                <w:highlight w:val="none"/>
                <w:lang w:val="en-US" w:eastAsia="zh-CN"/>
              </w:rPr>
              <w:t>6</w:t>
            </w:r>
            <w:r>
              <w:rPr>
                <w:rFonts w:hint="eastAsia"/>
                <w:sz w:val="24"/>
                <w:szCs w:val="24"/>
                <w:highlight w:val="none"/>
              </w:rPr>
              <w:t>分）</w:t>
            </w:r>
          </w:p>
        </w:tc>
        <w:tc>
          <w:tcPr>
            <w:tcW w:w="6166" w:type="dxa"/>
            <w:vAlign w:val="center"/>
          </w:tcPr>
          <w:p>
            <w:pPr>
              <w:pStyle w:val="34"/>
              <w:spacing w:before="117"/>
              <w:ind w:left="100" w:right="87"/>
              <w:jc w:val="left"/>
              <w:rPr>
                <w:sz w:val="24"/>
                <w:szCs w:val="24"/>
                <w:highlight w:val="none"/>
              </w:rPr>
            </w:pPr>
            <w:r>
              <w:rPr>
                <w:rFonts w:hint="eastAsia"/>
                <w:sz w:val="24"/>
                <w:szCs w:val="24"/>
                <w:highlight w:val="none"/>
              </w:rPr>
              <w:t>投标人拟派项目经理自2019年05月01日（含）以来承担过类似工程业绩的得</w:t>
            </w:r>
            <w:r>
              <w:rPr>
                <w:rFonts w:hint="eastAsia"/>
                <w:sz w:val="24"/>
                <w:szCs w:val="24"/>
                <w:highlight w:val="none"/>
                <w:lang w:val="en-US" w:eastAsia="zh-CN"/>
              </w:rPr>
              <w:t>3</w:t>
            </w:r>
            <w:r>
              <w:rPr>
                <w:rFonts w:hint="eastAsia"/>
                <w:sz w:val="24"/>
                <w:szCs w:val="24"/>
                <w:highlight w:val="none"/>
              </w:rPr>
              <w:t>分，满分</w:t>
            </w:r>
            <w:r>
              <w:rPr>
                <w:rFonts w:hint="eastAsia"/>
                <w:sz w:val="24"/>
                <w:szCs w:val="24"/>
                <w:highlight w:val="none"/>
                <w:lang w:val="en-US" w:eastAsia="zh-CN"/>
              </w:rPr>
              <w:t>6</w:t>
            </w:r>
            <w:r>
              <w:rPr>
                <w:rFonts w:hint="eastAsia"/>
                <w:sz w:val="24"/>
                <w:szCs w:val="24"/>
                <w:highlight w:val="none"/>
              </w:rPr>
              <w:t>分（时间、金额以合同为准，须提供</w:t>
            </w:r>
            <w:r>
              <w:rPr>
                <w:rFonts w:hint="eastAsia"/>
                <w:sz w:val="24"/>
                <w:szCs w:val="24"/>
                <w:highlight w:val="none"/>
                <w:lang w:val="de-DE"/>
              </w:rPr>
              <w:t>中标通知书、合同、竣工验收证明</w:t>
            </w:r>
            <w:r>
              <w:rPr>
                <w:rFonts w:hint="eastAsia"/>
                <w:sz w:val="24"/>
                <w:szCs w:val="24"/>
                <w:highlight w:val="none"/>
                <w:lang w:val="de-DE" w:eastAsia="zh-CN"/>
              </w:rPr>
              <w:t>）</w:t>
            </w:r>
            <w:r>
              <w:rPr>
                <w:rFonts w:hint="eastAsia"/>
                <w:sz w:val="24"/>
                <w:szCs w:val="24"/>
                <w:highlight w:val="none"/>
              </w:rPr>
              <w:t>，</w:t>
            </w:r>
            <w:r>
              <w:rPr>
                <w:rFonts w:hint="eastAsia"/>
                <w:b/>
                <w:bCs/>
                <w:sz w:val="24"/>
                <w:szCs w:val="24"/>
                <w:highlight w:val="none"/>
                <w:lang w:eastAsia="zh-CN"/>
              </w:rPr>
              <w:t>业绩证明材料原件备查</w:t>
            </w:r>
            <w:r>
              <w:rPr>
                <w:rFonts w:hint="eastAsia"/>
                <w:sz w:val="24"/>
                <w:szCs w:val="24"/>
                <w:highlight w:val="none"/>
              </w:rPr>
              <w:t>，企业业绩和项目经理业绩不可兼得。</w:t>
            </w:r>
          </w:p>
        </w:tc>
        <w:tc>
          <w:tcPr>
            <w:tcW w:w="1000" w:type="dxa"/>
            <w:vMerge w:val="continue"/>
            <w:vAlign w:val="center"/>
          </w:tcPr>
          <w:p>
            <w:pPr>
              <w:pStyle w:val="34"/>
              <w:ind w:left="110" w:right="101"/>
              <w:jc w:val="center"/>
              <w:rPr>
                <w:sz w:val="24"/>
                <w:szCs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11" w:hRule="atLeast"/>
        </w:trPr>
        <w:tc>
          <w:tcPr>
            <w:tcW w:w="1900" w:type="dxa"/>
            <w:vMerge w:val="restart"/>
            <w:vAlign w:val="center"/>
          </w:tcPr>
          <w:p>
            <w:pPr>
              <w:pStyle w:val="34"/>
              <w:spacing w:before="117"/>
              <w:ind w:left="100" w:right="87"/>
              <w:jc w:val="left"/>
              <w:rPr>
                <w:sz w:val="24"/>
                <w:szCs w:val="24"/>
                <w:highlight w:val="none"/>
              </w:rPr>
            </w:pPr>
          </w:p>
          <w:p>
            <w:pPr>
              <w:pStyle w:val="34"/>
              <w:spacing w:before="117"/>
              <w:ind w:right="87"/>
              <w:jc w:val="left"/>
              <w:rPr>
                <w:sz w:val="24"/>
                <w:szCs w:val="24"/>
                <w:highlight w:val="none"/>
              </w:rPr>
            </w:pPr>
            <w:r>
              <w:rPr>
                <w:rFonts w:hint="eastAsia"/>
                <w:sz w:val="24"/>
                <w:szCs w:val="24"/>
                <w:highlight w:val="none"/>
              </w:rPr>
              <w:t>技术方案（48分）</w:t>
            </w:r>
          </w:p>
        </w:tc>
        <w:tc>
          <w:tcPr>
            <w:tcW w:w="6166" w:type="dxa"/>
            <w:vAlign w:val="center"/>
          </w:tcPr>
          <w:p>
            <w:pPr>
              <w:pStyle w:val="34"/>
              <w:spacing w:before="117"/>
              <w:ind w:left="100" w:right="87"/>
              <w:jc w:val="left"/>
              <w:rPr>
                <w:sz w:val="24"/>
                <w:szCs w:val="24"/>
                <w:highlight w:val="none"/>
              </w:rPr>
            </w:pPr>
            <w:r>
              <w:rPr>
                <w:rFonts w:hint="eastAsia"/>
                <w:sz w:val="24"/>
                <w:szCs w:val="24"/>
                <w:highlight w:val="none"/>
              </w:rPr>
              <w:t>投标人作出施工组织总体设想，根据项目实施方案的前瞻性、创新性、科学性、合理性和可操作性，思路清晰、定位准确、理解透彻、全面者得 8 分，思路基本清楚者得 6 分，方案简单、粗糙者得 4 分。未提供相关内容不得分。</w:t>
            </w:r>
          </w:p>
        </w:tc>
        <w:tc>
          <w:tcPr>
            <w:tcW w:w="1000" w:type="dxa"/>
            <w:vAlign w:val="center"/>
          </w:tcPr>
          <w:p>
            <w:pPr>
              <w:pStyle w:val="34"/>
              <w:spacing w:before="1"/>
              <w:ind w:left="110" w:right="101"/>
              <w:jc w:val="center"/>
              <w:rPr>
                <w:sz w:val="24"/>
                <w:szCs w:val="24"/>
                <w:highlight w:val="none"/>
              </w:rPr>
            </w:pPr>
            <w:r>
              <w:rPr>
                <w:rFonts w:hint="eastAsia"/>
                <w:sz w:val="24"/>
                <w:szCs w:val="24"/>
                <w:highlight w:val="none"/>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11" w:hRule="atLeast"/>
        </w:trPr>
        <w:tc>
          <w:tcPr>
            <w:tcW w:w="1900" w:type="dxa"/>
            <w:vMerge w:val="continue"/>
            <w:vAlign w:val="center"/>
          </w:tcPr>
          <w:p>
            <w:pPr>
              <w:pStyle w:val="34"/>
              <w:spacing w:before="117"/>
              <w:ind w:left="100" w:right="87" w:firstLine="240" w:firstLineChars="100"/>
              <w:jc w:val="left"/>
              <w:rPr>
                <w:sz w:val="24"/>
                <w:szCs w:val="24"/>
                <w:highlight w:val="none"/>
              </w:rPr>
            </w:pPr>
          </w:p>
        </w:tc>
        <w:tc>
          <w:tcPr>
            <w:tcW w:w="6166" w:type="dxa"/>
            <w:vAlign w:val="center"/>
          </w:tcPr>
          <w:p>
            <w:pPr>
              <w:pStyle w:val="34"/>
              <w:spacing w:before="117"/>
              <w:ind w:left="100" w:right="87"/>
              <w:jc w:val="left"/>
              <w:rPr>
                <w:sz w:val="24"/>
                <w:szCs w:val="24"/>
                <w:highlight w:val="none"/>
              </w:rPr>
            </w:pPr>
            <w:r>
              <w:rPr>
                <w:rFonts w:hint="eastAsia"/>
                <w:sz w:val="24"/>
                <w:szCs w:val="24"/>
                <w:highlight w:val="none"/>
              </w:rPr>
              <w:t>投标单位针对本项目的重点难点进行系统分析，并给出重点难点解决对策：全面者得 8 分，基本符合得 6 分，简单、粗糙者得 4 分。未提供相关内容不得分。</w:t>
            </w:r>
          </w:p>
        </w:tc>
        <w:tc>
          <w:tcPr>
            <w:tcW w:w="1000" w:type="dxa"/>
            <w:vAlign w:val="center"/>
          </w:tcPr>
          <w:p>
            <w:pPr>
              <w:pStyle w:val="34"/>
              <w:spacing w:before="1"/>
              <w:ind w:left="110" w:right="101"/>
              <w:jc w:val="center"/>
              <w:rPr>
                <w:sz w:val="24"/>
                <w:szCs w:val="24"/>
                <w:highlight w:val="none"/>
              </w:rPr>
            </w:pPr>
            <w:r>
              <w:rPr>
                <w:rFonts w:hint="eastAsia"/>
                <w:sz w:val="24"/>
                <w:szCs w:val="24"/>
                <w:highlight w:val="none"/>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11" w:hRule="atLeast"/>
        </w:trPr>
        <w:tc>
          <w:tcPr>
            <w:tcW w:w="1900" w:type="dxa"/>
            <w:vMerge w:val="continue"/>
            <w:vAlign w:val="center"/>
          </w:tcPr>
          <w:p>
            <w:pPr>
              <w:pStyle w:val="34"/>
              <w:spacing w:before="117"/>
              <w:ind w:left="100" w:right="87" w:firstLine="240" w:firstLineChars="100"/>
              <w:jc w:val="left"/>
              <w:rPr>
                <w:sz w:val="24"/>
                <w:szCs w:val="24"/>
                <w:highlight w:val="none"/>
              </w:rPr>
            </w:pPr>
          </w:p>
        </w:tc>
        <w:tc>
          <w:tcPr>
            <w:tcW w:w="6166" w:type="dxa"/>
            <w:vAlign w:val="center"/>
          </w:tcPr>
          <w:p>
            <w:pPr>
              <w:pStyle w:val="34"/>
              <w:spacing w:before="117"/>
              <w:ind w:left="100" w:right="87"/>
              <w:jc w:val="left"/>
              <w:rPr>
                <w:sz w:val="24"/>
                <w:szCs w:val="24"/>
                <w:highlight w:val="none"/>
              </w:rPr>
            </w:pPr>
            <w:r>
              <w:rPr>
                <w:rFonts w:hint="eastAsia"/>
                <w:sz w:val="24"/>
                <w:szCs w:val="24"/>
                <w:highlight w:val="none"/>
              </w:rPr>
              <w:t>投标人对本项目编制进度计划，进度计划编制合理、先进、有序者得 8 分，编制基本符合者得 6 分，编制条理不清、混乱者得 4 分。未提供相关内容不得分。</w:t>
            </w:r>
          </w:p>
        </w:tc>
        <w:tc>
          <w:tcPr>
            <w:tcW w:w="1000" w:type="dxa"/>
            <w:vAlign w:val="center"/>
          </w:tcPr>
          <w:p>
            <w:pPr>
              <w:pStyle w:val="34"/>
              <w:spacing w:before="1"/>
              <w:ind w:left="110" w:right="101"/>
              <w:jc w:val="center"/>
              <w:rPr>
                <w:sz w:val="24"/>
                <w:szCs w:val="24"/>
                <w:highlight w:val="none"/>
              </w:rPr>
            </w:pPr>
            <w:r>
              <w:rPr>
                <w:rFonts w:hint="eastAsia"/>
                <w:sz w:val="24"/>
                <w:szCs w:val="24"/>
                <w:highlight w:val="none"/>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11" w:hRule="atLeast"/>
        </w:trPr>
        <w:tc>
          <w:tcPr>
            <w:tcW w:w="1900" w:type="dxa"/>
            <w:vMerge w:val="continue"/>
            <w:vAlign w:val="center"/>
          </w:tcPr>
          <w:p>
            <w:pPr>
              <w:pStyle w:val="34"/>
              <w:spacing w:before="117"/>
              <w:ind w:left="100" w:right="87" w:firstLine="240" w:firstLineChars="100"/>
              <w:jc w:val="left"/>
              <w:rPr>
                <w:sz w:val="24"/>
                <w:szCs w:val="24"/>
                <w:highlight w:val="none"/>
              </w:rPr>
            </w:pPr>
          </w:p>
        </w:tc>
        <w:tc>
          <w:tcPr>
            <w:tcW w:w="6166" w:type="dxa"/>
            <w:vAlign w:val="center"/>
          </w:tcPr>
          <w:p>
            <w:pPr>
              <w:pStyle w:val="34"/>
              <w:spacing w:before="117"/>
              <w:ind w:left="100" w:right="87"/>
              <w:jc w:val="left"/>
              <w:rPr>
                <w:sz w:val="24"/>
                <w:szCs w:val="24"/>
                <w:highlight w:val="none"/>
              </w:rPr>
            </w:pPr>
            <w:r>
              <w:rPr>
                <w:rFonts w:hint="eastAsia"/>
                <w:sz w:val="24"/>
                <w:szCs w:val="24"/>
                <w:highlight w:val="none"/>
              </w:rPr>
              <w:t>投标人对本项目提供确保本项目质量的具体措施，保证措施具体、明确、得当者得 8 分，措施基本满足者得 6 分；措施模糊、简单者得 4 分。未提供相关内容不得分。</w:t>
            </w:r>
          </w:p>
        </w:tc>
        <w:tc>
          <w:tcPr>
            <w:tcW w:w="1000" w:type="dxa"/>
            <w:vAlign w:val="center"/>
          </w:tcPr>
          <w:p>
            <w:pPr>
              <w:pStyle w:val="34"/>
              <w:spacing w:before="1"/>
              <w:ind w:left="110" w:right="101"/>
              <w:jc w:val="center"/>
              <w:rPr>
                <w:sz w:val="24"/>
                <w:szCs w:val="24"/>
                <w:highlight w:val="none"/>
              </w:rPr>
            </w:pPr>
            <w:r>
              <w:rPr>
                <w:rFonts w:hint="eastAsia"/>
                <w:sz w:val="24"/>
                <w:szCs w:val="24"/>
                <w:highlight w:val="none"/>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11" w:hRule="atLeast"/>
        </w:trPr>
        <w:tc>
          <w:tcPr>
            <w:tcW w:w="1900" w:type="dxa"/>
            <w:vMerge w:val="continue"/>
            <w:vAlign w:val="center"/>
          </w:tcPr>
          <w:p>
            <w:pPr>
              <w:pStyle w:val="34"/>
              <w:spacing w:before="117"/>
              <w:ind w:left="100" w:right="87" w:firstLine="240" w:firstLineChars="100"/>
              <w:jc w:val="left"/>
              <w:rPr>
                <w:sz w:val="24"/>
                <w:szCs w:val="24"/>
                <w:highlight w:val="none"/>
              </w:rPr>
            </w:pPr>
          </w:p>
        </w:tc>
        <w:tc>
          <w:tcPr>
            <w:tcW w:w="6166" w:type="dxa"/>
            <w:vAlign w:val="center"/>
          </w:tcPr>
          <w:p>
            <w:pPr>
              <w:pStyle w:val="34"/>
              <w:spacing w:before="117"/>
              <w:ind w:left="100" w:right="87"/>
              <w:jc w:val="left"/>
              <w:rPr>
                <w:sz w:val="24"/>
                <w:szCs w:val="24"/>
                <w:highlight w:val="none"/>
              </w:rPr>
            </w:pPr>
            <w:r>
              <w:rPr>
                <w:rFonts w:hint="eastAsia"/>
                <w:sz w:val="24"/>
                <w:szCs w:val="24"/>
                <w:highlight w:val="none"/>
              </w:rPr>
              <w:t>投标人提供的针对本项目现场管理的方案，全面者得 8 分，基本符合者得 6 分，方案简单、粗糙者得 4 分。未提供相关内容不得分。</w:t>
            </w:r>
          </w:p>
        </w:tc>
        <w:tc>
          <w:tcPr>
            <w:tcW w:w="1000" w:type="dxa"/>
            <w:vAlign w:val="center"/>
          </w:tcPr>
          <w:p>
            <w:pPr>
              <w:pStyle w:val="34"/>
              <w:spacing w:before="1"/>
              <w:ind w:left="110" w:right="101"/>
              <w:jc w:val="center"/>
              <w:rPr>
                <w:sz w:val="24"/>
                <w:szCs w:val="24"/>
                <w:highlight w:val="none"/>
              </w:rPr>
            </w:pPr>
            <w:r>
              <w:rPr>
                <w:rFonts w:hint="eastAsia"/>
                <w:sz w:val="24"/>
                <w:szCs w:val="24"/>
                <w:highlight w:val="none"/>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11" w:hRule="atLeast"/>
        </w:trPr>
        <w:tc>
          <w:tcPr>
            <w:tcW w:w="1900" w:type="dxa"/>
            <w:vMerge w:val="continue"/>
            <w:vAlign w:val="center"/>
          </w:tcPr>
          <w:p>
            <w:pPr>
              <w:pStyle w:val="34"/>
              <w:spacing w:before="117"/>
              <w:ind w:left="100" w:right="87" w:firstLine="240" w:firstLineChars="100"/>
              <w:jc w:val="left"/>
              <w:rPr>
                <w:sz w:val="24"/>
                <w:szCs w:val="24"/>
                <w:highlight w:val="none"/>
              </w:rPr>
            </w:pPr>
          </w:p>
        </w:tc>
        <w:tc>
          <w:tcPr>
            <w:tcW w:w="6166" w:type="dxa"/>
            <w:vAlign w:val="center"/>
          </w:tcPr>
          <w:p>
            <w:pPr>
              <w:pStyle w:val="34"/>
              <w:spacing w:before="117"/>
              <w:ind w:left="100" w:right="87"/>
              <w:jc w:val="left"/>
              <w:rPr>
                <w:sz w:val="24"/>
                <w:szCs w:val="24"/>
                <w:highlight w:val="none"/>
              </w:rPr>
            </w:pPr>
            <w:r>
              <w:rPr>
                <w:rFonts w:hint="eastAsia"/>
                <w:sz w:val="24"/>
                <w:szCs w:val="24"/>
                <w:highlight w:val="none"/>
              </w:rPr>
              <w:t>投标人提供服务承诺、服务措施，全面者得 8 分，基本符合者得6 分，售后服务方案简单、粗糙者得4 分。未提供相关内容不得分。（提供加盖供应商公章的承诺函及相关证明材料）</w:t>
            </w:r>
          </w:p>
        </w:tc>
        <w:tc>
          <w:tcPr>
            <w:tcW w:w="1000" w:type="dxa"/>
            <w:vAlign w:val="center"/>
          </w:tcPr>
          <w:p>
            <w:pPr>
              <w:pStyle w:val="34"/>
              <w:spacing w:before="1"/>
              <w:ind w:left="110" w:right="101"/>
              <w:jc w:val="center"/>
              <w:rPr>
                <w:sz w:val="24"/>
                <w:szCs w:val="24"/>
                <w:highlight w:val="none"/>
              </w:rPr>
            </w:pPr>
            <w:r>
              <w:rPr>
                <w:rFonts w:hint="eastAsia"/>
                <w:sz w:val="24"/>
                <w:szCs w:val="24"/>
                <w:highlight w:val="none"/>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02" w:hRule="atLeast"/>
        </w:trPr>
        <w:tc>
          <w:tcPr>
            <w:tcW w:w="1900" w:type="dxa"/>
            <w:vAlign w:val="center"/>
          </w:tcPr>
          <w:p>
            <w:pPr>
              <w:spacing w:line="36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信誉能力</w:t>
            </w:r>
          </w:p>
          <w:p>
            <w:pPr>
              <w:spacing w:line="36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（6分）</w:t>
            </w:r>
          </w:p>
        </w:tc>
        <w:tc>
          <w:tcPr>
            <w:tcW w:w="6166" w:type="dxa"/>
          </w:tcPr>
          <w:p>
            <w:pPr>
              <w:spacing w:line="360" w:lineRule="exact"/>
              <w:jc w:val="left"/>
              <w:rPr>
                <w:rFonts w:ascii="宋体" w:hAnsi="宋体" w:cs="宋体"/>
                <w:sz w:val="24"/>
                <w:szCs w:val="24"/>
                <w:highlight w:val="none"/>
              </w:rPr>
            </w:pPr>
            <w:r>
              <w:rPr>
                <w:rFonts w:hint="eastAsia" w:ascii="宋体" w:hAnsi="宋体" w:cs="宋体"/>
                <w:sz w:val="24"/>
                <w:szCs w:val="24"/>
                <w:highlight w:val="none"/>
              </w:rPr>
              <w:t>投标人具有有效的质量管理体系（ISO9001）认证、环境管理体系（ISO14001）认证、职业健康安全管理体系（ISO45001）认证，每项得2分，满分6分，（上述证书须可在国家认证认可监督管理委员会官网查询，提供网页版查询记录截图及证书复印件并加盖单位公章，未提供或提供不全不得分）。</w:t>
            </w:r>
          </w:p>
        </w:tc>
        <w:tc>
          <w:tcPr>
            <w:tcW w:w="1000" w:type="dxa"/>
            <w:vAlign w:val="center"/>
          </w:tcPr>
          <w:p>
            <w:pPr>
              <w:spacing w:line="360" w:lineRule="exact"/>
              <w:jc w:val="left"/>
              <w:rPr>
                <w:rFonts w:ascii="宋体" w:hAnsi="宋体" w:cs="宋体"/>
                <w:sz w:val="24"/>
                <w:szCs w:val="24"/>
                <w:highlight w:val="none"/>
              </w:rPr>
            </w:pPr>
            <w:r>
              <w:rPr>
                <w:rFonts w:hint="eastAsia" w:ascii="宋体" w:hAnsi="宋体" w:cs="宋体"/>
                <w:sz w:val="24"/>
                <w:szCs w:val="24"/>
                <w:highlight w:val="none"/>
              </w:rPr>
              <w:t xml:space="preserve">    6</w:t>
            </w:r>
          </w:p>
        </w:tc>
      </w:tr>
    </w:tbl>
    <w:p>
      <w:pPr>
        <w:spacing w:before="2"/>
        <w:ind w:right="271"/>
        <w:jc w:val="left"/>
        <w:rPr>
          <w:rFonts w:ascii="宋体" w:hAnsi="宋体" w:cs="宋体"/>
          <w:sz w:val="28"/>
          <w:szCs w:val="28"/>
          <w:highlight w:val="none"/>
        </w:rPr>
      </w:pPr>
    </w:p>
    <w:p>
      <w:pPr>
        <w:spacing w:before="57"/>
        <w:jc w:val="left"/>
        <w:rPr>
          <w:rFonts w:ascii="宋体" w:hAnsi="宋体" w:cs="宋体"/>
          <w:sz w:val="24"/>
          <w:szCs w:val="24"/>
          <w:highlight w:val="none"/>
        </w:rPr>
      </w:pPr>
      <w:r>
        <w:rPr>
          <w:rFonts w:hint="eastAsia" w:ascii="宋体" w:hAnsi="宋体" w:cs="宋体"/>
          <w:sz w:val="24"/>
          <w:szCs w:val="24"/>
          <w:highlight w:val="none"/>
        </w:rPr>
        <w:t>备注：</w:t>
      </w:r>
    </w:p>
    <w:p>
      <w:pPr>
        <w:spacing w:line="360" w:lineRule="auto"/>
        <w:jc w:val="left"/>
        <w:rPr>
          <w:rFonts w:ascii="宋体" w:hAnsi="宋体" w:cs="宋体"/>
          <w:sz w:val="24"/>
          <w:szCs w:val="24"/>
          <w:highlight w:val="none"/>
        </w:rPr>
      </w:pPr>
      <w:r>
        <w:rPr>
          <w:rFonts w:hint="eastAsia" w:ascii="宋体" w:hAnsi="宋体" w:cs="宋体"/>
          <w:sz w:val="24"/>
          <w:szCs w:val="24"/>
          <w:highlight w:val="none"/>
        </w:rPr>
        <w:t>1.投标人必须逐条响应上述所有评审细则，并在投标文件中提供有效证明材料及列明索引、页码，否则将可能导致不得分。</w:t>
      </w:r>
    </w:p>
    <w:p>
      <w:pPr>
        <w:tabs>
          <w:tab w:val="left" w:pos="1526"/>
        </w:tabs>
        <w:spacing w:line="360" w:lineRule="auto"/>
        <w:jc w:val="left"/>
        <w:rPr>
          <w:rFonts w:ascii="宋体" w:hAnsi="宋体" w:cs="宋体"/>
          <w:sz w:val="24"/>
          <w:szCs w:val="24"/>
          <w:highlight w:val="none"/>
        </w:rPr>
      </w:pPr>
      <w:r>
        <w:rPr>
          <w:rFonts w:hint="eastAsia" w:ascii="宋体" w:hAnsi="宋体" w:cs="宋体"/>
          <w:sz w:val="24"/>
          <w:szCs w:val="24"/>
          <w:highlight w:val="none"/>
        </w:rPr>
        <w:t>2.所有认证、证明和业绩的施工合同、竣工验收证明资料须提供原件进行现场核验。</w:t>
      </w:r>
    </w:p>
    <w:p>
      <w:pPr>
        <w:tabs>
          <w:tab w:val="left" w:pos="1526"/>
        </w:tabs>
        <w:spacing w:line="360" w:lineRule="auto"/>
        <w:jc w:val="left"/>
        <w:rPr>
          <w:rFonts w:ascii="宋体" w:hAnsi="宋体" w:cs="宋体"/>
          <w:sz w:val="24"/>
          <w:szCs w:val="24"/>
          <w:highlight w:val="none"/>
        </w:rPr>
      </w:pPr>
      <w:r>
        <w:rPr>
          <w:rFonts w:hint="eastAsia" w:ascii="宋体" w:hAnsi="宋体" w:cs="宋体"/>
          <w:sz w:val="24"/>
          <w:szCs w:val="24"/>
          <w:highlight w:val="none"/>
        </w:rPr>
        <w:t>3.若供应商提供虚假材料，一经查实作废标处理并没收投标保证金。</w:t>
      </w:r>
    </w:p>
    <w:p>
      <w:pPr>
        <w:rPr>
          <w:rFonts w:ascii="宋体" w:hAnsi="宋体" w:cs="宋体"/>
          <w:sz w:val="24"/>
          <w:szCs w:val="24"/>
          <w:highlight w:val="none"/>
        </w:rPr>
      </w:pPr>
    </w:p>
    <w:p>
      <w:pPr>
        <w:rPr>
          <w:rFonts w:ascii="宋体" w:hAnsi="宋体" w:cs="宋体"/>
          <w:b/>
          <w:bCs/>
          <w:kern w:val="44"/>
          <w:sz w:val="24"/>
          <w:szCs w:val="24"/>
          <w:highlight w:val="none"/>
        </w:rPr>
      </w:pPr>
      <w:r>
        <w:rPr>
          <w:rFonts w:hint="eastAsia" w:ascii="宋体" w:hAnsi="宋体" w:cs="宋体"/>
          <w:b/>
          <w:bCs/>
          <w:kern w:val="44"/>
          <w:sz w:val="24"/>
          <w:szCs w:val="24"/>
          <w:highlight w:val="none"/>
        </w:rPr>
        <w:br w:type="page"/>
      </w:r>
    </w:p>
    <w:p>
      <w:pPr>
        <w:pStyle w:val="33"/>
        <w:numPr>
          <w:ilvl w:val="0"/>
          <w:numId w:val="4"/>
        </w:numPr>
        <w:spacing w:line="360" w:lineRule="auto"/>
        <w:ind w:left="-420" w:leftChars="-200" w:right="272" w:firstLine="643"/>
        <w:jc w:val="center"/>
        <w:outlineLvl w:val="0"/>
        <w:rPr>
          <w:rFonts w:ascii="宋体" w:hAnsi="宋体" w:cs="宋体"/>
          <w:b/>
          <w:bCs/>
          <w:kern w:val="44"/>
          <w:sz w:val="32"/>
          <w:szCs w:val="32"/>
          <w:highlight w:val="none"/>
        </w:rPr>
      </w:pPr>
      <w:bookmarkStart w:id="38" w:name="_Toc22562"/>
      <w:r>
        <w:rPr>
          <w:rFonts w:hint="eastAsia" w:ascii="宋体" w:hAnsi="宋体" w:cs="宋体"/>
          <w:b/>
          <w:bCs/>
          <w:kern w:val="44"/>
          <w:sz w:val="32"/>
          <w:szCs w:val="32"/>
          <w:highlight w:val="none"/>
        </w:rPr>
        <w:t>工程量清单（另附）</w:t>
      </w:r>
      <w:bookmarkEnd w:id="38"/>
    </w:p>
    <w:p>
      <w:pPr>
        <w:spacing w:line="360" w:lineRule="auto"/>
        <w:ind w:right="212" w:rightChars="101"/>
        <w:jc w:val="center"/>
        <w:rPr>
          <w:rFonts w:ascii="宋体" w:hAnsi="宋体"/>
          <w:b/>
          <w:sz w:val="32"/>
          <w:szCs w:val="32"/>
          <w:highlight w:val="none"/>
        </w:rPr>
      </w:pPr>
      <w:r>
        <w:rPr>
          <w:rFonts w:hint="eastAsia" w:ascii="宋体" w:hAnsi="宋体"/>
          <w:b/>
          <w:sz w:val="32"/>
          <w:szCs w:val="32"/>
          <w:highlight w:val="none"/>
        </w:rPr>
        <w:t>工程</w:t>
      </w:r>
      <w:r>
        <w:rPr>
          <w:rFonts w:ascii="宋体" w:hAnsi="宋体"/>
          <w:b/>
          <w:sz w:val="32"/>
          <w:szCs w:val="32"/>
          <w:highlight w:val="none"/>
        </w:rPr>
        <w:t>量</w:t>
      </w:r>
      <w:r>
        <w:rPr>
          <w:rFonts w:hint="eastAsia" w:ascii="宋体" w:hAnsi="宋体"/>
          <w:b/>
          <w:sz w:val="32"/>
          <w:szCs w:val="32"/>
          <w:highlight w:val="none"/>
        </w:rPr>
        <w:t>清单编制说明</w:t>
      </w:r>
    </w:p>
    <w:tbl>
      <w:tblPr>
        <w:tblStyle w:val="26"/>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7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67" w:hRule="atLeast"/>
        </w:trPr>
        <w:tc>
          <w:tcPr>
            <w:tcW w:w="907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ind w:firstLine="480" w:firstLineChars="200"/>
              <w:jc w:val="left"/>
              <w:rPr>
                <w:rFonts w:hint="default" w:ascii="宋体" w:hAnsi="宋体" w:eastAsia="宋体"/>
                <w:sz w:val="24"/>
                <w:highlight w:val="none"/>
                <w:lang w:val="en-US" w:eastAsia="zh-CN"/>
              </w:rPr>
            </w:pPr>
            <w:r>
              <w:rPr>
                <w:rFonts w:hint="eastAsia" w:ascii="宋体" w:hAnsi="宋体"/>
                <w:sz w:val="24"/>
                <w:highlight w:val="none"/>
              </w:rPr>
              <w:t>工程名称: 江宁校区行政楼及会议中心外立面和屋面维修工程</w:t>
            </w:r>
          </w:p>
          <w:p>
            <w:pPr>
              <w:ind w:firstLine="480" w:firstLineChars="200"/>
              <w:rPr>
                <w:rFonts w:ascii="宋体" w:hAnsi="宋体"/>
                <w:sz w:val="24"/>
                <w:highlight w:val="none"/>
              </w:rPr>
            </w:pPr>
            <w:r>
              <w:rPr>
                <w:rFonts w:hint="eastAsia" w:ascii="宋体" w:hAnsi="宋体"/>
                <w:sz w:val="24"/>
                <w:highlight w:val="none"/>
              </w:rPr>
              <w:t>一、工程概况：</w:t>
            </w:r>
          </w:p>
          <w:p>
            <w:pPr>
              <w:autoSpaceDE w:val="0"/>
              <w:autoSpaceDN w:val="0"/>
              <w:adjustRightInd w:val="0"/>
              <w:spacing w:line="360" w:lineRule="auto"/>
              <w:ind w:firstLine="480" w:firstLineChars="200"/>
              <w:jc w:val="left"/>
              <w:rPr>
                <w:rFonts w:ascii="宋体" w:hAnsi="宋体"/>
                <w:sz w:val="24"/>
                <w:highlight w:val="none"/>
              </w:rPr>
            </w:pPr>
            <w:r>
              <w:rPr>
                <w:rFonts w:hint="eastAsia" w:ascii="宋体" w:hAnsi="宋体"/>
                <w:sz w:val="24"/>
                <w:highlight w:val="none"/>
              </w:rPr>
              <w:t>本项目为江宁校区行政楼及会议中心外立面和屋面维修工程，项目位于南京</w:t>
            </w:r>
            <w:r>
              <w:rPr>
                <w:rFonts w:hint="eastAsia" w:ascii="宋体" w:hAnsi="宋体"/>
                <w:sz w:val="24"/>
                <w:highlight w:val="none"/>
                <w:lang w:val="en-US" w:eastAsia="zh-CN"/>
              </w:rPr>
              <w:t>江宁</w:t>
            </w:r>
            <w:r>
              <w:rPr>
                <w:rFonts w:hint="eastAsia" w:ascii="宋体" w:hAnsi="宋体"/>
                <w:sz w:val="24"/>
                <w:highlight w:val="none"/>
              </w:rPr>
              <w:t xml:space="preserve">区。 </w:t>
            </w:r>
          </w:p>
          <w:p>
            <w:pPr>
              <w:autoSpaceDE w:val="0"/>
              <w:autoSpaceDN w:val="0"/>
              <w:adjustRightInd w:val="0"/>
              <w:spacing w:line="360" w:lineRule="auto"/>
              <w:ind w:firstLine="480" w:firstLineChars="200"/>
              <w:jc w:val="left"/>
              <w:rPr>
                <w:rFonts w:ascii="宋体" w:hAnsi="宋体"/>
                <w:sz w:val="24"/>
                <w:highlight w:val="none"/>
              </w:rPr>
            </w:pPr>
            <w:r>
              <w:rPr>
                <w:rFonts w:hint="eastAsia" w:ascii="宋体" w:hAnsi="宋体"/>
                <w:sz w:val="24"/>
                <w:highlight w:val="none"/>
              </w:rPr>
              <w:t>二、工程范围：详招标文件。</w:t>
            </w:r>
          </w:p>
          <w:p>
            <w:pPr>
              <w:autoSpaceDE w:val="0"/>
              <w:autoSpaceDN w:val="0"/>
              <w:adjustRightInd w:val="0"/>
              <w:spacing w:line="360" w:lineRule="auto"/>
              <w:ind w:firstLine="480" w:firstLineChars="200"/>
              <w:jc w:val="left"/>
              <w:rPr>
                <w:rFonts w:ascii="宋体" w:hAnsi="宋体"/>
                <w:sz w:val="24"/>
                <w:highlight w:val="none"/>
              </w:rPr>
            </w:pPr>
            <w:r>
              <w:rPr>
                <w:rFonts w:hint="eastAsia" w:ascii="宋体" w:hAnsi="宋体"/>
                <w:sz w:val="24"/>
                <w:highlight w:val="none"/>
              </w:rPr>
              <w:t>三、工程量清单编制依据</w:t>
            </w:r>
          </w:p>
          <w:p>
            <w:pPr>
              <w:autoSpaceDE w:val="0"/>
              <w:autoSpaceDN w:val="0"/>
              <w:adjustRightInd w:val="0"/>
              <w:spacing w:line="360" w:lineRule="auto"/>
              <w:ind w:firstLine="480" w:firstLineChars="200"/>
              <w:jc w:val="left"/>
              <w:rPr>
                <w:rFonts w:ascii="宋体" w:hAnsi="宋体"/>
                <w:sz w:val="24"/>
                <w:highlight w:val="none"/>
              </w:rPr>
            </w:pPr>
            <w:r>
              <w:rPr>
                <w:rFonts w:hint="eastAsia" w:ascii="宋体" w:hAnsi="宋体"/>
                <w:sz w:val="24"/>
                <w:highlight w:val="none"/>
              </w:rPr>
              <w:t>1、《建设工程工程量清单计价规范》(GB50500-2013)</w:t>
            </w:r>
          </w:p>
          <w:p>
            <w:pPr>
              <w:autoSpaceDE w:val="0"/>
              <w:autoSpaceDN w:val="0"/>
              <w:adjustRightInd w:val="0"/>
              <w:spacing w:line="360" w:lineRule="auto"/>
              <w:ind w:firstLine="480" w:firstLineChars="200"/>
              <w:jc w:val="left"/>
              <w:rPr>
                <w:rFonts w:ascii="宋体" w:hAnsi="宋体"/>
                <w:sz w:val="24"/>
                <w:highlight w:val="none"/>
              </w:rPr>
            </w:pPr>
            <w:r>
              <w:rPr>
                <w:rFonts w:hint="eastAsia" w:ascii="宋体" w:hAnsi="宋体"/>
                <w:sz w:val="24"/>
                <w:highlight w:val="none"/>
              </w:rPr>
              <w:t>2、《房屋建筑与装饰工程量计算规范》（GB50584-2013）</w:t>
            </w:r>
          </w:p>
          <w:p>
            <w:pPr>
              <w:autoSpaceDE w:val="0"/>
              <w:autoSpaceDN w:val="0"/>
              <w:adjustRightInd w:val="0"/>
              <w:spacing w:line="360" w:lineRule="auto"/>
              <w:ind w:firstLine="480" w:firstLineChars="200"/>
              <w:jc w:val="left"/>
              <w:rPr>
                <w:rFonts w:ascii="宋体" w:hAnsi="宋体"/>
                <w:sz w:val="24"/>
                <w:highlight w:val="none"/>
              </w:rPr>
            </w:pPr>
            <w:r>
              <w:rPr>
                <w:rFonts w:hint="eastAsia" w:ascii="宋体" w:hAnsi="宋体"/>
                <w:sz w:val="24"/>
                <w:highlight w:val="none"/>
              </w:rPr>
              <w:t>3、《通用安装工程工程量计算规范》（GB50856-2013）</w:t>
            </w:r>
          </w:p>
          <w:p>
            <w:pPr>
              <w:autoSpaceDE w:val="0"/>
              <w:autoSpaceDN w:val="0"/>
              <w:adjustRightInd w:val="0"/>
              <w:spacing w:line="360" w:lineRule="auto"/>
              <w:ind w:firstLine="480" w:firstLineChars="200"/>
              <w:jc w:val="left"/>
              <w:rPr>
                <w:rFonts w:ascii="宋体" w:hAnsi="宋体"/>
                <w:sz w:val="24"/>
                <w:highlight w:val="none"/>
              </w:rPr>
            </w:pPr>
            <w:r>
              <w:rPr>
                <w:rFonts w:hint="eastAsia" w:ascii="宋体" w:hAnsi="宋体"/>
                <w:sz w:val="24"/>
                <w:highlight w:val="none"/>
              </w:rPr>
              <w:t>4、苏建价（2014）448号文省住房城乡建设厅关于《建设工程工程量清单计价规范》（GB50500-2013）及其9本工程量计算规范的贯彻意见</w:t>
            </w:r>
          </w:p>
          <w:p>
            <w:pPr>
              <w:autoSpaceDE w:val="0"/>
              <w:autoSpaceDN w:val="0"/>
              <w:adjustRightInd w:val="0"/>
              <w:spacing w:line="360" w:lineRule="auto"/>
              <w:ind w:firstLine="480" w:firstLineChars="200"/>
              <w:jc w:val="left"/>
              <w:rPr>
                <w:rFonts w:ascii="宋体" w:hAnsi="宋体"/>
                <w:sz w:val="24"/>
                <w:highlight w:val="none"/>
              </w:rPr>
            </w:pPr>
            <w:bookmarkStart w:id="39" w:name="_Hlk59794732"/>
            <w:r>
              <w:rPr>
                <w:rFonts w:hint="eastAsia" w:ascii="宋体" w:hAnsi="宋体"/>
                <w:sz w:val="24"/>
                <w:highlight w:val="none"/>
              </w:rPr>
              <w:t>5、《江苏省建筑与装饰工程计价定额》（2014年）</w:t>
            </w:r>
          </w:p>
          <w:p>
            <w:pPr>
              <w:autoSpaceDE w:val="0"/>
              <w:autoSpaceDN w:val="0"/>
              <w:adjustRightInd w:val="0"/>
              <w:spacing w:line="360" w:lineRule="auto"/>
              <w:ind w:firstLine="480" w:firstLineChars="200"/>
              <w:jc w:val="left"/>
              <w:rPr>
                <w:rFonts w:ascii="宋体" w:hAnsi="宋体"/>
                <w:sz w:val="24"/>
                <w:highlight w:val="none"/>
              </w:rPr>
            </w:pPr>
            <w:r>
              <w:rPr>
                <w:rFonts w:hint="eastAsia" w:ascii="宋体" w:hAnsi="宋体"/>
                <w:sz w:val="24"/>
                <w:highlight w:val="none"/>
              </w:rPr>
              <w:t>6、《江苏省安装工程计价定额》（2014年）</w:t>
            </w:r>
          </w:p>
          <w:bookmarkEnd w:id="39"/>
          <w:p>
            <w:pPr>
              <w:autoSpaceDE w:val="0"/>
              <w:autoSpaceDN w:val="0"/>
              <w:adjustRightInd w:val="0"/>
              <w:spacing w:line="360" w:lineRule="auto"/>
              <w:ind w:firstLine="480" w:firstLineChars="200"/>
              <w:jc w:val="left"/>
              <w:rPr>
                <w:rFonts w:ascii="宋体" w:hAnsi="宋体"/>
                <w:sz w:val="24"/>
                <w:highlight w:val="none"/>
              </w:rPr>
            </w:pPr>
            <w:r>
              <w:rPr>
                <w:rFonts w:hint="eastAsia" w:ascii="宋体" w:hAnsi="宋体"/>
                <w:sz w:val="24"/>
                <w:highlight w:val="none"/>
                <w:lang w:val="en-US" w:eastAsia="zh-CN"/>
              </w:rPr>
              <w:t>7</w:t>
            </w:r>
            <w:r>
              <w:rPr>
                <w:rFonts w:hint="eastAsia" w:ascii="宋体" w:hAnsi="宋体"/>
                <w:sz w:val="24"/>
                <w:highlight w:val="none"/>
              </w:rPr>
              <w:t>、《江苏省建设工程费用定额》（2014年）</w:t>
            </w:r>
          </w:p>
          <w:p>
            <w:pPr>
              <w:autoSpaceDE w:val="0"/>
              <w:autoSpaceDN w:val="0"/>
              <w:adjustRightInd w:val="0"/>
              <w:spacing w:line="360" w:lineRule="auto"/>
              <w:ind w:firstLine="480" w:firstLineChars="200"/>
              <w:jc w:val="left"/>
              <w:rPr>
                <w:rFonts w:ascii="宋体" w:hAnsi="宋体"/>
                <w:sz w:val="24"/>
                <w:highlight w:val="none"/>
              </w:rPr>
            </w:pPr>
            <w:r>
              <w:rPr>
                <w:rFonts w:hint="eastAsia" w:ascii="宋体" w:hAnsi="宋体"/>
                <w:sz w:val="24"/>
                <w:highlight w:val="none"/>
                <w:lang w:val="en-US" w:eastAsia="zh-CN"/>
              </w:rPr>
              <w:t>8</w:t>
            </w:r>
            <w:r>
              <w:rPr>
                <w:rFonts w:hint="eastAsia" w:ascii="宋体" w:hAnsi="宋体"/>
                <w:sz w:val="24"/>
                <w:highlight w:val="none"/>
              </w:rPr>
              <w:t>、省住房城乡建设厅关于建筑业实施营改增后江苏省建设工程计价依据调整的通知（苏建价〔2016〕154号）</w:t>
            </w:r>
          </w:p>
          <w:p>
            <w:pPr>
              <w:autoSpaceDE w:val="0"/>
              <w:autoSpaceDN w:val="0"/>
              <w:adjustRightInd w:val="0"/>
              <w:spacing w:line="360" w:lineRule="auto"/>
              <w:ind w:firstLine="480" w:firstLineChars="200"/>
              <w:jc w:val="left"/>
              <w:rPr>
                <w:rFonts w:ascii="宋体" w:hAnsi="宋体"/>
                <w:sz w:val="24"/>
                <w:highlight w:val="none"/>
              </w:rPr>
            </w:pPr>
            <w:r>
              <w:rPr>
                <w:rFonts w:hint="eastAsia" w:ascii="宋体" w:hAnsi="宋体"/>
                <w:sz w:val="24"/>
                <w:highlight w:val="none"/>
                <w:lang w:val="en-US" w:eastAsia="zh-CN"/>
              </w:rPr>
              <w:t>9</w:t>
            </w:r>
            <w:r>
              <w:rPr>
                <w:rFonts w:hint="eastAsia" w:ascii="宋体" w:hAnsi="宋体"/>
                <w:sz w:val="24"/>
                <w:highlight w:val="none"/>
              </w:rPr>
              <w:t>、《省住房城乡建设厅关于调整建设工程计价增值税税率的通知》（苏建函价[2019]178号）</w:t>
            </w:r>
          </w:p>
          <w:p>
            <w:pPr>
              <w:autoSpaceDE w:val="0"/>
              <w:autoSpaceDN w:val="0"/>
              <w:adjustRightInd w:val="0"/>
              <w:spacing w:line="360" w:lineRule="auto"/>
              <w:ind w:firstLine="480" w:firstLineChars="200"/>
              <w:jc w:val="left"/>
              <w:rPr>
                <w:rFonts w:ascii="宋体" w:hAnsi="宋体"/>
                <w:sz w:val="24"/>
                <w:highlight w:val="none"/>
              </w:rPr>
            </w:pPr>
            <w:r>
              <w:rPr>
                <w:rFonts w:hint="eastAsia" w:ascii="宋体" w:hAnsi="宋体"/>
                <w:sz w:val="24"/>
                <w:highlight w:val="none"/>
                <w:lang w:val="en-US" w:eastAsia="zh-CN"/>
              </w:rPr>
              <w:t>10</w:t>
            </w:r>
            <w:r>
              <w:rPr>
                <w:rFonts w:hint="eastAsia" w:ascii="宋体" w:hAnsi="宋体"/>
                <w:sz w:val="24"/>
                <w:highlight w:val="none"/>
              </w:rPr>
              <w:t>、江苏省、南京市区相关计价文件</w:t>
            </w:r>
          </w:p>
          <w:p>
            <w:pPr>
              <w:autoSpaceDE w:val="0"/>
              <w:autoSpaceDN w:val="0"/>
              <w:adjustRightInd w:val="0"/>
              <w:spacing w:line="360" w:lineRule="auto"/>
              <w:ind w:firstLine="480" w:firstLineChars="200"/>
              <w:jc w:val="left"/>
              <w:rPr>
                <w:rFonts w:ascii="宋体" w:hAnsi="宋体"/>
                <w:sz w:val="24"/>
                <w:highlight w:val="none"/>
              </w:rPr>
            </w:pPr>
            <w:r>
              <w:rPr>
                <w:rFonts w:hint="eastAsia" w:ascii="宋体" w:hAnsi="宋体"/>
                <w:sz w:val="24"/>
                <w:highlight w:val="none"/>
              </w:rPr>
              <w:t>1</w:t>
            </w:r>
            <w:r>
              <w:rPr>
                <w:rFonts w:hint="eastAsia" w:ascii="宋体" w:hAnsi="宋体"/>
                <w:sz w:val="24"/>
                <w:highlight w:val="none"/>
                <w:lang w:val="en-US" w:eastAsia="zh-CN"/>
              </w:rPr>
              <w:t>1</w:t>
            </w:r>
            <w:r>
              <w:rPr>
                <w:rFonts w:hint="eastAsia" w:ascii="宋体" w:hAnsi="宋体"/>
                <w:sz w:val="24"/>
                <w:highlight w:val="none"/>
              </w:rPr>
              <w:t>、施工图</w:t>
            </w:r>
          </w:p>
          <w:p>
            <w:pPr>
              <w:autoSpaceDE w:val="0"/>
              <w:autoSpaceDN w:val="0"/>
              <w:adjustRightInd w:val="0"/>
              <w:spacing w:line="360" w:lineRule="auto"/>
              <w:ind w:firstLine="480" w:firstLineChars="200"/>
              <w:jc w:val="left"/>
              <w:rPr>
                <w:rFonts w:ascii="宋体" w:hAnsi="宋体"/>
                <w:sz w:val="24"/>
                <w:highlight w:val="none"/>
              </w:rPr>
            </w:pPr>
            <w:r>
              <w:rPr>
                <w:rFonts w:hint="eastAsia" w:ascii="宋体" w:hAnsi="宋体"/>
                <w:sz w:val="24"/>
                <w:highlight w:val="none"/>
              </w:rPr>
              <w:t>四、图纸及工程量计算中的相关说明：</w:t>
            </w:r>
          </w:p>
          <w:p>
            <w:pPr>
              <w:autoSpaceDE w:val="0"/>
              <w:autoSpaceDN w:val="0"/>
              <w:adjustRightInd w:val="0"/>
              <w:spacing w:line="360" w:lineRule="auto"/>
              <w:ind w:firstLine="480" w:firstLineChars="200"/>
              <w:jc w:val="left"/>
              <w:rPr>
                <w:rFonts w:hint="eastAsia" w:ascii="宋体" w:hAnsi="宋体"/>
                <w:sz w:val="24"/>
                <w:highlight w:val="none"/>
              </w:rPr>
            </w:pPr>
            <w:r>
              <w:rPr>
                <w:rFonts w:hint="eastAsia" w:ascii="宋体" w:hAnsi="宋体"/>
                <w:sz w:val="24"/>
                <w:highlight w:val="none"/>
              </w:rPr>
              <w:t>（一）</w:t>
            </w:r>
            <w:r>
              <w:rPr>
                <w:rFonts w:hint="eastAsia" w:ascii="宋体" w:hAnsi="宋体"/>
                <w:sz w:val="24"/>
                <w:highlight w:val="none"/>
                <w:lang w:val="en-US" w:eastAsia="zh-CN"/>
              </w:rPr>
              <w:t>修缮</w:t>
            </w:r>
            <w:r>
              <w:rPr>
                <w:rFonts w:hint="eastAsia" w:ascii="宋体" w:hAnsi="宋体"/>
                <w:sz w:val="24"/>
                <w:highlight w:val="none"/>
              </w:rPr>
              <w:t>部分</w:t>
            </w:r>
          </w:p>
          <w:p>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highlight w:val="none"/>
                <w:lang w:val="en-US" w:eastAsia="zh-CN"/>
              </w:rPr>
            </w:pPr>
            <w:r>
              <w:rPr>
                <w:rFonts w:hint="eastAsia" w:ascii="宋体" w:hAnsi="宋体"/>
                <w:sz w:val="24"/>
                <w:highlight w:val="none"/>
                <w:lang w:val="en-US" w:eastAsia="zh-CN"/>
              </w:rPr>
              <w:t>1</w:t>
            </w:r>
            <w:r>
              <w:rPr>
                <w:rFonts w:hint="eastAsia" w:ascii="宋体" w:hAnsi="宋体"/>
                <w:sz w:val="24"/>
                <w:highlight w:val="none"/>
              </w:rPr>
              <w:t>、</w:t>
            </w:r>
            <w:r>
              <w:rPr>
                <w:rFonts w:hint="eastAsia" w:ascii="宋体" w:hAnsi="宋体"/>
                <w:sz w:val="24"/>
                <w:highlight w:val="none"/>
                <w:lang w:val="en-US" w:eastAsia="zh-CN"/>
              </w:rPr>
              <w:t>根据设计意见，外立面浅灰色/乳白色防水涂料按如下做法计入：</w:t>
            </w:r>
          </w:p>
          <w:p>
            <w:pPr>
              <w:pStyle w:val="23"/>
              <w:keepNext w:val="0"/>
              <w:keepLines w:val="0"/>
              <w:pageBreakBefore w:val="0"/>
              <w:kinsoku/>
              <w:wordWrap/>
              <w:overflowPunct/>
              <w:topLinePunct w:val="0"/>
              <w:bidi w:val="0"/>
              <w:snapToGrid/>
              <w:spacing w:line="360" w:lineRule="auto"/>
              <w:ind w:firstLine="960" w:firstLineChars="400"/>
              <w:textAlignment w:val="auto"/>
              <w:rPr>
                <w:rFonts w:hint="eastAsia" w:ascii="宋体" w:hAnsi="宋体"/>
                <w:sz w:val="24"/>
                <w:highlight w:val="none"/>
                <w:lang w:val="en-US" w:eastAsia="zh-CN"/>
              </w:rPr>
            </w:pPr>
            <w:r>
              <w:rPr>
                <w:rFonts w:hint="eastAsia" w:ascii="宋体" w:hAnsi="宋体"/>
                <w:sz w:val="24"/>
                <w:highlight w:val="none"/>
                <w:lang w:val="en-US" w:eastAsia="zh-CN"/>
              </w:rPr>
              <w:t>①防水涂料面层二遍</w:t>
            </w:r>
          </w:p>
          <w:p>
            <w:pPr>
              <w:pStyle w:val="23"/>
              <w:keepNext w:val="0"/>
              <w:keepLines w:val="0"/>
              <w:pageBreakBefore w:val="0"/>
              <w:kinsoku/>
              <w:wordWrap/>
              <w:overflowPunct/>
              <w:topLinePunct w:val="0"/>
              <w:bidi w:val="0"/>
              <w:snapToGrid/>
              <w:spacing w:line="360" w:lineRule="auto"/>
              <w:ind w:firstLine="960" w:firstLineChars="400"/>
              <w:textAlignment w:val="auto"/>
              <w:rPr>
                <w:rFonts w:hint="default"/>
                <w:highlight w:val="none"/>
                <w:lang w:val="en-US" w:eastAsia="zh-CN"/>
              </w:rPr>
            </w:pPr>
            <w:r>
              <w:rPr>
                <w:rFonts w:hint="eastAsia" w:ascii="宋体" w:hAnsi="宋体"/>
                <w:sz w:val="24"/>
                <w:highlight w:val="none"/>
                <w:lang w:val="en-US" w:eastAsia="zh-CN"/>
              </w:rPr>
              <w:t>②外墙柔性腻子二遍</w:t>
            </w:r>
          </w:p>
          <w:p>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sz w:val="24"/>
                <w:highlight w:val="none"/>
                <w:lang w:val="en-US" w:eastAsia="zh-CN"/>
              </w:rPr>
            </w:pPr>
            <w:r>
              <w:rPr>
                <w:rFonts w:hint="eastAsia" w:ascii="宋体" w:hAnsi="宋体"/>
                <w:sz w:val="24"/>
                <w:highlight w:val="none"/>
                <w:lang w:val="en-US" w:eastAsia="zh-CN"/>
              </w:rPr>
              <w:t>2、根据设计意见，矿棉板吊顶按如下做法计入：</w:t>
            </w:r>
          </w:p>
          <w:p>
            <w:pPr>
              <w:keepNext w:val="0"/>
              <w:keepLines w:val="0"/>
              <w:pageBreakBefore w:val="0"/>
              <w:kinsoku/>
              <w:wordWrap/>
              <w:overflowPunct/>
              <w:topLinePunct w:val="0"/>
              <w:autoSpaceDE w:val="0"/>
              <w:autoSpaceDN w:val="0"/>
              <w:bidi w:val="0"/>
              <w:adjustRightInd w:val="0"/>
              <w:snapToGrid/>
              <w:spacing w:line="360" w:lineRule="auto"/>
              <w:ind w:firstLine="960" w:firstLineChars="400"/>
              <w:jc w:val="left"/>
              <w:textAlignment w:val="auto"/>
              <w:rPr>
                <w:rFonts w:hint="eastAsia" w:ascii="宋体" w:hAnsi="宋体"/>
                <w:sz w:val="24"/>
                <w:highlight w:val="none"/>
              </w:rPr>
            </w:pPr>
            <w:r>
              <w:rPr>
                <w:rFonts w:hint="eastAsia" w:ascii="宋体" w:hAnsi="宋体"/>
                <w:sz w:val="24"/>
                <w:highlight w:val="none"/>
                <w:lang w:val="en-US" w:eastAsia="zh-CN"/>
              </w:rPr>
              <w:t>①</w:t>
            </w:r>
            <w:r>
              <w:rPr>
                <w:rFonts w:hint="eastAsia" w:ascii="宋体" w:hAnsi="宋体"/>
                <w:sz w:val="24"/>
                <w:highlight w:val="none"/>
              </w:rPr>
              <w:t>600*600矿棉板吊顶</w:t>
            </w:r>
          </w:p>
          <w:p>
            <w:pPr>
              <w:keepNext w:val="0"/>
              <w:keepLines w:val="0"/>
              <w:pageBreakBefore w:val="0"/>
              <w:kinsoku/>
              <w:wordWrap/>
              <w:overflowPunct/>
              <w:topLinePunct w:val="0"/>
              <w:autoSpaceDE w:val="0"/>
              <w:autoSpaceDN w:val="0"/>
              <w:bidi w:val="0"/>
              <w:adjustRightInd w:val="0"/>
              <w:snapToGrid/>
              <w:spacing w:line="360" w:lineRule="auto"/>
              <w:ind w:firstLine="960" w:firstLineChars="400"/>
              <w:jc w:val="left"/>
              <w:textAlignment w:val="auto"/>
              <w:rPr>
                <w:rFonts w:hint="eastAsia" w:ascii="宋体" w:hAnsi="宋体"/>
                <w:sz w:val="24"/>
                <w:highlight w:val="none"/>
              </w:rPr>
            </w:pPr>
            <w:r>
              <w:rPr>
                <w:rFonts w:hint="eastAsia" w:ascii="宋体" w:hAnsi="宋体"/>
                <w:sz w:val="24"/>
                <w:highlight w:val="none"/>
                <w:lang w:val="en-US" w:eastAsia="zh-CN"/>
              </w:rPr>
              <w:t>②</w:t>
            </w:r>
            <w:r>
              <w:rPr>
                <w:rFonts w:hint="eastAsia" w:ascii="宋体" w:hAnsi="宋体"/>
                <w:sz w:val="24"/>
                <w:highlight w:val="none"/>
              </w:rPr>
              <w:t>T型轻钢次龙骨TB24x28(或TBA24x28)中距600</w:t>
            </w:r>
          </w:p>
          <w:p>
            <w:pPr>
              <w:keepNext w:val="0"/>
              <w:keepLines w:val="0"/>
              <w:pageBreakBefore w:val="0"/>
              <w:kinsoku/>
              <w:wordWrap/>
              <w:overflowPunct/>
              <w:topLinePunct w:val="0"/>
              <w:autoSpaceDE w:val="0"/>
              <w:autoSpaceDN w:val="0"/>
              <w:bidi w:val="0"/>
              <w:adjustRightInd w:val="0"/>
              <w:snapToGrid/>
              <w:spacing w:line="360" w:lineRule="auto"/>
              <w:ind w:firstLine="960" w:firstLineChars="400"/>
              <w:jc w:val="left"/>
              <w:textAlignment w:val="auto"/>
              <w:rPr>
                <w:rFonts w:hint="eastAsia" w:ascii="宋体" w:hAnsi="宋体"/>
                <w:sz w:val="24"/>
                <w:highlight w:val="none"/>
              </w:rPr>
            </w:pPr>
            <w:r>
              <w:rPr>
                <w:rFonts w:hint="eastAsia" w:ascii="宋体" w:hAnsi="宋体"/>
                <w:sz w:val="24"/>
                <w:highlight w:val="none"/>
                <w:lang w:val="en-US" w:eastAsia="zh-CN"/>
              </w:rPr>
              <w:t>③</w:t>
            </w:r>
            <w:r>
              <w:rPr>
                <w:rFonts w:hint="eastAsia" w:ascii="宋体" w:hAnsi="宋体"/>
                <w:sz w:val="24"/>
                <w:highlight w:val="none"/>
              </w:rPr>
              <w:t>T型轻钢主龙骨TB24x38(或TBA24x28)中距600找平后与钢筋吊杆固定</w:t>
            </w:r>
          </w:p>
          <w:p>
            <w:pPr>
              <w:keepNext w:val="0"/>
              <w:keepLines w:val="0"/>
              <w:pageBreakBefore w:val="0"/>
              <w:kinsoku/>
              <w:wordWrap/>
              <w:overflowPunct/>
              <w:topLinePunct w:val="0"/>
              <w:autoSpaceDE w:val="0"/>
              <w:autoSpaceDN w:val="0"/>
              <w:bidi w:val="0"/>
              <w:adjustRightInd w:val="0"/>
              <w:snapToGrid/>
              <w:spacing w:line="360" w:lineRule="auto"/>
              <w:ind w:firstLine="960" w:firstLineChars="400"/>
              <w:jc w:val="left"/>
              <w:textAlignment w:val="auto"/>
              <w:rPr>
                <w:rFonts w:hint="eastAsia" w:ascii="宋体" w:hAnsi="宋体"/>
                <w:sz w:val="24"/>
                <w:highlight w:val="none"/>
              </w:rPr>
            </w:pPr>
            <w:r>
              <w:rPr>
                <w:rFonts w:hint="eastAsia" w:ascii="宋体" w:hAnsi="宋体"/>
                <w:sz w:val="24"/>
                <w:highlight w:val="none"/>
                <w:lang w:val="en-US" w:eastAsia="zh-CN"/>
              </w:rPr>
              <w:t>④</w:t>
            </w:r>
            <w:r>
              <w:rPr>
                <w:rFonts w:hint="eastAsia" w:ascii="宋体" w:hAnsi="宋体"/>
                <w:sz w:val="24"/>
                <w:highlight w:val="none"/>
              </w:rPr>
              <w:t>∅8钢筋吊杆,双向中距≤1200,吊杆上部与预留钢筋吊环固定</w:t>
            </w:r>
          </w:p>
          <w:p>
            <w:pPr>
              <w:keepNext w:val="0"/>
              <w:keepLines w:val="0"/>
              <w:pageBreakBefore w:val="0"/>
              <w:kinsoku/>
              <w:wordWrap/>
              <w:overflowPunct/>
              <w:topLinePunct w:val="0"/>
              <w:autoSpaceDE w:val="0"/>
              <w:autoSpaceDN w:val="0"/>
              <w:bidi w:val="0"/>
              <w:adjustRightInd w:val="0"/>
              <w:snapToGrid/>
              <w:spacing w:line="360" w:lineRule="auto"/>
              <w:ind w:firstLine="960" w:firstLineChars="400"/>
              <w:jc w:val="left"/>
              <w:textAlignment w:val="auto"/>
              <w:rPr>
                <w:rFonts w:hint="eastAsia" w:ascii="宋体" w:hAnsi="宋体"/>
                <w:sz w:val="24"/>
                <w:highlight w:val="none"/>
              </w:rPr>
            </w:pPr>
            <w:r>
              <w:rPr>
                <w:rFonts w:hint="eastAsia" w:ascii="宋体" w:hAnsi="宋体"/>
                <w:sz w:val="24"/>
                <w:highlight w:val="none"/>
                <w:lang w:val="en-US" w:eastAsia="zh-CN"/>
              </w:rPr>
              <w:t>⑤</w:t>
            </w:r>
            <w:r>
              <w:rPr>
                <w:rFonts w:hint="eastAsia" w:ascii="宋体" w:hAnsi="宋体"/>
                <w:sz w:val="24"/>
                <w:highlight w:val="none"/>
              </w:rPr>
              <w:t>现浇钢筋混凝土板内预留∅10钢筋吊环(勾),中距横向≤1200(预制混凝土板缝内预留吊环)</w:t>
            </w:r>
          </w:p>
          <w:p>
            <w:pPr>
              <w:pStyle w:val="23"/>
              <w:keepNext w:val="0"/>
              <w:keepLines w:val="0"/>
              <w:pageBreakBefore w:val="0"/>
              <w:numPr>
                <w:ilvl w:val="0"/>
                <w:numId w:val="6"/>
              </w:numPr>
              <w:kinsoku/>
              <w:wordWrap/>
              <w:overflowPunct/>
              <w:topLinePunct w:val="0"/>
              <w:bidi w:val="0"/>
              <w:snapToGrid/>
              <w:spacing w:line="360" w:lineRule="auto"/>
              <w:ind w:firstLine="480" w:firstLineChars="200"/>
              <w:textAlignment w:val="auto"/>
              <w:rPr>
                <w:rFonts w:hint="eastAsia" w:ascii="宋体" w:hAnsi="宋体"/>
                <w:sz w:val="24"/>
                <w:highlight w:val="none"/>
                <w:lang w:val="en-US" w:eastAsia="zh-CN"/>
              </w:rPr>
            </w:pPr>
            <w:r>
              <w:rPr>
                <w:rFonts w:hint="eastAsia" w:ascii="宋体" w:hAnsi="宋体"/>
                <w:sz w:val="24"/>
                <w:highlight w:val="none"/>
                <w:lang w:val="en-US" w:eastAsia="zh-CN"/>
              </w:rPr>
              <w:t>外墙面抹灰图纸无做法，清单暂按20厚1：2.5水泥砂浆考虑。</w:t>
            </w:r>
          </w:p>
          <w:p>
            <w:pPr>
              <w:pStyle w:val="23"/>
              <w:keepNext w:val="0"/>
              <w:keepLines w:val="0"/>
              <w:pageBreakBefore w:val="0"/>
              <w:numPr>
                <w:ilvl w:val="0"/>
                <w:numId w:val="6"/>
              </w:numPr>
              <w:kinsoku/>
              <w:wordWrap/>
              <w:overflowPunct/>
              <w:topLinePunct w:val="0"/>
              <w:bidi w:val="0"/>
              <w:snapToGrid/>
              <w:spacing w:line="360" w:lineRule="auto"/>
              <w:ind w:firstLine="480" w:firstLineChars="200"/>
              <w:textAlignment w:val="auto"/>
              <w:rPr>
                <w:rFonts w:hint="default" w:ascii="宋体" w:hAnsi="宋体"/>
                <w:sz w:val="24"/>
                <w:highlight w:val="none"/>
                <w:lang w:val="en-US" w:eastAsia="zh-CN"/>
              </w:rPr>
            </w:pPr>
            <w:r>
              <w:rPr>
                <w:rFonts w:hint="eastAsia" w:ascii="宋体" w:hAnsi="宋体"/>
                <w:sz w:val="24"/>
                <w:highlight w:val="none"/>
                <w:lang w:val="en-US" w:eastAsia="zh-CN"/>
              </w:rPr>
              <w:t>原矿棉板吊顶拆除及恢复工程量仅根据图纸进行估算，吊顶拆除后需原状恢复，投标单价中需充分考虑吊顶材料的损耗费用，结算时不再增加材料损耗费。</w:t>
            </w:r>
          </w:p>
          <w:p>
            <w:pPr>
              <w:autoSpaceDE w:val="0"/>
              <w:autoSpaceDN w:val="0"/>
              <w:adjustRightInd w:val="0"/>
              <w:spacing w:line="360" w:lineRule="auto"/>
              <w:ind w:firstLine="480" w:firstLineChars="200"/>
              <w:jc w:val="left"/>
              <w:rPr>
                <w:rFonts w:hint="eastAsia" w:ascii="宋体" w:hAnsi="宋体"/>
                <w:sz w:val="24"/>
                <w:highlight w:val="none"/>
              </w:rPr>
            </w:pPr>
            <w:r>
              <w:rPr>
                <w:rFonts w:hint="eastAsia" w:ascii="宋体" w:hAnsi="宋体"/>
                <w:sz w:val="24"/>
                <w:highlight w:val="none"/>
              </w:rPr>
              <w:t>（二）安装部分</w:t>
            </w:r>
          </w:p>
          <w:p>
            <w:pPr>
              <w:tabs>
                <w:tab w:val="left" w:pos="284"/>
              </w:tabs>
              <w:autoSpaceDE w:val="0"/>
              <w:autoSpaceDN w:val="0"/>
              <w:adjustRightInd w:val="0"/>
              <w:spacing w:line="360" w:lineRule="auto"/>
              <w:ind w:firstLine="480" w:firstLineChars="200"/>
              <w:jc w:val="left"/>
              <w:rPr>
                <w:rFonts w:hint="eastAsia" w:ascii="宋体" w:hAnsi="宋体"/>
                <w:sz w:val="24"/>
                <w:highlight w:val="none"/>
                <w:lang w:val="en-US" w:eastAsia="zh-CN"/>
              </w:rPr>
            </w:pPr>
            <w:r>
              <w:rPr>
                <w:rFonts w:hint="eastAsia" w:ascii="宋体" w:hAnsi="宋体"/>
                <w:sz w:val="24"/>
                <w:highlight w:val="none"/>
                <w:lang w:val="en-US" w:eastAsia="zh-CN"/>
              </w:rPr>
              <w:t>1、防雷通路采用镀锌圆钢φ10，连接幕墙和现防雷网，按10根，每根两米考虑。</w:t>
            </w:r>
          </w:p>
          <w:p>
            <w:pPr>
              <w:tabs>
                <w:tab w:val="left" w:pos="284"/>
              </w:tabs>
              <w:autoSpaceDE w:val="0"/>
              <w:autoSpaceDN w:val="0"/>
              <w:adjustRightInd w:val="0"/>
              <w:spacing w:line="360" w:lineRule="auto"/>
              <w:ind w:firstLine="480" w:firstLineChars="200"/>
              <w:jc w:val="left"/>
              <w:rPr>
                <w:rFonts w:hint="eastAsia" w:ascii="宋体" w:hAnsi="宋体"/>
                <w:sz w:val="24"/>
                <w:highlight w:val="none"/>
                <w:lang w:val="en-US" w:eastAsia="zh-CN"/>
              </w:rPr>
            </w:pPr>
            <w:r>
              <w:rPr>
                <w:rFonts w:hint="eastAsia" w:ascii="宋体" w:hAnsi="宋体"/>
                <w:sz w:val="24"/>
                <w:highlight w:val="none"/>
                <w:lang w:val="en-US" w:eastAsia="zh-CN"/>
              </w:rPr>
              <w:t>2、电热水器设备不在本次清单范围内。</w:t>
            </w:r>
          </w:p>
          <w:p>
            <w:pPr>
              <w:tabs>
                <w:tab w:val="left" w:pos="284"/>
              </w:tabs>
              <w:autoSpaceDE w:val="0"/>
              <w:autoSpaceDN w:val="0"/>
              <w:adjustRightInd w:val="0"/>
              <w:spacing w:line="360" w:lineRule="auto"/>
              <w:ind w:firstLine="480" w:firstLineChars="200"/>
              <w:jc w:val="left"/>
              <w:rPr>
                <w:rFonts w:hint="eastAsia" w:ascii="宋体" w:hAnsi="宋体"/>
                <w:sz w:val="24"/>
                <w:highlight w:val="none"/>
                <w:lang w:val="en-US" w:eastAsia="zh-CN"/>
              </w:rPr>
            </w:pPr>
            <w:r>
              <w:rPr>
                <w:rFonts w:hint="eastAsia" w:ascii="宋体" w:hAnsi="宋体"/>
                <w:sz w:val="24"/>
                <w:highlight w:val="none"/>
                <w:lang w:val="en-US" w:eastAsia="zh-CN"/>
              </w:rPr>
              <w:t>3、新增回路考虑从配电箱预留回路接入。</w:t>
            </w:r>
          </w:p>
          <w:p>
            <w:pPr>
              <w:tabs>
                <w:tab w:val="left" w:pos="284"/>
              </w:tabs>
              <w:autoSpaceDE w:val="0"/>
              <w:autoSpaceDN w:val="0"/>
              <w:adjustRightInd w:val="0"/>
              <w:spacing w:line="360" w:lineRule="auto"/>
              <w:ind w:firstLine="480" w:firstLineChars="200"/>
              <w:jc w:val="left"/>
              <w:rPr>
                <w:rFonts w:hint="eastAsia" w:ascii="宋体" w:hAnsi="宋体"/>
                <w:sz w:val="24"/>
                <w:highlight w:val="none"/>
                <w:lang w:val="en-US" w:eastAsia="zh-CN"/>
              </w:rPr>
            </w:pPr>
            <w:r>
              <w:rPr>
                <w:rFonts w:hint="eastAsia" w:ascii="宋体" w:hAnsi="宋体"/>
                <w:sz w:val="24"/>
                <w:highlight w:val="none"/>
                <w:lang w:val="en-US" w:eastAsia="zh-CN"/>
              </w:rPr>
              <w:t>4、原有给水管道截断、放水、接入新管道所需附件等均包含在本次清单内，结算时不做调整。</w:t>
            </w:r>
          </w:p>
          <w:p>
            <w:pPr>
              <w:autoSpaceDE w:val="0"/>
              <w:autoSpaceDN w:val="0"/>
              <w:adjustRightInd w:val="0"/>
              <w:spacing w:line="360" w:lineRule="auto"/>
              <w:ind w:firstLine="480" w:firstLineChars="200"/>
              <w:jc w:val="left"/>
              <w:rPr>
                <w:rFonts w:ascii="宋体" w:hAnsi="宋体"/>
                <w:sz w:val="24"/>
                <w:highlight w:val="none"/>
              </w:rPr>
            </w:pPr>
            <w:r>
              <w:rPr>
                <w:rFonts w:hint="eastAsia" w:ascii="宋体" w:hAnsi="宋体"/>
                <w:sz w:val="24"/>
                <w:highlight w:val="none"/>
              </w:rPr>
              <w:t>（三）通用部分</w:t>
            </w:r>
          </w:p>
          <w:p>
            <w:pPr>
              <w:autoSpaceDE w:val="0"/>
              <w:autoSpaceDN w:val="0"/>
              <w:adjustRightInd w:val="0"/>
              <w:spacing w:line="360" w:lineRule="auto"/>
              <w:ind w:firstLine="480" w:firstLineChars="200"/>
              <w:jc w:val="left"/>
              <w:rPr>
                <w:rFonts w:ascii="宋体" w:hAnsi="宋体"/>
                <w:sz w:val="24"/>
                <w:highlight w:val="none"/>
              </w:rPr>
            </w:pPr>
            <w:r>
              <w:rPr>
                <w:rFonts w:ascii="宋体" w:hAnsi="宋体"/>
                <w:sz w:val="24"/>
                <w:highlight w:val="none"/>
              </w:rPr>
              <w:t>1</w:t>
            </w:r>
            <w:r>
              <w:rPr>
                <w:rFonts w:hint="eastAsia" w:ascii="宋体" w:hAnsi="宋体"/>
                <w:sz w:val="24"/>
                <w:highlight w:val="none"/>
              </w:rPr>
              <w:t>、投标人在投标报价时结合现场实际情况考虑夜间施工及围挡防护安全，结算时不再调整；</w:t>
            </w:r>
          </w:p>
          <w:p>
            <w:pPr>
              <w:autoSpaceDE w:val="0"/>
              <w:autoSpaceDN w:val="0"/>
              <w:adjustRightInd w:val="0"/>
              <w:spacing w:line="360" w:lineRule="auto"/>
              <w:ind w:firstLine="480" w:firstLineChars="200"/>
              <w:jc w:val="left"/>
              <w:rPr>
                <w:rFonts w:ascii="宋体" w:hAnsi="宋体"/>
                <w:sz w:val="24"/>
                <w:highlight w:val="none"/>
              </w:rPr>
            </w:pPr>
            <w:r>
              <w:rPr>
                <w:rFonts w:ascii="宋体" w:hAnsi="宋体"/>
                <w:sz w:val="24"/>
                <w:highlight w:val="none"/>
              </w:rPr>
              <w:t>2</w:t>
            </w:r>
            <w:r>
              <w:rPr>
                <w:rFonts w:hint="eastAsia" w:ascii="宋体" w:hAnsi="宋体"/>
                <w:sz w:val="24"/>
                <w:highlight w:val="none"/>
              </w:rPr>
              <w:t>、本工程所需报验、报检费用</w:t>
            </w:r>
            <w:r>
              <w:rPr>
                <w:rFonts w:hint="eastAsia" w:ascii="宋体" w:hAnsi="宋体"/>
                <w:sz w:val="24"/>
                <w:highlight w:val="none"/>
                <w:lang w:eastAsia="zh-CN"/>
              </w:rPr>
              <w:t>发包人</w:t>
            </w:r>
            <w:r>
              <w:rPr>
                <w:rFonts w:hint="eastAsia" w:ascii="宋体" w:hAnsi="宋体"/>
                <w:sz w:val="24"/>
                <w:highlight w:val="none"/>
              </w:rPr>
              <w:t>不予承担，投标人自行考虑计入投标报价；</w:t>
            </w:r>
          </w:p>
          <w:p>
            <w:pPr>
              <w:tabs>
                <w:tab w:val="left" w:pos="426"/>
              </w:tabs>
              <w:autoSpaceDE w:val="0"/>
              <w:autoSpaceDN w:val="0"/>
              <w:adjustRightInd w:val="0"/>
              <w:spacing w:line="360" w:lineRule="auto"/>
              <w:ind w:firstLine="480" w:firstLineChars="200"/>
              <w:jc w:val="left"/>
              <w:rPr>
                <w:rFonts w:ascii="宋体" w:hAnsi="宋体" w:cs="宋体"/>
                <w:kern w:val="0"/>
                <w:sz w:val="24"/>
                <w:highlight w:val="none"/>
                <w:lang w:val="zh-CN"/>
              </w:rPr>
            </w:pPr>
            <w:r>
              <w:rPr>
                <w:rFonts w:ascii="宋体" w:hAnsi="宋体" w:cs="宋体"/>
                <w:kern w:val="0"/>
                <w:sz w:val="24"/>
                <w:highlight w:val="none"/>
              </w:rPr>
              <w:t>3</w:t>
            </w:r>
            <w:r>
              <w:rPr>
                <w:rFonts w:hint="eastAsia" w:ascii="宋体" w:hAnsi="宋体" w:cs="宋体"/>
                <w:kern w:val="0"/>
                <w:sz w:val="24"/>
                <w:highlight w:val="none"/>
                <w:lang w:val="zh-CN"/>
              </w:rPr>
              <w:t>、措施费项目投标单位可自行增添内容，自行报价，未计放部分按优惠考虑，结算时不再调整，投标人在报价中应充分考虑所涉及的各项措施费及风险因素后再进行报价，</w:t>
            </w:r>
            <w:r>
              <w:rPr>
                <w:rFonts w:hint="eastAsia" w:ascii="宋体" w:hAnsi="宋体"/>
                <w:bCs/>
                <w:sz w:val="24"/>
                <w:highlight w:val="none"/>
              </w:rPr>
              <w:t>不可竞争费按规定报价</w:t>
            </w:r>
            <w:r>
              <w:rPr>
                <w:rFonts w:hint="eastAsia" w:ascii="宋体" w:hAnsi="宋体" w:cs="宋体"/>
                <w:kern w:val="0"/>
                <w:sz w:val="24"/>
                <w:highlight w:val="none"/>
                <w:lang w:val="zh-CN"/>
              </w:rPr>
              <w:t>；</w:t>
            </w:r>
          </w:p>
          <w:p>
            <w:pPr>
              <w:tabs>
                <w:tab w:val="left" w:pos="426"/>
              </w:tabs>
              <w:autoSpaceDE w:val="0"/>
              <w:autoSpaceDN w:val="0"/>
              <w:adjustRightInd w:val="0"/>
              <w:spacing w:line="360" w:lineRule="auto"/>
              <w:ind w:firstLine="480" w:firstLineChars="200"/>
              <w:jc w:val="left"/>
              <w:rPr>
                <w:rFonts w:ascii="宋体" w:hAnsi="宋体" w:cs="宋体"/>
                <w:kern w:val="0"/>
                <w:sz w:val="24"/>
                <w:highlight w:val="none"/>
                <w:lang w:val="zh-CN"/>
              </w:rPr>
            </w:pPr>
            <w:r>
              <w:rPr>
                <w:rFonts w:ascii="宋体" w:hAnsi="宋体" w:cs="宋体"/>
                <w:kern w:val="0"/>
                <w:sz w:val="24"/>
                <w:highlight w:val="none"/>
              </w:rPr>
              <w:t>4</w:t>
            </w:r>
            <w:r>
              <w:rPr>
                <w:rFonts w:hint="eastAsia" w:ascii="宋体" w:hAnsi="宋体" w:cs="宋体"/>
                <w:kern w:val="0"/>
                <w:sz w:val="24"/>
                <w:highlight w:val="none"/>
                <w:lang w:val="zh-CN"/>
              </w:rPr>
              <w:t>、施工现场、交通运输情况及自然地理条件由投标人自行现场勘察，应充分考虑本工程场地现状的特点，可能对工程施工造成的影响并由此增加的费用等，做出考量一并考虑在投标报价中；</w:t>
            </w:r>
          </w:p>
          <w:p>
            <w:pPr>
              <w:tabs>
                <w:tab w:val="left" w:pos="284"/>
                <w:tab w:val="left" w:pos="426"/>
              </w:tabs>
              <w:autoSpaceDE w:val="0"/>
              <w:autoSpaceDN w:val="0"/>
              <w:adjustRightInd w:val="0"/>
              <w:spacing w:line="360" w:lineRule="auto"/>
              <w:ind w:firstLine="480" w:firstLineChars="200"/>
              <w:jc w:val="left"/>
              <w:rPr>
                <w:rFonts w:ascii="宋体" w:hAnsi="宋体" w:cs="宋体"/>
                <w:kern w:val="0"/>
                <w:sz w:val="24"/>
                <w:highlight w:val="none"/>
                <w:lang w:val="zh-CN"/>
              </w:rPr>
            </w:pPr>
            <w:r>
              <w:rPr>
                <w:rFonts w:ascii="宋体" w:hAnsi="宋体" w:cs="宋体"/>
                <w:kern w:val="0"/>
                <w:sz w:val="24"/>
                <w:highlight w:val="none"/>
              </w:rPr>
              <w:t>5</w:t>
            </w:r>
            <w:r>
              <w:rPr>
                <w:rFonts w:hint="eastAsia" w:ascii="宋体" w:hAnsi="宋体" w:cs="宋体"/>
                <w:kern w:val="0"/>
                <w:sz w:val="24"/>
                <w:highlight w:val="none"/>
                <w:lang w:val="zh-CN"/>
              </w:rPr>
              <w:t>、清单中项目特征描述不详处，以图纸为准，投标报价时应考虑图纸所示施工要求等一切费用；</w:t>
            </w:r>
          </w:p>
          <w:p>
            <w:pPr>
              <w:tabs>
                <w:tab w:val="left" w:pos="709"/>
              </w:tabs>
              <w:spacing w:line="360" w:lineRule="auto"/>
              <w:ind w:firstLine="480" w:firstLineChars="200"/>
              <w:rPr>
                <w:rFonts w:ascii="宋体" w:hAnsi="宋体" w:cs="宋体"/>
                <w:kern w:val="0"/>
                <w:sz w:val="24"/>
                <w:highlight w:val="none"/>
                <w:lang w:val="zh-CN"/>
              </w:rPr>
            </w:pPr>
            <w:r>
              <w:rPr>
                <w:rFonts w:ascii="宋体" w:hAnsi="宋体" w:cs="宋体"/>
                <w:kern w:val="0"/>
                <w:sz w:val="24"/>
                <w:highlight w:val="none"/>
              </w:rPr>
              <w:t>6</w:t>
            </w:r>
            <w:r>
              <w:rPr>
                <w:rFonts w:hint="eastAsia" w:ascii="宋体" w:hAnsi="宋体" w:cs="宋体"/>
                <w:kern w:val="0"/>
                <w:sz w:val="24"/>
                <w:highlight w:val="none"/>
                <w:lang w:val="zh-CN"/>
              </w:rPr>
              <w:t>、工程量清单应与招标文件、招标项目图纸等文件结合起来查阅与理解。工程量清单中所描述的项目特征仅为招标人对该分部分项目工程特征的概述，而非是工程特征的全面描述，报价时必须按施工图纸及相关的国家规范的要求。</w:t>
            </w:r>
          </w:p>
          <w:p>
            <w:pPr>
              <w:pStyle w:val="23"/>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cs="宋体"/>
                <w:kern w:val="0"/>
                <w:sz w:val="24"/>
                <w:szCs w:val="24"/>
                <w:highlight w:val="none"/>
                <w:lang w:val="en-US" w:eastAsia="zh-CN" w:bidi="ar-SA"/>
              </w:rPr>
            </w:pPr>
            <w:r>
              <w:rPr>
                <w:rFonts w:hint="eastAsia"/>
                <w:highlight w:val="none"/>
                <w:lang w:val="en-US" w:eastAsia="zh-CN"/>
              </w:rPr>
              <w:t xml:space="preserve"> </w:t>
            </w:r>
            <w:r>
              <w:rPr>
                <w:rFonts w:hint="eastAsia" w:ascii="宋体" w:hAnsi="宋体" w:eastAsia="宋体" w:cs="宋体"/>
                <w:kern w:val="0"/>
                <w:sz w:val="24"/>
                <w:szCs w:val="24"/>
                <w:highlight w:val="none"/>
                <w:lang w:val="en-US" w:eastAsia="zh-CN" w:bidi="ar-SA"/>
              </w:rPr>
              <w:t>7、投标人应对图纸内容和清单中的每一个项目进行报价（包括综合单价及合价），如漏报或少报</w:t>
            </w:r>
            <w:r>
              <w:rPr>
                <w:rFonts w:hint="eastAsia" w:ascii="宋体" w:hAnsi="宋体" w:cs="宋体"/>
                <w:kern w:val="0"/>
                <w:sz w:val="24"/>
                <w:szCs w:val="24"/>
                <w:highlight w:val="none"/>
                <w:lang w:val="en-US" w:eastAsia="zh-CN" w:bidi="ar-SA"/>
              </w:rPr>
              <w:t>项目，则视为其费用已含在其它项目的综合单价或合价中，结算时不调整。</w:t>
            </w:r>
          </w:p>
          <w:p>
            <w:pPr>
              <w:pStyle w:val="2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8、工程量清单中的总价措施项目费用除安全文明措施费用按规定费率调整外，其余措施项目费用由投标单位踏勘现场后，根据施工组织设计及有关现行施工要求自行考虑完整计入投标报价中。措施费应包括场内外运输、机械进退场、临时设施、材料周转、垂直运输、二次搬运、高压防护、赶工措施、机械停置、噪音排污、围挡、非夜间施工照明费、夜间施工费、冬雨季施工、地上、地下设施、建筑物的临时保护设施、已完工程及设备保护、赶工措施、管线调查与保护、已完工程及设备保护费、交通协调以及根据本招标文件要求的风险金等全部费用。未计入部分按优惠考虑、结算时不再调整。</w:t>
            </w:r>
          </w:p>
          <w:p>
            <w:pPr>
              <w:tabs>
                <w:tab w:val="left" w:pos="426"/>
              </w:tabs>
              <w:autoSpaceDE w:val="0"/>
              <w:autoSpaceDN w:val="0"/>
              <w:adjustRightInd w:val="0"/>
              <w:spacing w:line="360" w:lineRule="auto"/>
              <w:ind w:firstLine="480" w:firstLineChars="200"/>
              <w:jc w:val="left"/>
              <w:rPr>
                <w:rFonts w:hint="eastAsia" w:ascii="宋体" w:hAnsi="宋体" w:cs="宋体"/>
                <w:kern w:val="0"/>
                <w:sz w:val="24"/>
                <w:highlight w:val="none"/>
                <w:lang w:val="zh-CN"/>
              </w:rPr>
            </w:pPr>
            <w:r>
              <w:rPr>
                <w:rFonts w:hint="eastAsia" w:ascii="宋体" w:hAnsi="宋体" w:cs="宋体"/>
                <w:kern w:val="0"/>
                <w:sz w:val="24"/>
                <w:szCs w:val="24"/>
                <w:highlight w:val="none"/>
                <w:lang w:val="en-US" w:eastAsia="zh-CN" w:bidi="ar-SA"/>
              </w:rPr>
              <w:t>9、</w:t>
            </w:r>
            <w:r>
              <w:rPr>
                <w:rFonts w:hint="eastAsia" w:ascii="宋体" w:hAnsi="宋体" w:cs="宋体"/>
                <w:kern w:val="0"/>
                <w:sz w:val="24"/>
                <w:highlight w:val="none"/>
                <w:lang w:val="zh-CN"/>
              </w:rPr>
              <w:t>施工现场、交通运输情况及自然地理条件由投标人自行现场勘察，应充分考虑本工程场地现状的特点，可能对工程施工造成的影响并由此增加的费用等，做出考量一并考虑在投标报价中；</w:t>
            </w:r>
          </w:p>
          <w:p>
            <w:pPr>
              <w:pStyle w:val="2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cs="宋体"/>
                <w:kern w:val="0"/>
                <w:sz w:val="24"/>
                <w:szCs w:val="24"/>
                <w:highlight w:val="none"/>
                <w:lang w:val="en-US" w:eastAsia="zh-CN" w:bidi="ar-SA"/>
              </w:rPr>
              <w:t>10、</w:t>
            </w:r>
            <w:r>
              <w:rPr>
                <w:rFonts w:hint="default" w:ascii="宋体" w:hAnsi="宋体" w:eastAsia="宋体" w:cs="宋体"/>
                <w:kern w:val="0"/>
                <w:sz w:val="24"/>
                <w:szCs w:val="24"/>
                <w:highlight w:val="none"/>
                <w:lang w:val="en-US" w:eastAsia="zh-CN" w:bidi="ar-SA"/>
              </w:rPr>
              <w:t>各投标人在进行综合报价时必须结合施工图、招标文件中的相关条款及清单描述进行报价，清单子目中未能对各节点详图进行完全性描述的必须结合施工图详细节点进行报价，否则视为已计入相应项目综合单价内，中标后将不调整综合单价。若施工图、招标文件中相关条款及清单描述有冲突的，投标人应在“澄清答疑”环节中向招标人提出，招标人将在“澄清答疑”环节中答复；投标人未在“澄清答疑”环节提出的，则最终解释权归属于招标人</w:t>
            </w:r>
            <w:r>
              <w:rPr>
                <w:rFonts w:hint="eastAsia" w:ascii="宋体" w:hAnsi="宋体" w:cs="宋体"/>
                <w:kern w:val="0"/>
                <w:sz w:val="24"/>
                <w:szCs w:val="24"/>
                <w:highlight w:val="none"/>
                <w:lang w:val="en-US" w:eastAsia="zh-CN" w:bidi="ar-SA"/>
              </w:rPr>
              <w:t>。</w:t>
            </w:r>
          </w:p>
          <w:p>
            <w:pPr>
              <w:pStyle w:val="23"/>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11、</w:t>
            </w:r>
          </w:p>
          <w:tbl>
            <w:tblPr>
              <w:tblStyle w:val="26"/>
              <w:tblW w:w="79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961"/>
              <w:gridCol w:w="869"/>
              <w:gridCol w:w="3686"/>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6" w:hRule="atLeast"/>
                <w:jc w:val="center"/>
              </w:trPr>
              <w:tc>
                <w:tcPr>
                  <w:tcW w:w="1961" w:type="dxa"/>
                  <w:vAlign w:val="center"/>
                </w:tcPr>
                <w:p>
                  <w:pPr>
                    <w:spacing w:line="460" w:lineRule="exact"/>
                    <w:ind w:left="420"/>
                    <w:jc w:val="left"/>
                    <w:rPr>
                      <w:highlight w:val="none"/>
                    </w:rPr>
                  </w:pPr>
                  <w:r>
                    <w:rPr>
                      <w:rFonts w:hint="eastAsia"/>
                      <w:highlight w:val="none"/>
                    </w:rPr>
                    <w:t>材料、设备名称</w:t>
                  </w:r>
                </w:p>
              </w:tc>
              <w:tc>
                <w:tcPr>
                  <w:tcW w:w="869" w:type="dxa"/>
                  <w:vAlign w:val="center"/>
                </w:tcPr>
                <w:p>
                  <w:pPr>
                    <w:spacing w:line="460" w:lineRule="exact"/>
                    <w:jc w:val="center"/>
                    <w:rPr>
                      <w:highlight w:val="none"/>
                    </w:rPr>
                  </w:pPr>
                  <w:r>
                    <w:rPr>
                      <w:rFonts w:hint="eastAsia"/>
                      <w:highlight w:val="none"/>
                    </w:rPr>
                    <w:t>规格</w:t>
                  </w:r>
                </w:p>
              </w:tc>
              <w:tc>
                <w:tcPr>
                  <w:tcW w:w="3686" w:type="dxa"/>
                  <w:vAlign w:val="center"/>
                </w:tcPr>
                <w:p>
                  <w:pPr>
                    <w:spacing w:line="460" w:lineRule="exact"/>
                    <w:ind w:left="420"/>
                    <w:jc w:val="center"/>
                    <w:rPr>
                      <w:rFonts w:hint="eastAsia" w:eastAsia="宋体"/>
                      <w:highlight w:val="none"/>
                      <w:lang w:eastAsia="zh-CN"/>
                    </w:rPr>
                  </w:pPr>
                  <w:r>
                    <w:rPr>
                      <w:rFonts w:hint="eastAsia"/>
                      <w:highlight w:val="none"/>
                      <w:lang w:eastAsia="zh-CN"/>
                    </w:rPr>
                    <w:t>品牌参考或相当于</w:t>
                  </w:r>
                </w:p>
              </w:tc>
              <w:tc>
                <w:tcPr>
                  <w:tcW w:w="1418" w:type="dxa"/>
                  <w:vAlign w:val="center"/>
                </w:tcPr>
                <w:p>
                  <w:pPr>
                    <w:spacing w:line="460" w:lineRule="exact"/>
                    <w:ind w:left="420"/>
                    <w:jc w:val="center"/>
                    <w:rPr>
                      <w:highlight w:val="none"/>
                    </w:rPr>
                  </w:pPr>
                  <w:r>
                    <w:rPr>
                      <w:rFonts w:hint="eastAsia"/>
                      <w:highlight w:val="none"/>
                    </w:rPr>
                    <w:t>材质、参数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jc w:val="center"/>
              </w:trPr>
              <w:tc>
                <w:tcPr>
                  <w:tcW w:w="7934" w:type="dxa"/>
                  <w:gridSpan w:val="4"/>
                  <w:vAlign w:val="center"/>
                </w:tcPr>
                <w:p>
                  <w:pPr>
                    <w:spacing w:line="460" w:lineRule="exact"/>
                    <w:ind w:left="420"/>
                    <w:jc w:val="left"/>
                    <w:rPr>
                      <w:highlight w:val="none"/>
                    </w:rPr>
                  </w:pPr>
                  <w:r>
                    <w:rPr>
                      <w:rFonts w:hint="eastAsia"/>
                      <w:highlight w:val="none"/>
                    </w:rPr>
                    <w:t>土建材料类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jc w:val="center"/>
              </w:trPr>
              <w:tc>
                <w:tcPr>
                  <w:tcW w:w="1961" w:type="dxa"/>
                  <w:vAlign w:val="center"/>
                </w:tcPr>
                <w:p>
                  <w:pPr>
                    <w:spacing w:line="460" w:lineRule="exact"/>
                    <w:jc w:val="center"/>
                    <w:rPr>
                      <w:highlight w:val="none"/>
                    </w:rPr>
                  </w:pPr>
                  <w:r>
                    <w:rPr>
                      <w:rFonts w:hint="eastAsia"/>
                      <w:highlight w:val="none"/>
                    </w:rPr>
                    <w:t>钢筋</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马钢、南钢、沙钢、永钢或同档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jc w:val="center"/>
              </w:trPr>
              <w:tc>
                <w:tcPr>
                  <w:tcW w:w="1961" w:type="dxa"/>
                  <w:vAlign w:val="center"/>
                </w:tcPr>
                <w:p>
                  <w:pPr>
                    <w:spacing w:line="460" w:lineRule="exact"/>
                    <w:jc w:val="center"/>
                    <w:rPr>
                      <w:highlight w:val="none"/>
                    </w:rPr>
                  </w:pPr>
                  <w:r>
                    <w:rPr>
                      <w:rFonts w:hint="eastAsia"/>
                      <w:highlight w:val="none"/>
                    </w:rPr>
                    <w:t>型钢</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马钢、南钢、沙钢、永钢或同档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jc w:val="center"/>
              </w:trPr>
              <w:tc>
                <w:tcPr>
                  <w:tcW w:w="1961" w:type="dxa"/>
                  <w:vAlign w:val="center"/>
                </w:tcPr>
                <w:p>
                  <w:pPr>
                    <w:spacing w:line="460" w:lineRule="exact"/>
                    <w:jc w:val="center"/>
                    <w:rPr>
                      <w:highlight w:val="none"/>
                    </w:rPr>
                  </w:pPr>
                  <w:r>
                    <w:rPr>
                      <w:rFonts w:hint="eastAsia"/>
                      <w:highlight w:val="none"/>
                    </w:rPr>
                    <w:t>水泥</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双猴、海螺、三龙、盘固或同档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jc w:val="center"/>
              </w:trPr>
              <w:tc>
                <w:tcPr>
                  <w:tcW w:w="1961" w:type="dxa"/>
                  <w:vAlign w:val="center"/>
                </w:tcPr>
                <w:p>
                  <w:pPr>
                    <w:spacing w:line="460" w:lineRule="exact"/>
                    <w:jc w:val="center"/>
                    <w:rPr>
                      <w:highlight w:val="none"/>
                    </w:rPr>
                  </w:pPr>
                  <w:r>
                    <w:rPr>
                      <w:rFonts w:hint="eastAsia"/>
                      <w:highlight w:val="none"/>
                    </w:rPr>
                    <w:t>防水卷材</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bookmarkStart w:id="40" w:name="OLE_LINK4"/>
                  <w:bookmarkStart w:id="41" w:name="OLE_LINK3"/>
                  <w:r>
                    <w:rPr>
                      <w:rFonts w:hint="eastAsia"/>
                      <w:highlight w:val="none"/>
                    </w:rPr>
                    <w:t>南京禹王、东方雨虹、江苏豫龙</w:t>
                  </w:r>
                  <w:bookmarkEnd w:id="40"/>
                  <w:bookmarkEnd w:id="41"/>
                  <w:r>
                    <w:rPr>
                      <w:rFonts w:hint="eastAsia"/>
                      <w:highlight w:val="none"/>
                    </w:rPr>
                    <w:t>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防火门</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江苏京</w:t>
                  </w:r>
                  <w:r>
                    <w:rPr>
                      <w:highlight w:val="none"/>
                    </w:rPr>
                    <w:t>安、江苏天木、靖江</w:t>
                  </w:r>
                  <w:r>
                    <w:rPr>
                      <w:rFonts w:hint="eastAsia"/>
                      <w:highlight w:val="none"/>
                    </w:rPr>
                    <w:t>启</w:t>
                  </w:r>
                  <w:r>
                    <w:rPr>
                      <w:highlight w:val="none"/>
                    </w:rPr>
                    <w:t>达</w:t>
                  </w:r>
                  <w:r>
                    <w:rPr>
                      <w:rFonts w:hint="eastAsia"/>
                      <w:highlight w:val="none"/>
                    </w:rPr>
                    <w:t>或同档</w:t>
                  </w:r>
                </w:p>
              </w:tc>
              <w:tc>
                <w:tcPr>
                  <w:tcW w:w="1418" w:type="dxa"/>
                  <w:vAlign w:val="center"/>
                </w:tcPr>
                <w:p>
                  <w:pPr>
                    <w:spacing w:line="460" w:lineRule="exact"/>
                    <w:ind w:left="420"/>
                    <w:rPr>
                      <w:highlight w:val="none"/>
                    </w:rPr>
                  </w:pPr>
                  <w:r>
                    <w:rPr>
                      <w:rFonts w:hint="eastAsia"/>
                      <w:highlight w:val="none"/>
                    </w:rPr>
                    <w:t>需消防主管部门认可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7934" w:type="dxa"/>
                  <w:gridSpan w:val="4"/>
                  <w:vAlign w:val="center"/>
                </w:tcPr>
                <w:p>
                  <w:pPr>
                    <w:spacing w:line="460" w:lineRule="exact"/>
                    <w:ind w:left="420"/>
                    <w:jc w:val="left"/>
                    <w:rPr>
                      <w:highlight w:val="none"/>
                    </w:rPr>
                  </w:pPr>
                  <w:r>
                    <w:rPr>
                      <w:rFonts w:hint="eastAsia"/>
                      <w:highlight w:val="none"/>
                    </w:rPr>
                    <w:t>装饰材料类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墙、地砖</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诺贝尔、萨米特、蒙娜丽莎或同档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乳胶漆</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多乐士、立邦、华润或同档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板材</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兔宝宝、</w:t>
                  </w:r>
                  <w:r>
                    <w:rPr>
                      <w:highlight w:val="none"/>
                    </w:rPr>
                    <w:t>莫干山、伟业</w:t>
                  </w:r>
                  <w:r>
                    <w:rPr>
                      <w:rFonts w:hint="eastAsia"/>
                      <w:highlight w:val="none"/>
                    </w:rPr>
                    <w:t>或同档</w:t>
                  </w:r>
                </w:p>
              </w:tc>
              <w:tc>
                <w:tcPr>
                  <w:tcW w:w="1418" w:type="dxa"/>
                  <w:vAlign w:val="center"/>
                </w:tcPr>
                <w:p>
                  <w:pPr>
                    <w:spacing w:line="460" w:lineRule="exact"/>
                    <w:ind w:left="420"/>
                    <w:rPr>
                      <w:highlight w:val="none"/>
                    </w:rPr>
                  </w:pPr>
                </w:p>
                <w:p>
                  <w:pPr>
                    <w:spacing w:line="460" w:lineRule="exact"/>
                    <w:ind w:left="420"/>
                    <w:rPr>
                      <w:highlight w:val="none"/>
                    </w:rPr>
                  </w:pPr>
                  <w:r>
                    <w:rPr>
                      <w:rFonts w:hint="eastAsia"/>
                      <w:highlight w:val="none"/>
                    </w:rPr>
                    <w:t>E</w:t>
                  </w:r>
                  <w:r>
                    <w:rPr>
                      <w:highlight w:val="none"/>
                    </w:rPr>
                    <w:t>1</w:t>
                  </w:r>
                  <w:r>
                    <w:rPr>
                      <w:rFonts w:hint="eastAsia"/>
                      <w:highlight w:val="none"/>
                    </w:rPr>
                    <w:t>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三聚氰胺饰面刨花板</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皖华、大亚、露水河或同档</w:t>
                  </w:r>
                </w:p>
              </w:tc>
              <w:tc>
                <w:tcPr>
                  <w:tcW w:w="1418" w:type="dxa"/>
                  <w:vAlign w:val="center"/>
                </w:tcPr>
                <w:p>
                  <w:pPr>
                    <w:spacing w:line="460" w:lineRule="exact"/>
                    <w:ind w:left="420"/>
                    <w:rPr>
                      <w:highlight w:val="none"/>
                    </w:rPr>
                  </w:pPr>
                  <w:r>
                    <w:rPr>
                      <w:rFonts w:hint="eastAsia"/>
                      <w:highlight w:val="none"/>
                    </w:rPr>
                    <w:t>E1及以上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轻钢龙骨</w:t>
                  </w:r>
                  <w:r>
                    <w:rPr>
                      <w:highlight w:val="none"/>
                    </w:rPr>
                    <w:t>、</w:t>
                  </w:r>
                  <w:r>
                    <w:rPr>
                      <w:rFonts w:hint="eastAsia"/>
                      <w:highlight w:val="none"/>
                    </w:rPr>
                    <w:t>硅钙板、</w:t>
                  </w:r>
                  <w:r>
                    <w:rPr>
                      <w:highlight w:val="none"/>
                    </w:rPr>
                    <w:t>矿棉板</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龙牌、星牌</w:t>
                  </w:r>
                  <w:r>
                    <w:rPr>
                      <w:highlight w:val="none"/>
                    </w:rPr>
                    <w:t>、</w:t>
                  </w:r>
                  <w:r>
                    <w:rPr>
                      <w:rFonts w:hint="eastAsia"/>
                      <w:highlight w:val="none"/>
                    </w:rPr>
                    <w:t>阿姆斯壮或同档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石膏板</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龙牌、星牌</w:t>
                  </w:r>
                  <w:r>
                    <w:rPr>
                      <w:highlight w:val="none"/>
                    </w:rPr>
                    <w:t>、</w:t>
                  </w:r>
                  <w:r>
                    <w:rPr>
                      <w:rFonts w:hint="eastAsia"/>
                      <w:highlight w:val="none"/>
                    </w:rPr>
                    <w:t>阿姆斯壮或同档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44" w:hRule="atLeast"/>
                <w:jc w:val="center"/>
              </w:trPr>
              <w:tc>
                <w:tcPr>
                  <w:tcW w:w="1961" w:type="dxa"/>
                  <w:vAlign w:val="center"/>
                </w:tcPr>
                <w:p>
                  <w:pPr>
                    <w:spacing w:line="460" w:lineRule="exact"/>
                    <w:jc w:val="center"/>
                    <w:rPr>
                      <w:highlight w:val="none"/>
                    </w:rPr>
                  </w:pPr>
                  <w:r>
                    <w:rPr>
                      <w:rFonts w:hint="eastAsia"/>
                      <w:highlight w:val="none"/>
                    </w:rPr>
                    <w:t>玻璃</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南玻、耀皮、金晶或同档</w:t>
                  </w:r>
                </w:p>
              </w:tc>
              <w:tc>
                <w:tcPr>
                  <w:tcW w:w="1418" w:type="dxa"/>
                  <w:vAlign w:val="center"/>
                </w:tcPr>
                <w:p>
                  <w:pPr>
                    <w:spacing w:line="460" w:lineRule="exact"/>
                    <w:ind w:left="420"/>
                    <w:rPr>
                      <w:highlight w:val="none"/>
                    </w:rPr>
                  </w:pPr>
                  <w:r>
                    <w:rPr>
                      <w:rFonts w:hint="eastAsia"/>
                      <w:highlight w:val="none"/>
                    </w:rPr>
                    <w:t>深加工：南京新宁耀，上海耀皮，吴江南玻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铝型材</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坚美、亚铝、凤铝或同档</w:t>
                  </w:r>
                </w:p>
              </w:tc>
              <w:tc>
                <w:tcPr>
                  <w:tcW w:w="1418" w:type="dxa"/>
                  <w:vAlign w:val="center"/>
                </w:tcPr>
                <w:p>
                  <w:pPr>
                    <w:spacing w:line="460" w:lineRule="exact"/>
                    <w:ind w:left="420"/>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五金件（门窗、橱柜拉手等）</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坚朗、立兴、国强或同档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结构胶、密封胶</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广州白云、杭州之江、上海道康宁或同档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集成吊顶</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浦菲尔，普洛斯，聆听或同档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不锈钢</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太钢、酒钢、宝钢或同档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复合地板</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圣象、大自然、安心或</w:t>
                  </w:r>
                  <w:r>
                    <w:rPr>
                      <w:highlight w:val="none"/>
                    </w:rPr>
                    <w:t>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防静电地板</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红日  汇丽  沈阳沈飞或同档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7934" w:type="dxa"/>
                  <w:gridSpan w:val="4"/>
                  <w:vAlign w:val="center"/>
                </w:tcPr>
                <w:p>
                  <w:pPr>
                    <w:spacing w:line="460" w:lineRule="exact"/>
                    <w:ind w:left="420"/>
                    <w:jc w:val="left"/>
                    <w:rPr>
                      <w:highlight w:val="none"/>
                    </w:rPr>
                  </w:pPr>
                  <w:r>
                    <w:rPr>
                      <w:rFonts w:hint="eastAsia"/>
                      <w:highlight w:val="none"/>
                    </w:rPr>
                    <w:t>安装材料类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配电箱、柜</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施耐德、A</w:t>
                  </w:r>
                  <w:r>
                    <w:rPr>
                      <w:highlight w:val="none"/>
                    </w:rPr>
                    <w:t>BB</w:t>
                  </w:r>
                  <w:r>
                    <w:rPr>
                      <w:rFonts w:hint="eastAsia"/>
                      <w:highlight w:val="none"/>
                    </w:rPr>
                    <w:t>、西门子或同档</w:t>
                  </w:r>
                </w:p>
              </w:tc>
              <w:tc>
                <w:tcPr>
                  <w:tcW w:w="1418" w:type="dxa"/>
                  <w:vAlign w:val="center"/>
                </w:tcPr>
                <w:p>
                  <w:pPr>
                    <w:spacing w:line="460" w:lineRule="exact"/>
                    <w:ind w:left="420"/>
                    <w:rPr>
                      <w:highlight w:val="none"/>
                    </w:rPr>
                  </w:pPr>
                  <w:r>
                    <w:rPr>
                      <w:rFonts w:hint="eastAsia"/>
                      <w:highlight w:val="none"/>
                    </w:rPr>
                    <w:t>消防3</w:t>
                  </w:r>
                  <w:r>
                    <w:rPr>
                      <w:highlight w:val="none"/>
                    </w:rPr>
                    <w:t>cf</w:t>
                  </w:r>
                  <w:r>
                    <w:rPr>
                      <w:rFonts w:hint="eastAsia"/>
                      <w:highlight w:val="none"/>
                    </w:rPr>
                    <w:t>认证产品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电线、电缆</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上上、宝胜、江南或同档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开关</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飞利浦、施耐德、西门子或同档</w:t>
                  </w:r>
                </w:p>
              </w:tc>
              <w:tc>
                <w:tcPr>
                  <w:tcW w:w="1418" w:type="dxa"/>
                  <w:vAlign w:val="center"/>
                </w:tcPr>
                <w:p>
                  <w:pPr>
                    <w:spacing w:line="460" w:lineRule="exact"/>
                    <w:ind w:left="420"/>
                    <w:rPr>
                      <w:highlight w:val="none"/>
                    </w:rPr>
                  </w:pPr>
                  <w:r>
                    <w:rPr>
                      <w:rFonts w:hint="eastAsia"/>
                      <w:highlight w:val="none"/>
                    </w:rPr>
                    <w:t>翘板式</w:t>
                  </w:r>
                </w:p>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插座</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飞利浦、施耐德、西门子或同档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灯具</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三雄极光</w:t>
                  </w:r>
                  <w:r>
                    <w:rPr>
                      <w:highlight w:val="none"/>
                    </w:rPr>
                    <w:t>、飞利浦、松下</w:t>
                  </w:r>
                  <w:r>
                    <w:rPr>
                      <w:rFonts w:hint="eastAsia"/>
                      <w:highlight w:val="none"/>
                    </w:rPr>
                    <w:t>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电线</w:t>
                  </w:r>
                  <w:r>
                    <w:rPr>
                      <w:highlight w:val="none"/>
                    </w:rPr>
                    <w:t>套管</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湖光、皇塘</w:t>
                  </w:r>
                  <w:r>
                    <w:rPr>
                      <w:highlight w:val="none"/>
                    </w:rPr>
                    <w:t>、</w:t>
                  </w:r>
                  <w:r>
                    <w:rPr>
                      <w:rFonts w:hint="eastAsia"/>
                      <w:highlight w:val="none"/>
                    </w:rPr>
                    <w:t>白蝶、成龙或同档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不锈</w:t>
                  </w:r>
                  <w:r>
                    <w:rPr>
                      <w:highlight w:val="none"/>
                    </w:rPr>
                    <w:t>钢管</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太钢</w:t>
                  </w:r>
                  <w:r>
                    <w:rPr>
                      <w:highlight w:val="none"/>
                    </w:rPr>
                    <w:t>、</w:t>
                  </w:r>
                  <w:r>
                    <w:rPr>
                      <w:rFonts w:hint="eastAsia"/>
                      <w:highlight w:val="none"/>
                    </w:rPr>
                    <w:t>宝钢</w:t>
                  </w:r>
                  <w:r>
                    <w:rPr>
                      <w:highlight w:val="none"/>
                    </w:rPr>
                    <w:t>、</w:t>
                  </w:r>
                  <w:r>
                    <w:rPr>
                      <w:rFonts w:hint="eastAsia"/>
                      <w:highlight w:val="none"/>
                    </w:rPr>
                    <w:t>酒钢、道成或同档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镀锌钢管</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友发</w:t>
                  </w:r>
                  <w:r>
                    <w:rPr>
                      <w:highlight w:val="none"/>
                    </w:rPr>
                    <w:t>、湖光、金</w:t>
                  </w:r>
                  <w:r>
                    <w:rPr>
                      <w:rFonts w:hint="eastAsia"/>
                      <w:highlight w:val="none"/>
                    </w:rPr>
                    <w:t>州</w:t>
                  </w:r>
                  <w:r>
                    <w:rPr>
                      <w:highlight w:val="none"/>
                    </w:rPr>
                    <w:t>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阀门</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塘沽</w:t>
                  </w:r>
                  <w:r>
                    <w:rPr>
                      <w:highlight w:val="none"/>
                    </w:rPr>
                    <w:t>、艺创、花山或同档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生活类</w:t>
                  </w:r>
                  <w:r>
                    <w:rPr>
                      <w:highlight w:val="none"/>
                    </w:rPr>
                    <w:t>水泵</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格兰富</w:t>
                  </w:r>
                  <w:r>
                    <w:rPr>
                      <w:highlight w:val="none"/>
                    </w:rPr>
                    <w:t>、威乐、</w:t>
                  </w:r>
                  <w:r>
                    <w:rPr>
                      <w:rFonts w:hint="eastAsia"/>
                      <w:highlight w:val="none"/>
                    </w:rPr>
                    <w:t>赛莱默或同档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潜水泵</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山东双轮、聊城、上海凯泉或同档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消防</w:t>
                  </w:r>
                  <w:r>
                    <w:rPr>
                      <w:highlight w:val="none"/>
                    </w:rPr>
                    <w:t>泵房</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山东双轮、聊城、上海凯泉或同档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风口</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南京</w:t>
                  </w:r>
                  <w:r>
                    <w:rPr>
                      <w:highlight w:val="none"/>
                    </w:rPr>
                    <w:t>宝通、江苏知名、南京创元</w:t>
                  </w:r>
                  <w:r>
                    <w:rPr>
                      <w:rFonts w:hint="eastAsia"/>
                      <w:highlight w:val="none"/>
                    </w:rPr>
                    <w:t>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防火阀、风阀</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南京</w:t>
                  </w:r>
                  <w:r>
                    <w:rPr>
                      <w:highlight w:val="none"/>
                    </w:rPr>
                    <w:t>宝通、江苏知名、南京创元</w:t>
                  </w:r>
                  <w:r>
                    <w:rPr>
                      <w:rFonts w:hint="eastAsia"/>
                      <w:highlight w:val="none"/>
                    </w:rPr>
                    <w:t>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风机</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南京</w:t>
                  </w:r>
                  <w:r>
                    <w:rPr>
                      <w:highlight w:val="none"/>
                    </w:rPr>
                    <w:t>宝通、江苏知名、南京创元</w:t>
                  </w:r>
                  <w:r>
                    <w:rPr>
                      <w:rFonts w:hint="eastAsia"/>
                      <w:highlight w:val="none"/>
                    </w:rPr>
                    <w:t>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961" w:type="dxa"/>
                  <w:vAlign w:val="center"/>
                </w:tcPr>
                <w:p>
                  <w:pPr>
                    <w:spacing w:line="460" w:lineRule="exact"/>
                    <w:jc w:val="center"/>
                    <w:rPr>
                      <w:highlight w:val="none"/>
                    </w:rPr>
                  </w:pPr>
                  <w:r>
                    <w:rPr>
                      <w:highlight w:val="none"/>
                    </w:rPr>
                    <w:t>保温</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赢胜</w:t>
                  </w:r>
                  <w:r>
                    <w:rPr>
                      <w:highlight w:val="none"/>
                    </w:rPr>
                    <w:t>、亚罗费、福姆斯</w:t>
                  </w:r>
                  <w:r>
                    <w:rPr>
                      <w:rFonts w:hint="eastAsia"/>
                      <w:highlight w:val="none"/>
                    </w:rPr>
                    <w:t>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消防弱电、火灾报警设备</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上海松江</w:t>
                  </w:r>
                  <w:r>
                    <w:rPr>
                      <w:highlight w:val="none"/>
                    </w:rPr>
                    <w:t>（云安）</w:t>
                  </w:r>
                  <w:r>
                    <w:rPr>
                      <w:rFonts w:hint="eastAsia"/>
                      <w:highlight w:val="none"/>
                    </w:rPr>
                    <w:t>、秦皇岛</w:t>
                  </w:r>
                  <w:r>
                    <w:rPr>
                      <w:highlight w:val="none"/>
                    </w:rPr>
                    <w:t>海湾（</w:t>
                  </w:r>
                  <w:r>
                    <w:rPr>
                      <w:rFonts w:hint="eastAsia"/>
                      <w:highlight w:val="none"/>
                    </w:rPr>
                    <w:t>GST）</w:t>
                  </w:r>
                  <w:r>
                    <w:rPr>
                      <w:highlight w:val="none"/>
                    </w:rPr>
                    <w:t>、西安</w:t>
                  </w:r>
                  <w:r>
                    <w:rPr>
                      <w:rFonts w:hint="eastAsia"/>
                      <w:highlight w:val="none"/>
                    </w:rPr>
                    <w:t>262厂</w:t>
                  </w:r>
                  <w:r>
                    <w:rPr>
                      <w:highlight w:val="none"/>
                    </w:rPr>
                    <w:t>（古城）</w:t>
                  </w:r>
                  <w:r>
                    <w:rPr>
                      <w:rFonts w:hint="eastAsia"/>
                      <w:highlight w:val="none"/>
                    </w:rPr>
                    <w:t>、北大青鸟或同档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盥洗台橱柜</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台面人造石颜色、台盆大小订货前由</w:t>
                  </w:r>
                  <w:r>
                    <w:rPr>
                      <w:rFonts w:hint="eastAsia"/>
                      <w:highlight w:val="none"/>
                      <w:lang w:eastAsia="zh-CN"/>
                    </w:rPr>
                    <w:t>发包人</w:t>
                  </w:r>
                  <w:r>
                    <w:rPr>
                      <w:rFonts w:hint="eastAsia"/>
                      <w:highlight w:val="none"/>
                    </w:rPr>
                    <w:t>确定或同档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水龙头及卫生洁具</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箭牌、恒洁、九牧或同档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UPVC塑料管</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金牛</w:t>
                  </w:r>
                  <w:r>
                    <w:rPr>
                      <w:highlight w:val="none"/>
                    </w:rPr>
                    <w:t>、</w:t>
                  </w:r>
                  <w:r>
                    <w:rPr>
                      <w:rFonts w:hint="eastAsia"/>
                      <w:highlight w:val="none"/>
                    </w:rPr>
                    <w:t>公元</w:t>
                  </w:r>
                  <w:r>
                    <w:rPr>
                      <w:highlight w:val="none"/>
                    </w:rPr>
                    <w:t>、华亚</w:t>
                  </w:r>
                  <w:r>
                    <w:rPr>
                      <w:rFonts w:hint="eastAsia"/>
                      <w:highlight w:val="none"/>
                    </w:rPr>
                    <w:t>、白蝶或同档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P</w:t>
                  </w:r>
                  <w:r>
                    <w:rPr>
                      <w:highlight w:val="none"/>
                    </w:rPr>
                    <w:t>P</w:t>
                  </w:r>
                  <w:r>
                    <w:rPr>
                      <w:rFonts w:hint="eastAsia"/>
                      <w:highlight w:val="none"/>
                    </w:rPr>
                    <w:t>管</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绿岛、联硕</w:t>
                  </w:r>
                  <w:r>
                    <w:rPr>
                      <w:highlight w:val="none"/>
                    </w:rPr>
                    <w:t>、</w:t>
                  </w:r>
                  <w:r>
                    <w:rPr>
                      <w:rFonts w:hint="eastAsia"/>
                      <w:highlight w:val="none"/>
                    </w:rPr>
                    <w:t>白蝶或同档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PPR管</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联塑、伟星、中财、金牛或同档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JQ-PSP钢塑复合压力管</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金牛、</w:t>
                  </w:r>
                  <w:r>
                    <w:rPr>
                      <w:highlight w:val="none"/>
                    </w:rPr>
                    <w:t>新兴、</w:t>
                  </w:r>
                  <w:r>
                    <w:rPr>
                      <w:rFonts w:hint="eastAsia"/>
                      <w:highlight w:val="none"/>
                    </w:rPr>
                    <w:t>军星或同档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母线、桥架</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西杰、帅天、新浪花或同档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排水管及管井</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亚细亚、阳光、冠华或同档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镀锌钢板</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宝钢、马钢、鞍钢或同档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增压供水设备</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熊猫、赛莱默、威派格或同档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定压补水装置、微泡排气除污装置</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欧埃泰科、海鹰、埃瓦科或同档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2" w:hRule="atLeast"/>
                <w:jc w:val="center"/>
              </w:trPr>
              <w:tc>
                <w:tcPr>
                  <w:tcW w:w="1961" w:type="dxa"/>
                  <w:vAlign w:val="center"/>
                </w:tcPr>
                <w:p>
                  <w:pPr>
                    <w:spacing w:line="460" w:lineRule="exact"/>
                    <w:jc w:val="center"/>
                    <w:rPr>
                      <w:highlight w:val="none"/>
                    </w:rPr>
                  </w:pPr>
                  <w:r>
                    <w:rPr>
                      <w:rFonts w:hint="eastAsia"/>
                      <w:highlight w:val="none"/>
                    </w:rPr>
                    <w:t>热水器</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皇明，樱花、海尔或同档</w:t>
                  </w:r>
                </w:p>
                <w:p>
                  <w:pPr>
                    <w:spacing w:line="460" w:lineRule="exact"/>
                    <w:ind w:left="420"/>
                    <w:rPr>
                      <w:highlight w:val="none"/>
                    </w:rPr>
                  </w:pP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太阳能品牌</w:t>
                  </w:r>
                </w:p>
                <w:p>
                  <w:pPr>
                    <w:spacing w:line="460" w:lineRule="exact"/>
                    <w:ind w:left="420"/>
                    <w:jc w:val="center"/>
                    <w:rPr>
                      <w:highlight w:val="none"/>
                    </w:rPr>
                  </w:pP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太阳雨 海尔 皇明 桑夏 四季沐歌或同档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空气能电辅热</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AO 史密斯 格力、美的 海尔或同档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vAlign w:val="center"/>
                </w:tcPr>
                <w:p>
                  <w:pPr>
                    <w:spacing w:line="460" w:lineRule="exact"/>
                    <w:jc w:val="center"/>
                    <w:rPr>
                      <w:highlight w:val="none"/>
                    </w:rPr>
                  </w:pPr>
                  <w:r>
                    <w:rPr>
                      <w:rFonts w:hint="eastAsia"/>
                      <w:highlight w:val="none"/>
                    </w:rPr>
                    <w:t>远传水表</w:t>
                  </w:r>
                </w:p>
              </w:tc>
              <w:tc>
                <w:tcPr>
                  <w:tcW w:w="869" w:type="dxa"/>
                  <w:vAlign w:val="center"/>
                </w:tcPr>
                <w:p>
                  <w:pPr>
                    <w:spacing w:line="460" w:lineRule="exact"/>
                    <w:ind w:left="420"/>
                    <w:rPr>
                      <w:highlight w:val="none"/>
                    </w:rPr>
                  </w:pPr>
                </w:p>
              </w:tc>
              <w:tc>
                <w:tcPr>
                  <w:tcW w:w="3686" w:type="dxa"/>
                  <w:vAlign w:val="center"/>
                </w:tcPr>
                <w:p>
                  <w:pPr>
                    <w:spacing w:line="460" w:lineRule="exact"/>
                    <w:ind w:left="420"/>
                    <w:rPr>
                      <w:highlight w:val="none"/>
                    </w:rPr>
                  </w:pPr>
                  <w:r>
                    <w:rPr>
                      <w:rFonts w:hint="eastAsia"/>
                      <w:highlight w:val="none"/>
                    </w:rPr>
                    <w:t>北京京源，苏州埃创，宁波水表，福州真兰或同档</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tcPr>
                <w:p>
                  <w:pPr>
                    <w:jc w:val="center"/>
                    <w:rPr>
                      <w:highlight w:val="none"/>
                    </w:rPr>
                  </w:pPr>
                  <w:r>
                    <w:rPr>
                      <w:rFonts w:hint="eastAsia"/>
                      <w:highlight w:val="none"/>
                    </w:rPr>
                    <w:t>水流指示器、信号蝶阀</w:t>
                  </w:r>
                </w:p>
              </w:tc>
              <w:tc>
                <w:tcPr>
                  <w:tcW w:w="869" w:type="dxa"/>
                </w:tcPr>
                <w:p>
                  <w:pPr>
                    <w:jc w:val="left"/>
                    <w:rPr>
                      <w:highlight w:val="none"/>
                    </w:rPr>
                  </w:pPr>
                </w:p>
              </w:tc>
              <w:tc>
                <w:tcPr>
                  <w:tcW w:w="3686" w:type="dxa"/>
                </w:tcPr>
                <w:p>
                  <w:pPr>
                    <w:spacing w:line="460" w:lineRule="exact"/>
                    <w:ind w:left="420"/>
                    <w:rPr>
                      <w:highlight w:val="none"/>
                    </w:rPr>
                  </w:pPr>
                  <w:r>
                    <w:rPr>
                      <w:rFonts w:hint="eastAsia"/>
                      <w:highlight w:val="none"/>
                    </w:rPr>
                    <w:t>复兴、奇杰、北京精艺正泰或同档次品牌</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tcPr>
                <w:p>
                  <w:pPr>
                    <w:jc w:val="center"/>
                    <w:rPr>
                      <w:highlight w:val="none"/>
                    </w:rPr>
                  </w:pPr>
                  <w:r>
                    <w:rPr>
                      <w:rFonts w:hint="eastAsia"/>
                      <w:highlight w:val="none"/>
                    </w:rPr>
                    <w:t>消防喷淋喷头</w:t>
                  </w:r>
                </w:p>
              </w:tc>
              <w:tc>
                <w:tcPr>
                  <w:tcW w:w="869" w:type="dxa"/>
                </w:tcPr>
                <w:p>
                  <w:pPr>
                    <w:jc w:val="left"/>
                    <w:rPr>
                      <w:highlight w:val="none"/>
                    </w:rPr>
                  </w:pPr>
                </w:p>
              </w:tc>
              <w:tc>
                <w:tcPr>
                  <w:tcW w:w="3686" w:type="dxa"/>
                </w:tcPr>
                <w:p>
                  <w:pPr>
                    <w:spacing w:line="460" w:lineRule="exact"/>
                    <w:ind w:left="420"/>
                    <w:rPr>
                      <w:highlight w:val="none"/>
                    </w:rPr>
                  </w:pPr>
                  <w:r>
                    <w:rPr>
                      <w:rFonts w:hint="eastAsia"/>
                      <w:highlight w:val="none"/>
                    </w:rPr>
                    <w:t>国泰、奇杰、南消、福建三辉或同档次品牌</w:t>
                  </w:r>
                </w:p>
              </w:tc>
              <w:tc>
                <w:tcPr>
                  <w:tcW w:w="1418" w:type="dxa"/>
                  <w:vAlign w:val="center"/>
                </w:tcPr>
                <w:p>
                  <w:pPr>
                    <w:spacing w:line="460" w:lineRule="exact"/>
                    <w:ind w:left="420"/>
                    <w:rPr>
                      <w:highlight w:val="non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tcPr>
                <w:p>
                  <w:pPr>
                    <w:jc w:val="center"/>
                    <w:rPr>
                      <w:highlight w:val="none"/>
                    </w:rPr>
                  </w:pPr>
                  <w:r>
                    <w:rPr>
                      <w:rFonts w:hint="eastAsia"/>
                      <w:highlight w:val="none"/>
                    </w:rPr>
                    <w:t>工作站</w:t>
                  </w:r>
                </w:p>
              </w:tc>
              <w:tc>
                <w:tcPr>
                  <w:tcW w:w="869" w:type="dxa"/>
                </w:tcPr>
                <w:p>
                  <w:pPr>
                    <w:jc w:val="left"/>
                    <w:rPr>
                      <w:highlight w:val="none"/>
                    </w:rPr>
                  </w:pPr>
                </w:p>
              </w:tc>
              <w:tc>
                <w:tcPr>
                  <w:tcW w:w="3686" w:type="dxa"/>
                </w:tcPr>
                <w:p>
                  <w:pPr>
                    <w:spacing w:line="460" w:lineRule="exact"/>
                    <w:ind w:left="420"/>
                    <w:rPr>
                      <w:highlight w:val="none"/>
                    </w:rPr>
                  </w:pPr>
                  <w:r>
                    <w:rPr>
                      <w:rFonts w:hint="eastAsia"/>
                      <w:highlight w:val="none"/>
                    </w:rPr>
                    <w:t>联想、惠普、戴尔或同档</w:t>
                  </w:r>
                </w:p>
              </w:tc>
              <w:tc>
                <w:tcPr>
                  <w:tcW w:w="1418" w:type="dxa"/>
                </w:tcPr>
                <w:p>
                  <w:pPr>
                    <w:jc w:val="center"/>
                    <w:rPr>
                      <w:highlight w:val="none"/>
                      <w:u w:val="singl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tcPr>
                <w:p>
                  <w:pPr>
                    <w:jc w:val="center"/>
                    <w:rPr>
                      <w:highlight w:val="none"/>
                    </w:rPr>
                  </w:pPr>
                  <w:r>
                    <w:rPr>
                      <w:rFonts w:hint="eastAsia"/>
                      <w:highlight w:val="none"/>
                    </w:rPr>
                    <w:t>摆闸系统设备</w:t>
                  </w:r>
                </w:p>
              </w:tc>
              <w:tc>
                <w:tcPr>
                  <w:tcW w:w="869" w:type="dxa"/>
                </w:tcPr>
                <w:p>
                  <w:pPr>
                    <w:jc w:val="left"/>
                    <w:rPr>
                      <w:highlight w:val="none"/>
                    </w:rPr>
                  </w:pPr>
                </w:p>
              </w:tc>
              <w:tc>
                <w:tcPr>
                  <w:tcW w:w="3686" w:type="dxa"/>
                </w:tcPr>
                <w:p>
                  <w:pPr>
                    <w:spacing w:line="460" w:lineRule="exact"/>
                    <w:ind w:left="420"/>
                    <w:rPr>
                      <w:highlight w:val="none"/>
                    </w:rPr>
                  </w:pPr>
                  <w:r>
                    <w:rPr>
                      <w:rFonts w:hint="eastAsia"/>
                      <w:highlight w:val="none"/>
                    </w:rPr>
                    <w:t>新中新、披克、中控或同档</w:t>
                  </w:r>
                </w:p>
              </w:tc>
              <w:tc>
                <w:tcPr>
                  <w:tcW w:w="1418" w:type="dxa"/>
                </w:tcPr>
                <w:p>
                  <w:pPr>
                    <w:jc w:val="center"/>
                    <w:rPr>
                      <w:highlight w:val="none"/>
                      <w:u w:val="singl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tcPr>
                <w:p>
                  <w:pPr>
                    <w:jc w:val="center"/>
                    <w:rPr>
                      <w:highlight w:val="none"/>
                    </w:rPr>
                  </w:pPr>
                  <w:r>
                    <w:rPr>
                      <w:rFonts w:hint="eastAsia"/>
                      <w:highlight w:val="none"/>
                    </w:rPr>
                    <w:t>人脸识别系统设备</w:t>
                  </w:r>
                </w:p>
              </w:tc>
              <w:tc>
                <w:tcPr>
                  <w:tcW w:w="869" w:type="dxa"/>
                </w:tcPr>
                <w:p>
                  <w:pPr>
                    <w:jc w:val="left"/>
                    <w:rPr>
                      <w:highlight w:val="none"/>
                    </w:rPr>
                  </w:pPr>
                </w:p>
              </w:tc>
              <w:tc>
                <w:tcPr>
                  <w:tcW w:w="3686" w:type="dxa"/>
                </w:tcPr>
                <w:p>
                  <w:pPr>
                    <w:spacing w:line="460" w:lineRule="exact"/>
                    <w:ind w:left="420"/>
                    <w:rPr>
                      <w:highlight w:val="none"/>
                    </w:rPr>
                  </w:pPr>
                  <w:r>
                    <w:rPr>
                      <w:rFonts w:hint="eastAsia"/>
                      <w:highlight w:val="none"/>
                    </w:rPr>
                    <w:t>旷视、商汤、平安科技或同档</w:t>
                  </w:r>
                </w:p>
              </w:tc>
              <w:tc>
                <w:tcPr>
                  <w:tcW w:w="1418" w:type="dxa"/>
                </w:tcPr>
                <w:p>
                  <w:pPr>
                    <w:jc w:val="center"/>
                    <w:rPr>
                      <w:highlight w:val="none"/>
                      <w:u w:val="singl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tcPr>
                <w:p>
                  <w:pPr>
                    <w:jc w:val="center"/>
                    <w:rPr>
                      <w:highlight w:val="none"/>
                    </w:rPr>
                  </w:pPr>
                  <w:r>
                    <w:rPr>
                      <w:rFonts w:hint="eastAsia"/>
                      <w:highlight w:val="none"/>
                    </w:rPr>
                    <w:t>硬盘及存储服务器</w:t>
                  </w:r>
                </w:p>
              </w:tc>
              <w:tc>
                <w:tcPr>
                  <w:tcW w:w="869" w:type="dxa"/>
                </w:tcPr>
                <w:p>
                  <w:pPr>
                    <w:jc w:val="left"/>
                    <w:rPr>
                      <w:highlight w:val="none"/>
                    </w:rPr>
                  </w:pPr>
                </w:p>
              </w:tc>
              <w:tc>
                <w:tcPr>
                  <w:tcW w:w="3686" w:type="dxa"/>
                </w:tcPr>
                <w:p>
                  <w:pPr>
                    <w:spacing w:line="460" w:lineRule="exact"/>
                    <w:ind w:left="420"/>
                    <w:rPr>
                      <w:highlight w:val="none"/>
                    </w:rPr>
                  </w:pPr>
                  <w:r>
                    <w:rPr>
                      <w:rFonts w:hint="eastAsia"/>
                      <w:highlight w:val="none"/>
                    </w:rPr>
                    <w:t>海康威视、华为、中兴或同档</w:t>
                  </w:r>
                </w:p>
              </w:tc>
              <w:tc>
                <w:tcPr>
                  <w:tcW w:w="1418" w:type="dxa"/>
                </w:tcPr>
                <w:p>
                  <w:pPr>
                    <w:jc w:val="center"/>
                    <w:rPr>
                      <w:highlight w:val="none"/>
                      <w:u w:val="singl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tcPr>
                <w:p>
                  <w:pPr>
                    <w:jc w:val="center"/>
                    <w:rPr>
                      <w:highlight w:val="none"/>
                    </w:rPr>
                  </w:pPr>
                  <w:r>
                    <w:rPr>
                      <w:rFonts w:hint="eastAsia"/>
                      <w:highlight w:val="none"/>
                    </w:rPr>
                    <w:t>监控存储主机</w:t>
                  </w:r>
                </w:p>
              </w:tc>
              <w:tc>
                <w:tcPr>
                  <w:tcW w:w="869" w:type="dxa"/>
                </w:tcPr>
                <w:p>
                  <w:pPr>
                    <w:jc w:val="left"/>
                    <w:rPr>
                      <w:highlight w:val="none"/>
                    </w:rPr>
                  </w:pPr>
                </w:p>
              </w:tc>
              <w:tc>
                <w:tcPr>
                  <w:tcW w:w="3686" w:type="dxa"/>
                </w:tcPr>
                <w:p>
                  <w:pPr>
                    <w:spacing w:line="460" w:lineRule="exact"/>
                    <w:ind w:left="420"/>
                    <w:rPr>
                      <w:highlight w:val="none"/>
                    </w:rPr>
                  </w:pPr>
                  <w:r>
                    <w:rPr>
                      <w:rFonts w:hint="eastAsia"/>
                      <w:highlight w:val="none"/>
                    </w:rPr>
                    <w:t>海康威视、华为、中兴或同档</w:t>
                  </w:r>
                </w:p>
              </w:tc>
              <w:tc>
                <w:tcPr>
                  <w:tcW w:w="1418" w:type="dxa"/>
                </w:tcPr>
                <w:p>
                  <w:pPr>
                    <w:jc w:val="center"/>
                    <w:rPr>
                      <w:highlight w:val="none"/>
                      <w:u w:val="singl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tcPr>
                <w:p>
                  <w:pPr>
                    <w:jc w:val="center"/>
                    <w:rPr>
                      <w:highlight w:val="none"/>
                    </w:rPr>
                  </w:pPr>
                  <w:r>
                    <w:rPr>
                      <w:rFonts w:hint="eastAsia"/>
                      <w:highlight w:val="none"/>
                    </w:rPr>
                    <w:t>监控摄像头摄像机</w:t>
                  </w:r>
                </w:p>
              </w:tc>
              <w:tc>
                <w:tcPr>
                  <w:tcW w:w="869" w:type="dxa"/>
                </w:tcPr>
                <w:p>
                  <w:pPr>
                    <w:jc w:val="left"/>
                    <w:rPr>
                      <w:highlight w:val="none"/>
                    </w:rPr>
                  </w:pPr>
                </w:p>
              </w:tc>
              <w:tc>
                <w:tcPr>
                  <w:tcW w:w="3686" w:type="dxa"/>
                </w:tcPr>
                <w:p>
                  <w:pPr>
                    <w:spacing w:line="460" w:lineRule="exact"/>
                    <w:ind w:left="420"/>
                    <w:rPr>
                      <w:highlight w:val="none"/>
                    </w:rPr>
                  </w:pPr>
                  <w:r>
                    <w:rPr>
                      <w:rFonts w:hint="eastAsia"/>
                      <w:highlight w:val="none"/>
                    </w:rPr>
                    <w:t>海康威视、华为、宇视或同档</w:t>
                  </w:r>
                </w:p>
              </w:tc>
              <w:tc>
                <w:tcPr>
                  <w:tcW w:w="1418" w:type="dxa"/>
                </w:tcPr>
                <w:p>
                  <w:pPr>
                    <w:jc w:val="center"/>
                    <w:rPr>
                      <w:highlight w:val="none"/>
                      <w:u w:val="singl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tcPr>
                <w:p>
                  <w:pPr>
                    <w:widowControl/>
                    <w:jc w:val="center"/>
                    <w:rPr>
                      <w:highlight w:val="none"/>
                    </w:rPr>
                  </w:pPr>
                  <w:r>
                    <w:rPr>
                      <w:rFonts w:hint="eastAsia" w:ascii="宋体" w:hAnsi="宋体" w:cs="宋体"/>
                      <w:color w:val="000000"/>
                      <w:kern w:val="0"/>
                      <w:sz w:val="24"/>
                      <w:highlight w:val="none"/>
                    </w:rPr>
                    <w:t>热水计量收费系</w:t>
                  </w:r>
                </w:p>
                <w:p>
                  <w:pPr>
                    <w:widowControl/>
                    <w:jc w:val="center"/>
                    <w:rPr>
                      <w:highlight w:val="none"/>
                    </w:rPr>
                  </w:pPr>
                  <w:r>
                    <w:rPr>
                      <w:rFonts w:hint="eastAsia" w:ascii="宋体" w:hAnsi="宋体" w:cs="宋体"/>
                      <w:color w:val="000000"/>
                      <w:kern w:val="0"/>
                      <w:sz w:val="24"/>
                      <w:highlight w:val="none"/>
                    </w:rPr>
                    <w:t>统</w:t>
                  </w:r>
                </w:p>
                <w:p>
                  <w:pPr>
                    <w:jc w:val="center"/>
                    <w:rPr>
                      <w:highlight w:val="none"/>
                    </w:rPr>
                  </w:pPr>
                </w:p>
              </w:tc>
              <w:tc>
                <w:tcPr>
                  <w:tcW w:w="869" w:type="dxa"/>
                </w:tcPr>
                <w:p>
                  <w:pPr>
                    <w:jc w:val="left"/>
                    <w:rPr>
                      <w:highlight w:val="none"/>
                      <w:u w:val="single"/>
                    </w:rPr>
                  </w:pPr>
                </w:p>
              </w:tc>
              <w:tc>
                <w:tcPr>
                  <w:tcW w:w="3686" w:type="dxa"/>
                </w:tcPr>
                <w:p>
                  <w:pPr>
                    <w:spacing w:line="460" w:lineRule="exact"/>
                    <w:ind w:left="420"/>
                    <w:rPr>
                      <w:highlight w:val="none"/>
                    </w:rPr>
                  </w:pPr>
                  <w:r>
                    <w:rPr>
                      <w:rFonts w:hint="eastAsia"/>
                      <w:highlight w:val="none"/>
                    </w:rPr>
                    <w:t>新中新、沈阳宝石、深圳达实或同档</w:t>
                  </w:r>
                </w:p>
                <w:p>
                  <w:pPr>
                    <w:spacing w:line="460" w:lineRule="exact"/>
                    <w:ind w:left="420"/>
                    <w:rPr>
                      <w:highlight w:val="none"/>
                    </w:rPr>
                  </w:pPr>
                </w:p>
              </w:tc>
              <w:tc>
                <w:tcPr>
                  <w:tcW w:w="1418" w:type="dxa"/>
                </w:tcPr>
                <w:p>
                  <w:pPr>
                    <w:jc w:val="center"/>
                    <w:rPr>
                      <w:highlight w:val="none"/>
                      <w:u w:val="single"/>
                    </w:rPr>
                  </w:pPr>
                  <w:r>
                    <w:rPr>
                      <w:rFonts w:hint="eastAsia"/>
                      <w:highlight w:val="none"/>
                    </w:rPr>
                    <w:t>优等品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1961" w:type="dxa"/>
                </w:tcPr>
                <w:p>
                  <w:pPr>
                    <w:widowControl/>
                    <w:jc w:val="center"/>
                    <w:rPr>
                      <w:highlight w:val="none"/>
                    </w:rPr>
                  </w:pPr>
                  <w:r>
                    <w:rPr>
                      <w:rFonts w:hint="eastAsia" w:ascii="宋体" w:hAnsi="宋体" w:cs="宋体"/>
                      <w:color w:val="000000"/>
                      <w:kern w:val="0"/>
                      <w:sz w:val="24"/>
                      <w:highlight w:val="none"/>
                    </w:rPr>
                    <w:t>智能锁</w:t>
                  </w:r>
                </w:p>
                <w:p>
                  <w:pPr>
                    <w:jc w:val="center"/>
                    <w:rPr>
                      <w:highlight w:val="none"/>
                    </w:rPr>
                  </w:pPr>
                </w:p>
              </w:tc>
              <w:tc>
                <w:tcPr>
                  <w:tcW w:w="869" w:type="dxa"/>
                </w:tcPr>
                <w:p>
                  <w:pPr>
                    <w:jc w:val="left"/>
                    <w:rPr>
                      <w:highlight w:val="none"/>
                      <w:u w:val="single"/>
                    </w:rPr>
                  </w:pPr>
                </w:p>
              </w:tc>
              <w:tc>
                <w:tcPr>
                  <w:tcW w:w="3686" w:type="dxa"/>
                </w:tcPr>
                <w:p>
                  <w:pPr>
                    <w:spacing w:line="460" w:lineRule="exact"/>
                    <w:ind w:left="420"/>
                    <w:rPr>
                      <w:highlight w:val="none"/>
                    </w:rPr>
                  </w:pPr>
                  <w:r>
                    <w:rPr>
                      <w:rFonts w:hint="eastAsia"/>
                      <w:highlight w:val="none"/>
                    </w:rPr>
                    <w:t>新开普、赛客、咚咚、安迅通或同档</w:t>
                  </w:r>
                </w:p>
                <w:p>
                  <w:pPr>
                    <w:spacing w:line="460" w:lineRule="exact"/>
                    <w:ind w:left="420"/>
                    <w:rPr>
                      <w:highlight w:val="none"/>
                    </w:rPr>
                  </w:pPr>
                </w:p>
              </w:tc>
              <w:tc>
                <w:tcPr>
                  <w:tcW w:w="1418" w:type="dxa"/>
                </w:tcPr>
                <w:p>
                  <w:pPr>
                    <w:jc w:val="center"/>
                    <w:rPr>
                      <w:highlight w:val="none"/>
                      <w:u w:val="single"/>
                    </w:rPr>
                  </w:pPr>
                  <w:r>
                    <w:rPr>
                      <w:rFonts w:hint="eastAsia"/>
                      <w:highlight w:val="none"/>
                    </w:rPr>
                    <w:t>优等品</w:t>
                  </w:r>
                </w:p>
              </w:tc>
            </w:tr>
          </w:tbl>
          <w:p>
            <w:pPr>
              <w:pStyle w:val="23"/>
              <w:spacing w:line="360" w:lineRule="auto"/>
              <w:ind w:firstLine="480" w:firstLineChars="200"/>
              <w:rPr>
                <w:rFonts w:ascii="宋体" w:hAnsi="宋体" w:cs="宋体"/>
                <w:kern w:val="0"/>
                <w:sz w:val="24"/>
                <w:szCs w:val="24"/>
                <w:highlight w:val="none"/>
              </w:rPr>
            </w:pPr>
          </w:p>
          <w:p>
            <w:pPr>
              <w:pStyle w:val="24"/>
              <w:widowControl/>
              <w:spacing w:beforeAutospacing="0" w:afterAutospacing="0"/>
              <w:ind w:firstLine="480" w:firstLineChars="200"/>
              <w:rPr>
                <w:rFonts w:ascii="宋体" w:hAnsi="宋体"/>
                <w:bCs/>
                <w:color w:val="000000"/>
                <w:highlight w:val="none"/>
              </w:rPr>
            </w:pPr>
          </w:p>
        </w:tc>
      </w:tr>
    </w:tbl>
    <w:p>
      <w:pPr>
        <w:pStyle w:val="2"/>
        <w:rPr>
          <w:highlight w:val="none"/>
        </w:rPr>
      </w:pPr>
    </w:p>
    <w:p>
      <w:pPr>
        <w:spacing w:line="300" w:lineRule="auto"/>
        <w:ind w:right="212" w:rightChars="101"/>
        <w:rPr>
          <w:rFonts w:ascii="宋体" w:hAnsi="宋体"/>
          <w:sz w:val="30"/>
          <w:szCs w:val="30"/>
          <w:highlight w:val="none"/>
        </w:rPr>
      </w:pPr>
    </w:p>
    <w:p>
      <w:pPr>
        <w:widowControl/>
        <w:jc w:val="left"/>
        <w:rPr>
          <w:rFonts w:ascii="宋体" w:hAnsi="宋体" w:cs="宋体"/>
          <w:b/>
          <w:bCs/>
          <w:kern w:val="44"/>
          <w:sz w:val="32"/>
          <w:szCs w:val="32"/>
          <w:highlight w:val="none"/>
        </w:rPr>
      </w:pPr>
      <w:r>
        <w:rPr>
          <w:rFonts w:ascii="宋体" w:hAnsi="宋体" w:cs="宋体"/>
          <w:b/>
          <w:bCs/>
          <w:kern w:val="44"/>
          <w:sz w:val="32"/>
          <w:szCs w:val="32"/>
          <w:highlight w:val="none"/>
        </w:rPr>
        <w:br w:type="page"/>
      </w:r>
    </w:p>
    <w:p>
      <w:pPr>
        <w:widowControl/>
        <w:jc w:val="left"/>
        <w:rPr>
          <w:rFonts w:ascii="宋体" w:hAnsi="宋体" w:cs="宋体"/>
          <w:b/>
          <w:bCs/>
          <w:kern w:val="44"/>
          <w:sz w:val="32"/>
          <w:szCs w:val="32"/>
          <w:highlight w:val="none"/>
        </w:rPr>
      </w:pPr>
    </w:p>
    <w:p>
      <w:pPr>
        <w:pStyle w:val="33"/>
        <w:numPr>
          <w:ilvl w:val="0"/>
          <w:numId w:val="4"/>
        </w:numPr>
        <w:spacing w:line="360" w:lineRule="auto"/>
        <w:ind w:left="-420" w:leftChars="-200" w:right="272" w:firstLine="643"/>
        <w:jc w:val="center"/>
        <w:outlineLvl w:val="0"/>
        <w:rPr>
          <w:rFonts w:ascii="宋体" w:hAnsi="宋体" w:cs="宋体"/>
          <w:b/>
          <w:bCs/>
          <w:kern w:val="44"/>
          <w:sz w:val="32"/>
          <w:szCs w:val="32"/>
          <w:highlight w:val="none"/>
        </w:rPr>
      </w:pPr>
      <w:bookmarkStart w:id="42" w:name="_Toc8226"/>
      <w:r>
        <w:rPr>
          <w:rFonts w:hint="eastAsia" w:ascii="宋体" w:hAnsi="宋体" w:cs="宋体"/>
          <w:b/>
          <w:bCs/>
          <w:kern w:val="44"/>
          <w:sz w:val="32"/>
          <w:szCs w:val="32"/>
          <w:highlight w:val="none"/>
        </w:rPr>
        <w:t>合同</w:t>
      </w:r>
      <w:bookmarkEnd w:id="42"/>
    </w:p>
    <w:p>
      <w:pPr>
        <w:adjustRightInd w:val="0"/>
        <w:snapToGrid w:val="0"/>
        <w:spacing w:line="480" w:lineRule="auto"/>
        <w:rPr>
          <w:rFonts w:ascii="宋体" w:hAnsi="宋体" w:cs="宋体"/>
          <w:b/>
          <w:sz w:val="52"/>
          <w:szCs w:val="52"/>
          <w:highlight w:val="none"/>
        </w:rPr>
      </w:pPr>
    </w:p>
    <w:p>
      <w:pPr>
        <w:adjustRightInd w:val="0"/>
        <w:snapToGrid w:val="0"/>
        <w:spacing w:line="480" w:lineRule="auto"/>
        <w:jc w:val="center"/>
        <w:rPr>
          <w:rFonts w:ascii="宋体" w:hAnsi="宋体" w:cs="宋体"/>
          <w:b/>
          <w:sz w:val="48"/>
          <w:szCs w:val="48"/>
          <w:highlight w:val="none"/>
        </w:rPr>
      </w:pPr>
      <w:r>
        <w:rPr>
          <w:rFonts w:hint="eastAsia" w:ascii="宋体" w:hAnsi="宋体" w:cs="宋体"/>
          <w:b/>
          <w:sz w:val="52"/>
          <w:szCs w:val="52"/>
          <w:highlight w:val="none"/>
        </w:rPr>
        <w:t xml:space="preserve"> </w:t>
      </w:r>
      <w:r>
        <w:rPr>
          <w:rFonts w:hint="eastAsia" w:ascii="宋体" w:hAnsi="宋体" w:cs="宋体"/>
          <w:b/>
          <w:sz w:val="48"/>
          <w:szCs w:val="48"/>
          <w:highlight w:val="none"/>
        </w:rPr>
        <w:t>中国药科大学江宁校区行政楼及会议中心外立面和屋面维修工程</w:t>
      </w:r>
    </w:p>
    <w:p>
      <w:pPr>
        <w:rPr>
          <w:rFonts w:ascii="宋体" w:hAnsi="宋体" w:cs="宋体"/>
          <w:b/>
          <w:sz w:val="48"/>
          <w:szCs w:val="48"/>
          <w:highlight w:val="none"/>
        </w:rPr>
      </w:pPr>
    </w:p>
    <w:p>
      <w:pPr>
        <w:rPr>
          <w:rFonts w:ascii="宋体" w:hAnsi="宋体" w:cs="宋体"/>
          <w:b/>
          <w:sz w:val="48"/>
          <w:szCs w:val="48"/>
          <w:highlight w:val="none"/>
        </w:rPr>
      </w:pPr>
    </w:p>
    <w:p>
      <w:pPr>
        <w:rPr>
          <w:rFonts w:ascii="宋体" w:hAnsi="宋体" w:cs="宋体"/>
          <w:b/>
          <w:sz w:val="48"/>
          <w:szCs w:val="48"/>
          <w:highlight w:val="none"/>
        </w:rPr>
      </w:pPr>
    </w:p>
    <w:p>
      <w:pPr>
        <w:rPr>
          <w:rFonts w:ascii="宋体" w:hAnsi="宋体" w:cs="宋体"/>
          <w:b/>
          <w:sz w:val="48"/>
          <w:szCs w:val="48"/>
          <w:highlight w:val="none"/>
        </w:rPr>
      </w:pPr>
    </w:p>
    <w:p>
      <w:pPr>
        <w:rPr>
          <w:highlight w:val="none"/>
        </w:rPr>
      </w:pPr>
    </w:p>
    <w:p>
      <w:pPr>
        <w:rPr>
          <w:rFonts w:ascii="宋体" w:hAnsi="宋体" w:cs="宋体"/>
          <w:b/>
          <w:sz w:val="48"/>
          <w:szCs w:val="48"/>
          <w:highlight w:val="none"/>
        </w:rPr>
      </w:pPr>
    </w:p>
    <w:p>
      <w:pPr>
        <w:rPr>
          <w:highlight w:val="none"/>
        </w:rPr>
      </w:pPr>
    </w:p>
    <w:p>
      <w:pPr>
        <w:adjustRightInd w:val="0"/>
        <w:snapToGrid w:val="0"/>
        <w:spacing w:line="480" w:lineRule="auto"/>
        <w:jc w:val="center"/>
        <w:rPr>
          <w:rFonts w:ascii="宋体" w:hAnsi="宋体" w:cs="宋体"/>
          <w:b/>
          <w:sz w:val="52"/>
          <w:szCs w:val="52"/>
          <w:highlight w:val="none"/>
        </w:rPr>
      </w:pPr>
      <w:r>
        <w:rPr>
          <w:rFonts w:hint="eastAsia" w:ascii="宋体" w:hAnsi="宋体" w:cs="宋体"/>
          <w:b/>
          <w:sz w:val="52"/>
          <w:szCs w:val="52"/>
          <w:highlight w:val="none"/>
        </w:rPr>
        <w:t>施工合同</w:t>
      </w:r>
    </w:p>
    <w:p>
      <w:pPr>
        <w:adjustRightInd w:val="0"/>
        <w:snapToGrid w:val="0"/>
        <w:ind w:left="2610" w:hanging="2610" w:hangingChars="500"/>
        <w:jc w:val="left"/>
        <w:rPr>
          <w:rFonts w:ascii="宋体" w:hAnsi="宋体" w:cs="宋体"/>
          <w:b/>
          <w:sz w:val="52"/>
          <w:szCs w:val="52"/>
          <w:highlight w:val="none"/>
        </w:rPr>
      </w:pPr>
    </w:p>
    <w:p>
      <w:pPr>
        <w:adjustRightInd w:val="0"/>
        <w:snapToGrid w:val="0"/>
        <w:ind w:left="2610" w:hanging="2610" w:hangingChars="500"/>
        <w:jc w:val="left"/>
        <w:rPr>
          <w:rFonts w:ascii="宋体" w:hAnsi="宋体" w:cs="宋体"/>
          <w:b/>
          <w:sz w:val="52"/>
          <w:szCs w:val="52"/>
          <w:highlight w:val="none"/>
        </w:rPr>
      </w:pPr>
    </w:p>
    <w:p>
      <w:pPr>
        <w:adjustRightInd w:val="0"/>
        <w:snapToGrid w:val="0"/>
        <w:ind w:left="2610" w:hanging="2610" w:hangingChars="500"/>
        <w:jc w:val="left"/>
        <w:rPr>
          <w:rFonts w:ascii="宋体" w:hAnsi="宋体" w:cs="宋体"/>
          <w:b/>
          <w:sz w:val="52"/>
          <w:szCs w:val="52"/>
          <w:highlight w:val="none"/>
        </w:rPr>
      </w:pPr>
    </w:p>
    <w:p>
      <w:pPr>
        <w:adjustRightInd w:val="0"/>
        <w:snapToGrid w:val="0"/>
        <w:ind w:left="2610" w:hanging="2610" w:hangingChars="500"/>
        <w:jc w:val="left"/>
        <w:rPr>
          <w:rFonts w:ascii="宋体" w:hAnsi="宋体" w:cs="宋体"/>
          <w:b/>
          <w:sz w:val="52"/>
          <w:szCs w:val="52"/>
          <w:highlight w:val="none"/>
        </w:rPr>
        <w:sectPr>
          <w:footerReference r:id="rId4" w:type="default"/>
          <w:pgSz w:w="11911" w:h="16838"/>
          <w:pgMar w:top="1440" w:right="1803" w:bottom="1440" w:left="1803" w:header="0" w:footer="1406" w:gutter="0"/>
          <w:pgNumType w:start="1"/>
          <w:cols w:space="720" w:num="1"/>
          <w:docGrid w:linePitch="312" w:charSpace="0"/>
        </w:sectPr>
      </w:pPr>
    </w:p>
    <w:p>
      <w:pPr>
        <w:keepNext/>
        <w:keepLines/>
        <w:numPr>
          <w:ilvl w:val="1"/>
          <w:numId w:val="7"/>
        </w:numPr>
        <w:spacing w:before="260" w:after="260" w:line="416" w:lineRule="auto"/>
        <w:jc w:val="center"/>
        <w:outlineLvl w:val="1"/>
        <w:rPr>
          <w:rFonts w:ascii="宋体" w:hAnsi="宋体" w:cs="宋体"/>
          <w:b/>
          <w:bCs/>
          <w:sz w:val="32"/>
          <w:szCs w:val="32"/>
          <w:highlight w:val="none"/>
        </w:rPr>
      </w:pPr>
      <w:r>
        <w:rPr>
          <w:rFonts w:hint="eastAsia" w:ascii="宋体" w:hAnsi="宋体" w:cs="宋体"/>
          <w:b/>
          <w:bCs/>
          <w:sz w:val="32"/>
          <w:szCs w:val="32"/>
          <w:highlight w:val="none"/>
        </w:rPr>
        <w:t>第一部分 合同协议书</w:t>
      </w:r>
    </w:p>
    <w:p>
      <w:pPr>
        <w:spacing w:line="360" w:lineRule="auto"/>
        <w:rPr>
          <w:rFonts w:ascii="宋体" w:hAnsi="宋体" w:cs="宋体"/>
          <w:b/>
          <w:sz w:val="24"/>
          <w:szCs w:val="24"/>
          <w:highlight w:val="none"/>
          <w:u w:val="single"/>
        </w:rPr>
      </w:pPr>
      <w:r>
        <w:rPr>
          <w:rFonts w:hint="eastAsia" w:ascii="宋体" w:hAnsi="宋体" w:cs="宋体"/>
          <w:b/>
          <w:sz w:val="24"/>
          <w:szCs w:val="24"/>
          <w:highlight w:val="none"/>
        </w:rPr>
        <w:t>发包人（全称）：</w:t>
      </w:r>
      <w:r>
        <w:rPr>
          <w:rFonts w:hint="eastAsia" w:ascii="宋体" w:hAnsi="宋体" w:cs="宋体"/>
          <w:b/>
          <w:sz w:val="24"/>
          <w:szCs w:val="24"/>
          <w:highlight w:val="none"/>
          <w:u w:val="single"/>
        </w:rPr>
        <w:t>中国药科大学</w:t>
      </w:r>
    </w:p>
    <w:p>
      <w:pPr>
        <w:spacing w:line="360" w:lineRule="auto"/>
        <w:rPr>
          <w:rFonts w:ascii="宋体" w:hAnsi="宋体" w:cs="宋体"/>
          <w:b/>
          <w:sz w:val="24"/>
          <w:szCs w:val="24"/>
          <w:highlight w:val="none"/>
          <w:u w:val="single"/>
        </w:rPr>
      </w:pPr>
      <w:r>
        <w:rPr>
          <w:rFonts w:hint="eastAsia" w:ascii="宋体" w:hAnsi="宋体" w:cs="宋体"/>
          <w:b/>
          <w:sz w:val="24"/>
          <w:szCs w:val="24"/>
          <w:highlight w:val="none"/>
        </w:rPr>
        <w:t>承包人（全称）：</w:t>
      </w:r>
      <w:r>
        <w:rPr>
          <w:rFonts w:hint="eastAsia" w:ascii="宋体" w:hAnsi="宋体" w:cs="宋体"/>
          <w:b/>
          <w:sz w:val="24"/>
          <w:szCs w:val="24"/>
          <w:highlight w:val="none"/>
          <w:u w:val="single"/>
        </w:rPr>
        <w:t></w:t>
      </w:r>
      <w:r>
        <w:rPr>
          <w:rFonts w:hint="eastAsia" w:ascii="宋体" w:hAnsi="宋体" w:cs="宋体"/>
          <w:sz w:val="24"/>
          <w:szCs w:val="24"/>
          <w:highlight w:val="none"/>
          <w:u w:val="single"/>
        </w:rPr>
        <w:t xml:space="preserve">            </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根据《中华人民共和国民法典》、《中华人民共和国建筑法》及有关法律规定，遵循平等、自愿、公平和诚实信用的原则，双方就</w:t>
      </w:r>
      <w:r>
        <w:rPr>
          <w:rFonts w:hint="eastAsia" w:ascii="宋体" w:hAnsi="宋体" w:cs="宋体"/>
          <w:sz w:val="24"/>
          <w:szCs w:val="24"/>
          <w:highlight w:val="none"/>
          <w:u w:val="single"/>
        </w:rPr>
        <w:t>中国药科大学江宁校区行政楼及会议中心外立面和屋面维修项目</w:t>
      </w:r>
      <w:r>
        <w:rPr>
          <w:rFonts w:hint="eastAsia" w:ascii="宋体" w:hAnsi="宋体" w:cs="宋体"/>
          <w:sz w:val="24"/>
          <w:szCs w:val="24"/>
          <w:highlight w:val="none"/>
        </w:rPr>
        <w:t>施工及有关事项协商一致，共同达成如下协议：</w:t>
      </w:r>
    </w:p>
    <w:p>
      <w:pPr>
        <w:keepNext/>
        <w:keepLines/>
        <w:numPr>
          <w:ilvl w:val="3"/>
          <w:numId w:val="7"/>
        </w:numPr>
        <w:spacing w:before="120" w:after="120" w:line="360" w:lineRule="auto"/>
        <w:outlineLvl w:val="3"/>
        <w:rPr>
          <w:rFonts w:ascii="宋体" w:hAnsi="宋体" w:cs="宋体"/>
          <w:b/>
          <w:sz w:val="24"/>
          <w:szCs w:val="24"/>
          <w:highlight w:val="none"/>
        </w:rPr>
      </w:pPr>
      <w:r>
        <w:rPr>
          <w:rFonts w:hint="eastAsia" w:ascii="宋体" w:hAnsi="宋体" w:cs="宋体"/>
          <w:bCs/>
          <w:sz w:val="24"/>
          <w:szCs w:val="24"/>
          <w:highlight w:val="none"/>
        </w:rPr>
        <w:t>一、工程概况</w:t>
      </w:r>
    </w:p>
    <w:p>
      <w:pPr>
        <w:spacing w:line="360" w:lineRule="auto"/>
        <w:ind w:firstLine="480" w:firstLineChars="200"/>
        <w:rPr>
          <w:rFonts w:ascii="宋体" w:hAnsi="宋体" w:cs="宋体"/>
          <w:sz w:val="24"/>
          <w:szCs w:val="24"/>
          <w:highlight w:val="none"/>
          <w:u w:val="single"/>
        </w:rPr>
      </w:pPr>
      <w:r>
        <w:rPr>
          <w:rFonts w:hint="eastAsia" w:ascii="宋体" w:hAnsi="宋体" w:cs="宋体"/>
          <w:bCs/>
          <w:sz w:val="24"/>
          <w:szCs w:val="24"/>
          <w:highlight w:val="none"/>
        </w:rPr>
        <w:t>1.工程名称：</w:t>
      </w:r>
      <w:r>
        <w:rPr>
          <w:rFonts w:hint="eastAsia" w:ascii="宋体" w:hAnsi="宋体" w:cs="宋体"/>
          <w:sz w:val="24"/>
          <w:szCs w:val="24"/>
          <w:highlight w:val="none"/>
          <w:u w:val="single"/>
        </w:rPr>
        <w:t>中国药科大学江宁校区行政楼及会议中心外立面和屋面维修项目</w:t>
      </w:r>
    </w:p>
    <w:p>
      <w:pPr>
        <w:spacing w:line="360" w:lineRule="auto"/>
        <w:ind w:firstLine="470" w:firstLineChars="196"/>
        <w:rPr>
          <w:rFonts w:ascii="宋体" w:hAnsi="宋体" w:cs="宋体"/>
          <w:bCs/>
          <w:sz w:val="24"/>
          <w:szCs w:val="24"/>
          <w:highlight w:val="none"/>
        </w:rPr>
      </w:pPr>
      <w:r>
        <w:rPr>
          <w:rFonts w:hint="eastAsia" w:ascii="宋体" w:hAnsi="宋体" w:cs="宋体"/>
          <w:bCs/>
          <w:sz w:val="24"/>
          <w:szCs w:val="24"/>
          <w:highlight w:val="none"/>
        </w:rPr>
        <w:t>2.工程地点：</w:t>
      </w:r>
      <w:r>
        <w:rPr>
          <w:rFonts w:hint="eastAsia" w:ascii="宋体" w:hAnsi="宋体" w:cs="宋体"/>
          <w:sz w:val="24"/>
          <w:szCs w:val="24"/>
          <w:highlight w:val="none"/>
          <w:u w:val="single"/>
        </w:rPr>
        <w:t xml:space="preserve">中国药科大学江宁校区 </w:t>
      </w:r>
    </w:p>
    <w:p>
      <w:pPr>
        <w:spacing w:line="360" w:lineRule="auto"/>
        <w:ind w:firstLine="470" w:firstLineChars="196"/>
        <w:rPr>
          <w:rFonts w:ascii="宋体" w:hAnsi="宋体" w:cs="宋体"/>
          <w:bCs/>
          <w:sz w:val="24"/>
          <w:szCs w:val="24"/>
          <w:highlight w:val="none"/>
        </w:rPr>
      </w:pPr>
      <w:r>
        <w:rPr>
          <w:rFonts w:hint="eastAsia" w:ascii="宋体" w:hAnsi="宋体" w:cs="宋体"/>
          <w:bCs/>
          <w:sz w:val="24"/>
          <w:szCs w:val="24"/>
          <w:highlight w:val="none"/>
        </w:rPr>
        <w:t>3.工程立项批准文号：</w:t>
      </w:r>
      <w:r>
        <w:rPr>
          <w:rFonts w:hint="eastAsia" w:ascii="宋体" w:hAnsi="宋体" w:cs="宋体"/>
          <w:sz w:val="24"/>
          <w:szCs w:val="24"/>
          <w:highlight w:val="none"/>
          <w:u w:val="single"/>
        </w:rPr>
        <w:t>       </w:t>
      </w:r>
      <w:r>
        <w:rPr>
          <w:rFonts w:hint="eastAsia" w:ascii="宋体" w:hAnsi="宋体" w:cs="宋体"/>
          <w:bCs/>
          <w:sz w:val="24"/>
          <w:szCs w:val="24"/>
          <w:highlight w:val="none"/>
        </w:rPr>
        <w:t>。</w:t>
      </w:r>
    </w:p>
    <w:p>
      <w:pPr>
        <w:spacing w:line="360" w:lineRule="auto"/>
        <w:ind w:firstLine="470" w:firstLineChars="196"/>
        <w:rPr>
          <w:rFonts w:ascii="宋体" w:hAnsi="宋体" w:cs="宋体"/>
          <w:bCs/>
          <w:sz w:val="24"/>
          <w:szCs w:val="24"/>
          <w:highlight w:val="none"/>
        </w:rPr>
      </w:pPr>
      <w:r>
        <w:rPr>
          <w:rFonts w:hint="eastAsia" w:ascii="宋体" w:hAnsi="宋体" w:cs="宋体"/>
          <w:bCs/>
          <w:sz w:val="24"/>
          <w:szCs w:val="24"/>
          <w:highlight w:val="none"/>
        </w:rPr>
        <w:t>4.资金来源：</w:t>
      </w:r>
      <w:r>
        <w:rPr>
          <w:rFonts w:hint="eastAsia" w:ascii="宋体" w:hAnsi="宋体" w:cs="宋体"/>
          <w:sz w:val="24"/>
          <w:szCs w:val="24"/>
          <w:highlight w:val="none"/>
          <w:u w:val="single"/>
        </w:rPr>
        <w:t>财政资金       </w:t>
      </w:r>
      <w:r>
        <w:rPr>
          <w:rFonts w:hint="eastAsia" w:ascii="宋体" w:hAnsi="宋体" w:cs="宋体"/>
          <w:bCs/>
          <w:sz w:val="24"/>
          <w:szCs w:val="24"/>
          <w:highlight w:val="none"/>
        </w:rPr>
        <w:t>。</w:t>
      </w:r>
    </w:p>
    <w:p>
      <w:pPr>
        <w:spacing w:line="360" w:lineRule="auto"/>
        <w:ind w:firstLine="470" w:firstLineChars="196"/>
        <w:rPr>
          <w:rFonts w:ascii="宋体" w:hAnsi="宋体" w:cs="宋体"/>
          <w:bCs/>
          <w:sz w:val="24"/>
          <w:szCs w:val="24"/>
          <w:highlight w:val="none"/>
        </w:rPr>
      </w:pPr>
      <w:r>
        <w:rPr>
          <w:rFonts w:hint="eastAsia" w:ascii="宋体" w:hAnsi="宋体" w:cs="宋体"/>
          <w:bCs/>
          <w:sz w:val="24"/>
          <w:szCs w:val="24"/>
          <w:highlight w:val="none"/>
        </w:rPr>
        <w:t>5.工程内容：</w:t>
      </w:r>
      <w:r>
        <w:rPr>
          <w:rFonts w:hint="eastAsia" w:ascii="宋体" w:hAnsi="宋体" w:cs="宋体"/>
          <w:sz w:val="24"/>
          <w:szCs w:val="24"/>
          <w:highlight w:val="none"/>
          <w:u w:val="single"/>
        </w:rPr>
        <w:t> 详见工程量清单     </w:t>
      </w:r>
      <w:r>
        <w:rPr>
          <w:rFonts w:hint="eastAsia" w:ascii="宋体" w:hAnsi="宋体" w:cs="宋体"/>
          <w:bCs/>
          <w:sz w:val="24"/>
          <w:szCs w:val="24"/>
          <w:highlight w:val="none"/>
        </w:rPr>
        <w:t>。</w:t>
      </w:r>
    </w:p>
    <w:p>
      <w:pPr>
        <w:spacing w:line="360" w:lineRule="auto"/>
        <w:ind w:firstLine="470" w:firstLineChars="196"/>
        <w:rPr>
          <w:rFonts w:ascii="宋体" w:hAnsi="宋体" w:cs="宋体"/>
          <w:bCs/>
          <w:sz w:val="24"/>
          <w:szCs w:val="24"/>
          <w:highlight w:val="none"/>
        </w:rPr>
      </w:pPr>
      <w:r>
        <w:rPr>
          <w:rFonts w:hint="eastAsia" w:ascii="宋体" w:hAnsi="宋体" w:cs="宋体"/>
          <w:sz w:val="24"/>
          <w:szCs w:val="24"/>
          <w:highlight w:val="none"/>
        </w:rPr>
        <w:t>群体工程应附《承包人承揽工程项目一览表》（附件1）。</w:t>
      </w:r>
    </w:p>
    <w:p>
      <w:pPr>
        <w:spacing w:line="360" w:lineRule="auto"/>
        <w:ind w:firstLine="470" w:firstLineChars="196"/>
        <w:rPr>
          <w:rFonts w:ascii="宋体" w:hAnsi="宋体" w:cs="宋体"/>
          <w:bCs/>
          <w:sz w:val="24"/>
          <w:szCs w:val="24"/>
          <w:highlight w:val="none"/>
        </w:rPr>
      </w:pPr>
      <w:r>
        <w:rPr>
          <w:rFonts w:hint="eastAsia" w:ascii="宋体" w:hAnsi="宋体" w:cs="宋体"/>
          <w:bCs/>
          <w:sz w:val="24"/>
          <w:szCs w:val="24"/>
          <w:highlight w:val="none"/>
        </w:rPr>
        <w:t>6.工程承包范围：</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u w:val="single"/>
        </w:rPr>
        <w:t>图纸及工程量清单范围内所有内容</w:t>
      </w:r>
      <w:r>
        <w:rPr>
          <w:rFonts w:hint="eastAsia" w:ascii="宋体" w:hAnsi="宋体" w:cs="宋体"/>
          <w:sz w:val="24"/>
          <w:szCs w:val="24"/>
          <w:highlight w:val="none"/>
        </w:rPr>
        <w:t>。</w:t>
      </w:r>
    </w:p>
    <w:p>
      <w:pPr>
        <w:keepNext/>
        <w:keepLines/>
        <w:spacing w:before="120" w:after="120" w:line="360" w:lineRule="auto"/>
        <w:outlineLvl w:val="3"/>
        <w:rPr>
          <w:rFonts w:ascii="宋体" w:hAnsi="宋体" w:cs="宋体"/>
          <w:bCs/>
          <w:sz w:val="24"/>
          <w:szCs w:val="24"/>
          <w:highlight w:val="none"/>
        </w:rPr>
      </w:pPr>
      <w:r>
        <w:rPr>
          <w:rFonts w:hint="eastAsia" w:ascii="宋体" w:hAnsi="宋体" w:cs="宋体"/>
          <w:bCs/>
          <w:sz w:val="24"/>
          <w:szCs w:val="24"/>
          <w:highlight w:val="none"/>
        </w:rPr>
        <w:t>二、合同工期</w:t>
      </w:r>
    </w:p>
    <w:p>
      <w:pPr>
        <w:spacing w:line="360" w:lineRule="auto"/>
        <w:ind w:firstLine="459"/>
        <w:rPr>
          <w:rFonts w:ascii="宋体" w:hAnsi="宋体" w:cs="宋体"/>
          <w:sz w:val="24"/>
          <w:szCs w:val="24"/>
          <w:highlight w:val="none"/>
        </w:rPr>
      </w:pPr>
      <w:r>
        <w:rPr>
          <w:rFonts w:hint="eastAsia" w:ascii="宋体" w:hAnsi="宋体" w:cs="宋体"/>
          <w:sz w:val="24"/>
          <w:szCs w:val="24"/>
          <w:highlight w:val="none"/>
        </w:rPr>
        <w:t xml:space="preserve">计划开工日期： </w:t>
      </w:r>
      <w:r>
        <w:rPr>
          <w:rFonts w:hint="eastAsia" w:ascii="宋体" w:hAnsi="宋体" w:cs="宋体"/>
          <w:sz w:val="24"/>
          <w:szCs w:val="24"/>
          <w:highlight w:val="none"/>
          <w:u w:val="single"/>
        </w:rPr>
        <w:t>     （发包人通知为准）</w:t>
      </w:r>
      <w:r>
        <w:rPr>
          <w:rFonts w:hint="eastAsia" w:ascii="宋体" w:hAnsi="宋体" w:cs="宋体"/>
          <w:sz w:val="24"/>
          <w:szCs w:val="24"/>
          <w:highlight w:val="none"/>
        </w:rPr>
        <w:t>。</w:t>
      </w:r>
    </w:p>
    <w:p>
      <w:pPr>
        <w:spacing w:line="360" w:lineRule="auto"/>
        <w:ind w:firstLine="459"/>
        <w:rPr>
          <w:rFonts w:ascii="宋体" w:hAnsi="宋体" w:cs="宋体"/>
          <w:sz w:val="24"/>
          <w:szCs w:val="24"/>
          <w:highlight w:val="none"/>
        </w:rPr>
      </w:pPr>
      <w:r>
        <w:rPr>
          <w:rFonts w:hint="eastAsia" w:ascii="宋体" w:hAnsi="宋体" w:cs="宋体"/>
          <w:sz w:val="24"/>
          <w:szCs w:val="24"/>
          <w:highlight w:val="none"/>
        </w:rPr>
        <w:t>计划竣工日期：</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59"/>
        <w:rPr>
          <w:rFonts w:ascii="宋体" w:hAnsi="宋体" w:cs="宋体"/>
          <w:sz w:val="24"/>
          <w:szCs w:val="24"/>
          <w:highlight w:val="none"/>
        </w:rPr>
      </w:pPr>
      <w:r>
        <w:rPr>
          <w:rFonts w:hint="eastAsia" w:ascii="宋体" w:hAnsi="宋体" w:cs="宋体"/>
          <w:sz w:val="24"/>
          <w:szCs w:val="24"/>
          <w:highlight w:val="none"/>
        </w:rPr>
        <w:t>工期总日历天数：</w:t>
      </w:r>
      <w:r>
        <w:rPr>
          <w:rFonts w:hint="eastAsia" w:ascii="宋体" w:hAnsi="宋体" w:cs="宋体"/>
          <w:sz w:val="24"/>
          <w:szCs w:val="24"/>
          <w:highlight w:val="none"/>
          <w:u w:val="single"/>
        </w:rPr>
        <w:t>    日历</w:t>
      </w:r>
      <w:r>
        <w:rPr>
          <w:rFonts w:hint="eastAsia" w:ascii="宋体" w:hAnsi="宋体" w:cs="宋体"/>
          <w:sz w:val="24"/>
          <w:szCs w:val="24"/>
          <w:highlight w:val="none"/>
        </w:rPr>
        <w:t>天。工期总日历天数与根据前述计划开竣工日期计算的工期天数不一致的，以工期总日历天数为准。</w:t>
      </w:r>
    </w:p>
    <w:p>
      <w:pPr>
        <w:keepNext/>
        <w:keepLines/>
        <w:numPr>
          <w:ilvl w:val="3"/>
          <w:numId w:val="7"/>
        </w:numPr>
        <w:spacing w:before="120" w:after="120" w:line="360" w:lineRule="auto"/>
        <w:outlineLvl w:val="3"/>
        <w:rPr>
          <w:rFonts w:ascii="宋体" w:hAnsi="宋体" w:cs="宋体"/>
          <w:b/>
          <w:sz w:val="24"/>
          <w:szCs w:val="24"/>
          <w:highlight w:val="none"/>
        </w:rPr>
      </w:pPr>
      <w:r>
        <w:rPr>
          <w:rFonts w:hint="eastAsia" w:ascii="宋体" w:hAnsi="宋体" w:cs="宋体"/>
          <w:bCs/>
          <w:sz w:val="24"/>
          <w:szCs w:val="24"/>
          <w:highlight w:val="none"/>
        </w:rPr>
        <w:t>三、质量标准</w:t>
      </w:r>
    </w:p>
    <w:p>
      <w:pPr>
        <w:spacing w:line="360" w:lineRule="auto"/>
        <w:ind w:firstLine="480" w:firstLineChars="200"/>
        <w:rPr>
          <w:rFonts w:ascii="宋体" w:hAnsi="宋体" w:cs="宋体"/>
          <w:bCs/>
          <w:snapToGrid w:val="0"/>
          <w:kern w:val="0"/>
          <w:sz w:val="24"/>
          <w:szCs w:val="24"/>
          <w:highlight w:val="none"/>
          <w:u w:val="single"/>
        </w:rPr>
      </w:pPr>
      <w:r>
        <w:rPr>
          <w:rFonts w:hint="eastAsia" w:ascii="宋体" w:hAnsi="宋体" w:cs="宋体"/>
          <w:sz w:val="24"/>
          <w:szCs w:val="24"/>
          <w:highlight w:val="none"/>
        </w:rPr>
        <w:t>工程质量：</w:t>
      </w:r>
      <w:r>
        <w:rPr>
          <w:rFonts w:hint="eastAsia" w:ascii="宋体" w:hAnsi="宋体" w:cs="宋体"/>
          <w:sz w:val="24"/>
          <w:szCs w:val="24"/>
          <w:highlight w:val="none"/>
          <w:u w:val="single"/>
        </w:rPr>
        <w:t>符合国家现行质量验收标准（按GB50300-2013）</w:t>
      </w:r>
    </w:p>
    <w:p>
      <w:pPr>
        <w:keepNext/>
        <w:keepLines/>
        <w:numPr>
          <w:ilvl w:val="3"/>
          <w:numId w:val="7"/>
        </w:numPr>
        <w:spacing w:before="120" w:after="120" w:line="360" w:lineRule="auto"/>
        <w:outlineLvl w:val="3"/>
        <w:rPr>
          <w:rFonts w:ascii="宋体" w:hAnsi="宋体" w:cs="宋体"/>
          <w:b/>
          <w:sz w:val="24"/>
          <w:szCs w:val="24"/>
          <w:highlight w:val="none"/>
        </w:rPr>
      </w:pPr>
      <w:r>
        <w:rPr>
          <w:rFonts w:hint="eastAsia" w:ascii="宋体" w:hAnsi="宋体" w:cs="宋体"/>
          <w:bCs/>
          <w:sz w:val="24"/>
          <w:szCs w:val="24"/>
          <w:highlight w:val="none"/>
        </w:rPr>
        <w:t>四、签约合同价与合同价格形式</w:t>
      </w:r>
      <w:r>
        <w:rPr>
          <w:rFonts w:hint="eastAsia" w:ascii="宋体" w:hAnsi="宋体" w:cs="宋体"/>
          <w:bCs/>
          <w:sz w:val="24"/>
          <w:szCs w:val="24"/>
          <w:highlight w:val="none"/>
        </w:rPr>
        <w:tab/>
      </w:r>
    </w:p>
    <w:p>
      <w:pPr>
        <w:spacing w:line="360" w:lineRule="auto"/>
        <w:ind w:firstLine="470" w:firstLineChars="196"/>
        <w:rPr>
          <w:rFonts w:ascii="宋体" w:hAnsi="宋体" w:cs="宋体"/>
          <w:bCs/>
          <w:sz w:val="24"/>
          <w:szCs w:val="24"/>
          <w:highlight w:val="none"/>
        </w:rPr>
      </w:pPr>
      <w:r>
        <w:rPr>
          <w:rFonts w:hint="eastAsia" w:ascii="宋体" w:hAnsi="宋体" w:cs="宋体"/>
          <w:bCs/>
          <w:sz w:val="24"/>
          <w:szCs w:val="24"/>
          <w:highlight w:val="none"/>
        </w:rPr>
        <w:t>1.签约合同价为：</w:t>
      </w:r>
    </w:p>
    <w:p>
      <w:pPr>
        <w:spacing w:line="360" w:lineRule="auto"/>
        <w:ind w:firstLine="600" w:firstLineChars="250"/>
        <w:rPr>
          <w:rFonts w:ascii="宋体" w:hAnsi="宋体" w:cs="宋体"/>
          <w:sz w:val="24"/>
          <w:szCs w:val="24"/>
          <w:highlight w:val="none"/>
        </w:rPr>
      </w:pPr>
      <w:r>
        <w:rPr>
          <w:rFonts w:hint="eastAsia" w:ascii="宋体" w:hAnsi="宋体" w:cs="宋体"/>
          <w:sz w:val="24"/>
          <w:szCs w:val="24"/>
          <w:highlight w:val="none"/>
        </w:rPr>
        <w:t>人民币（大写）(¥元)；</w:t>
      </w:r>
    </w:p>
    <w:p>
      <w:pPr>
        <w:spacing w:line="360" w:lineRule="auto"/>
        <w:ind w:firstLine="470" w:firstLineChars="196"/>
        <w:rPr>
          <w:rFonts w:ascii="宋体" w:hAnsi="宋体" w:cs="宋体"/>
          <w:bCs/>
          <w:sz w:val="24"/>
          <w:szCs w:val="24"/>
          <w:highlight w:val="none"/>
        </w:rPr>
      </w:pPr>
      <w:r>
        <w:rPr>
          <w:rFonts w:hint="eastAsia" w:ascii="宋体" w:hAnsi="宋体" w:cs="宋体"/>
          <w:bCs/>
          <w:sz w:val="24"/>
          <w:szCs w:val="24"/>
          <w:highlight w:val="none"/>
        </w:rPr>
        <w:t>其中：</w:t>
      </w:r>
    </w:p>
    <w:p>
      <w:pPr>
        <w:spacing w:line="360" w:lineRule="auto"/>
        <w:ind w:firstLine="470" w:firstLineChars="196"/>
        <w:rPr>
          <w:rFonts w:ascii="宋体" w:hAnsi="宋体" w:cs="宋体"/>
          <w:bCs/>
          <w:sz w:val="24"/>
          <w:szCs w:val="24"/>
          <w:highlight w:val="none"/>
        </w:rPr>
      </w:pPr>
      <w:r>
        <w:rPr>
          <w:rFonts w:hint="eastAsia" w:ascii="宋体" w:hAnsi="宋体" w:cs="宋体"/>
          <w:bCs/>
          <w:sz w:val="24"/>
          <w:szCs w:val="24"/>
          <w:highlight w:val="none"/>
        </w:rPr>
        <w:t>（1）安全文明施工费：</w:t>
      </w:r>
    </w:p>
    <w:p>
      <w:pPr>
        <w:spacing w:line="360" w:lineRule="auto"/>
        <w:ind w:firstLine="1080" w:firstLineChars="450"/>
        <w:rPr>
          <w:rFonts w:ascii="宋体" w:hAnsi="宋体" w:cs="宋体"/>
          <w:sz w:val="24"/>
          <w:szCs w:val="24"/>
          <w:highlight w:val="none"/>
        </w:rPr>
      </w:pPr>
      <w:r>
        <w:rPr>
          <w:rFonts w:hint="eastAsia" w:ascii="宋体" w:hAnsi="宋体" w:cs="宋体"/>
          <w:sz w:val="24"/>
          <w:szCs w:val="24"/>
          <w:highlight w:val="none"/>
        </w:rPr>
        <w:t>人民币（大写） (¥元)；</w:t>
      </w:r>
    </w:p>
    <w:p>
      <w:pPr>
        <w:spacing w:line="360" w:lineRule="auto"/>
        <w:ind w:firstLine="470" w:firstLineChars="196"/>
        <w:rPr>
          <w:rFonts w:ascii="宋体" w:hAnsi="宋体" w:cs="宋体"/>
          <w:bCs/>
          <w:sz w:val="24"/>
          <w:szCs w:val="24"/>
          <w:highlight w:val="none"/>
        </w:rPr>
      </w:pPr>
      <w:r>
        <w:rPr>
          <w:rFonts w:hint="eastAsia" w:ascii="宋体" w:hAnsi="宋体" w:cs="宋体"/>
          <w:bCs/>
          <w:sz w:val="24"/>
          <w:szCs w:val="24"/>
          <w:highlight w:val="none"/>
        </w:rPr>
        <w:t>（2）材料和工程设备暂估价金额：</w:t>
      </w:r>
    </w:p>
    <w:p>
      <w:pPr>
        <w:spacing w:line="360" w:lineRule="auto"/>
        <w:ind w:firstLine="1080" w:firstLineChars="450"/>
        <w:rPr>
          <w:rFonts w:ascii="宋体" w:hAnsi="宋体" w:cs="宋体"/>
          <w:sz w:val="24"/>
          <w:szCs w:val="24"/>
          <w:highlight w:val="none"/>
        </w:rPr>
      </w:pPr>
      <w:r>
        <w:rPr>
          <w:rFonts w:hint="eastAsia" w:ascii="宋体" w:hAnsi="宋体" w:cs="宋体"/>
          <w:sz w:val="24"/>
          <w:szCs w:val="24"/>
          <w:highlight w:val="none"/>
        </w:rPr>
        <w:t>人民币（大写）(¥元)；</w:t>
      </w:r>
    </w:p>
    <w:p>
      <w:pPr>
        <w:spacing w:line="360" w:lineRule="auto"/>
        <w:ind w:firstLine="470" w:firstLineChars="196"/>
        <w:rPr>
          <w:rFonts w:ascii="宋体" w:hAnsi="宋体" w:cs="宋体"/>
          <w:bCs/>
          <w:sz w:val="24"/>
          <w:szCs w:val="24"/>
          <w:highlight w:val="none"/>
        </w:rPr>
      </w:pPr>
      <w:r>
        <w:rPr>
          <w:rFonts w:hint="eastAsia" w:ascii="宋体" w:hAnsi="宋体" w:cs="宋体"/>
          <w:bCs/>
          <w:sz w:val="24"/>
          <w:szCs w:val="24"/>
          <w:highlight w:val="none"/>
        </w:rPr>
        <w:t>（3）专业工程暂估价金额：</w:t>
      </w:r>
    </w:p>
    <w:p>
      <w:pPr>
        <w:spacing w:line="360" w:lineRule="auto"/>
        <w:ind w:firstLine="1080" w:firstLineChars="450"/>
        <w:rPr>
          <w:rFonts w:ascii="宋体" w:hAnsi="宋体" w:cs="宋体"/>
          <w:sz w:val="24"/>
          <w:szCs w:val="24"/>
          <w:highlight w:val="none"/>
        </w:rPr>
      </w:pPr>
      <w:r>
        <w:rPr>
          <w:rFonts w:hint="eastAsia" w:ascii="宋体" w:hAnsi="宋体" w:cs="宋体"/>
          <w:sz w:val="24"/>
          <w:szCs w:val="24"/>
          <w:highlight w:val="none"/>
        </w:rPr>
        <w:t>人民币（大写） (¥元)；</w:t>
      </w:r>
    </w:p>
    <w:p>
      <w:pPr>
        <w:spacing w:line="360" w:lineRule="auto"/>
        <w:ind w:firstLine="470" w:firstLineChars="196"/>
        <w:rPr>
          <w:rFonts w:ascii="宋体" w:hAnsi="宋体" w:cs="宋体"/>
          <w:bCs/>
          <w:sz w:val="24"/>
          <w:szCs w:val="24"/>
          <w:highlight w:val="none"/>
        </w:rPr>
      </w:pPr>
      <w:r>
        <w:rPr>
          <w:rFonts w:hint="eastAsia" w:ascii="宋体" w:hAnsi="宋体" w:cs="宋体"/>
          <w:bCs/>
          <w:sz w:val="24"/>
          <w:szCs w:val="24"/>
          <w:highlight w:val="none"/>
        </w:rPr>
        <w:t>（4）暂列金额：</w:t>
      </w:r>
    </w:p>
    <w:p>
      <w:pPr>
        <w:spacing w:line="360" w:lineRule="auto"/>
        <w:ind w:firstLine="1080" w:firstLineChars="450"/>
        <w:rPr>
          <w:rFonts w:ascii="宋体" w:hAnsi="宋体" w:cs="宋体"/>
          <w:sz w:val="24"/>
          <w:szCs w:val="24"/>
          <w:highlight w:val="none"/>
        </w:rPr>
      </w:pPr>
      <w:r>
        <w:rPr>
          <w:rFonts w:hint="eastAsia" w:ascii="宋体" w:hAnsi="宋体" w:cs="宋体"/>
          <w:sz w:val="24"/>
          <w:szCs w:val="24"/>
          <w:highlight w:val="none"/>
        </w:rPr>
        <w:t>人民币（大写）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u w:val="single"/>
        </w:rPr>
        <w:t xml:space="preserve"> / </w:t>
      </w:r>
      <w:r>
        <w:rPr>
          <w:rFonts w:hint="eastAsia" w:ascii="宋体" w:hAnsi="宋体" w:cs="宋体"/>
          <w:sz w:val="24"/>
          <w:szCs w:val="24"/>
          <w:highlight w:val="none"/>
        </w:rPr>
        <w:t>元)。</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2.合同价格形式：</w:t>
      </w:r>
      <w:r>
        <w:rPr>
          <w:rFonts w:hint="eastAsia" w:ascii="宋体" w:hAnsi="宋体" w:cs="宋体"/>
          <w:sz w:val="24"/>
          <w:szCs w:val="24"/>
          <w:highlight w:val="none"/>
          <w:u w:val="single"/>
        </w:rPr>
        <w:t>单价合同</w:t>
      </w:r>
      <w:r>
        <w:rPr>
          <w:rFonts w:hint="eastAsia" w:ascii="宋体" w:hAnsi="宋体" w:cs="宋体"/>
          <w:sz w:val="24"/>
          <w:szCs w:val="24"/>
          <w:highlight w:val="none"/>
        </w:rPr>
        <w:t>。</w:t>
      </w:r>
    </w:p>
    <w:p>
      <w:pPr>
        <w:keepNext/>
        <w:keepLines/>
        <w:numPr>
          <w:ilvl w:val="3"/>
          <w:numId w:val="7"/>
        </w:numPr>
        <w:spacing w:before="120" w:after="120" w:line="360" w:lineRule="auto"/>
        <w:outlineLvl w:val="3"/>
        <w:rPr>
          <w:rFonts w:ascii="宋体" w:hAnsi="宋体" w:cs="宋体"/>
          <w:bCs/>
          <w:sz w:val="24"/>
          <w:szCs w:val="24"/>
          <w:highlight w:val="none"/>
        </w:rPr>
        <w:sectPr>
          <w:pgSz w:w="11911" w:h="16838"/>
          <w:pgMar w:top="1440" w:right="1803" w:bottom="1440" w:left="1803" w:header="0" w:footer="1406" w:gutter="0"/>
          <w:cols w:space="720" w:num="1"/>
          <w:docGrid w:linePitch="312" w:charSpace="0"/>
        </w:sectPr>
      </w:pPr>
    </w:p>
    <w:p>
      <w:pPr>
        <w:keepNext/>
        <w:keepLines/>
        <w:numPr>
          <w:ilvl w:val="3"/>
          <w:numId w:val="7"/>
        </w:numPr>
        <w:spacing w:before="120" w:after="120" w:line="360" w:lineRule="auto"/>
        <w:outlineLvl w:val="3"/>
        <w:rPr>
          <w:rFonts w:ascii="宋体" w:hAnsi="宋体" w:cs="宋体"/>
          <w:bCs/>
          <w:sz w:val="24"/>
          <w:szCs w:val="24"/>
          <w:highlight w:val="none"/>
        </w:rPr>
      </w:pPr>
      <w:r>
        <w:rPr>
          <w:rFonts w:hint="eastAsia" w:ascii="宋体" w:hAnsi="宋体" w:cs="宋体"/>
          <w:bCs/>
          <w:sz w:val="24"/>
          <w:szCs w:val="24"/>
          <w:highlight w:val="none"/>
        </w:rPr>
        <w:t>五、项目经理</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承包人项目经理：</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身份证号： </w:t>
      </w:r>
      <w:r>
        <w:rPr>
          <w:rFonts w:hint="eastAsia" w:ascii="宋体" w:hAnsi="宋体" w:cs="宋体"/>
          <w:sz w:val="24"/>
          <w:szCs w:val="24"/>
          <w:highlight w:val="none"/>
          <w:u w:val="single"/>
        </w:rPr>
        <w:t xml:space="preserve">      ；</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建造师执业资格等级：</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建造师注册证书号：</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建造师执业印章号：</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安全生产考核合格证书号：</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联系电话：</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电子信箱：</w:t>
      </w:r>
      <w:r>
        <w:rPr>
          <w:rFonts w:hint="eastAsia" w:ascii="宋体" w:hAnsi="宋体" w:cs="宋体"/>
          <w:sz w:val="24"/>
          <w:szCs w:val="24"/>
          <w:highlight w:val="none"/>
          <w:u w:val="single"/>
        </w:rPr>
        <w:t> </w:t>
      </w:r>
      <w:r>
        <w:rPr>
          <w:rFonts w:hint="eastAsia" w:ascii="宋体" w:hAnsi="宋体" w:cs="宋体"/>
          <w:sz w:val="24"/>
          <w:szCs w:val="24"/>
          <w:highlight w:val="none"/>
        </w:rPr>
        <w:t>；</w:t>
      </w:r>
    </w:p>
    <w:p>
      <w:pPr>
        <w:keepNext/>
        <w:keepLines/>
        <w:numPr>
          <w:ilvl w:val="3"/>
          <w:numId w:val="7"/>
        </w:numPr>
        <w:spacing w:before="120" w:after="120" w:line="360" w:lineRule="auto"/>
        <w:outlineLvl w:val="3"/>
        <w:rPr>
          <w:rFonts w:ascii="宋体" w:hAnsi="宋体" w:cs="宋体"/>
          <w:bCs/>
          <w:sz w:val="24"/>
          <w:szCs w:val="24"/>
          <w:highlight w:val="none"/>
        </w:rPr>
      </w:pPr>
      <w:r>
        <w:rPr>
          <w:rFonts w:hint="eastAsia" w:ascii="宋体" w:hAnsi="宋体" w:cs="宋体"/>
          <w:bCs/>
          <w:sz w:val="24"/>
          <w:szCs w:val="24"/>
          <w:highlight w:val="none"/>
        </w:rPr>
        <w:t xml:space="preserve">   六、发包人代表</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姓    名：</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身份证号：</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职    务：</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联系电话：</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电子信箱：</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p>
    <w:p>
      <w:pPr>
        <w:spacing w:line="360" w:lineRule="auto"/>
        <w:ind w:firstLine="480" w:firstLineChars="200"/>
        <w:rPr>
          <w:rFonts w:ascii="宋体" w:hAnsi="宋体" w:cs="宋体"/>
          <w:sz w:val="24"/>
          <w:szCs w:val="24"/>
          <w:highlight w:val="none"/>
        </w:rPr>
      </w:pPr>
    </w:p>
    <w:p>
      <w:pPr>
        <w:spacing w:line="360" w:lineRule="auto"/>
        <w:ind w:firstLine="480" w:firstLineChars="200"/>
        <w:rPr>
          <w:rFonts w:ascii="宋体" w:hAnsi="宋体" w:cs="宋体"/>
          <w:sz w:val="24"/>
          <w:szCs w:val="24"/>
          <w:highlight w:val="none"/>
        </w:rPr>
        <w:sectPr>
          <w:type w:val="continuous"/>
          <w:pgSz w:w="11911" w:h="16838"/>
          <w:pgMar w:top="1440" w:right="1803" w:bottom="1440" w:left="1803" w:header="0" w:footer="1406" w:gutter="0"/>
          <w:cols w:equalWidth="0" w:num="2">
            <w:col w:w="3937" w:space="425"/>
            <w:col w:w="3937"/>
          </w:cols>
          <w:docGrid w:linePitch="312" w:charSpace="0"/>
        </w:sectPr>
      </w:pPr>
    </w:p>
    <w:p>
      <w:pPr>
        <w:spacing w:line="360" w:lineRule="auto"/>
        <w:ind w:firstLine="480" w:firstLineChars="200"/>
        <w:rPr>
          <w:rFonts w:ascii="宋体" w:hAnsi="宋体" w:cs="宋体"/>
          <w:sz w:val="24"/>
          <w:szCs w:val="24"/>
          <w:highlight w:val="none"/>
        </w:rPr>
      </w:pPr>
    </w:p>
    <w:p>
      <w:pPr>
        <w:spacing w:line="360" w:lineRule="auto"/>
        <w:rPr>
          <w:rFonts w:ascii="宋体" w:hAnsi="宋体" w:cs="宋体"/>
          <w:sz w:val="24"/>
          <w:szCs w:val="24"/>
          <w:highlight w:val="none"/>
        </w:rPr>
      </w:pPr>
      <w:r>
        <w:rPr>
          <w:rFonts w:hint="eastAsia" w:ascii="宋体" w:hAnsi="宋体" w:cs="宋体"/>
          <w:sz w:val="24"/>
          <w:szCs w:val="24"/>
          <w:highlight w:val="none"/>
        </w:rPr>
        <w:t>七、合同当事人及其他相关方</w:t>
      </w:r>
    </w:p>
    <w:p>
      <w:pPr>
        <w:spacing w:line="360" w:lineRule="auto"/>
        <w:ind w:firstLine="480" w:firstLineChars="200"/>
        <w:rPr>
          <w:rFonts w:ascii="宋体" w:hAnsi="宋体" w:cs="宋体"/>
          <w:sz w:val="24"/>
          <w:szCs w:val="24"/>
          <w:highlight w:val="none"/>
        </w:rPr>
        <w:sectPr>
          <w:type w:val="continuous"/>
          <w:pgSz w:w="11911" w:h="16838"/>
          <w:pgMar w:top="1440" w:right="1803" w:bottom="1440" w:left="1803" w:header="0" w:footer="1406" w:gutter="0"/>
          <w:cols w:space="720" w:num="1"/>
          <w:docGrid w:linePitch="312" w:charSpace="0"/>
        </w:sectPr>
      </w:pP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监理人名称：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资质类别和等级：</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总监理工程师：</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u w:val="single"/>
        </w:rPr>
      </w:pPr>
      <w:r>
        <w:rPr>
          <w:rFonts w:hint="eastAsia" w:ascii="宋体" w:hAnsi="宋体" w:cs="宋体"/>
          <w:sz w:val="24"/>
          <w:szCs w:val="24"/>
          <w:highlight w:val="none"/>
        </w:rPr>
        <w:t xml:space="preserve">执业资格证书号：； </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电子信箱：</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通信地址：</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设计人名称：</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资质类别和等级：</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联系电话：</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电子信箱：</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p>
    <w:p>
      <w:pPr>
        <w:spacing w:line="360" w:lineRule="auto"/>
        <w:rPr>
          <w:rFonts w:ascii="宋体" w:hAnsi="宋体" w:cs="宋体"/>
          <w:sz w:val="24"/>
          <w:szCs w:val="24"/>
          <w:highlight w:val="none"/>
        </w:rPr>
        <w:sectPr>
          <w:type w:val="continuous"/>
          <w:pgSz w:w="11911" w:h="16838"/>
          <w:pgMar w:top="1440" w:right="1803" w:bottom="1440" w:left="1803" w:header="0" w:footer="1406" w:gutter="0"/>
          <w:cols w:equalWidth="0" w:num="2">
            <w:col w:w="3937" w:space="425"/>
            <w:col w:w="3937"/>
          </w:cols>
          <w:docGrid w:linePitch="312" w:charSpace="0"/>
        </w:sectPr>
      </w:pPr>
    </w:p>
    <w:p>
      <w:pPr>
        <w:spacing w:line="360" w:lineRule="auto"/>
        <w:jc w:val="left"/>
        <w:rPr>
          <w:rFonts w:ascii="宋体" w:hAnsi="宋体" w:cs="宋体"/>
          <w:sz w:val="24"/>
          <w:szCs w:val="24"/>
          <w:highlight w:val="none"/>
        </w:rPr>
      </w:pPr>
      <w:r>
        <w:rPr>
          <w:rFonts w:hint="eastAsia" w:ascii="宋体" w:hAnsi="宋体" w:cs="宋体"/>
          <w:sz w:val="24"/>
          <w:szCs w:val="24"/>
          <w:highlight w:val="none"/>
        </w:rPr>
        <w:t>八、付款周期</w:t>
      </w:r>
    </w:p>
    <w:p>
      <w:pPr>
        <w:autoSpaceDE w:val="0"/>
        <w:autoSpaceDN w:val="0"/>
        <w:adjustRightIn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A、 如需申请预付款，由施工单位提交书面付款申请并提供同等金额的预付款担保（现金或金融机构、担保机构、银行出具的保函），申请金额为合同价的30%；</w:t>
      </w:r>
    </w:p>
    <w:p>
      <w:pPr>
        <w:autoSpaceDE w:val="0"/>
        <w:autoSpaceDN w:val="0"/>
        <w:adjustRightIn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B、工程完成70%后，付至合同价款（扣回甲供材料价款、专业工程暂估价、暂列金额后）的</w:t>
      </w:r>
      <w:r>
        <w:rPr>
          <w:rFonts w:hint="eastAsia" w:ascii="宋体" w:hAnsi="宋体" w:cs="宋体"/>
          <w:sz w:val="24"/>
          <w:szCs w:val="24"/>
          <w:highlight w:val="none"/>
          <w:lang w:val="en-US" w:eastAsia="zh-CN"/>
        </w:rPr>
        <w:t>50</w:t>
      </w:r>
      <w:r>
        <w:rPr>
          <w:rFonts w:hint="eastAsia" w:ascii="宋体" w:hAnsi="宋体" w:cs="宋体"/>
          <w:sz w:val="24"/>
          <w:szCs w:val="24"/>
          <w:highlight w:val="none"/>
        </w:rPr>
        <w:t>%；</w:t>
      </w:r>
    </w:p>
    <w:p>
      <w:pPr>
        <w:autoSpaceDE w:val="0"/>
        <w:autoSpaceDN w:val="0"/>
        <w:adjustRightIn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C、工程竣工验收合格后，付至合同价款（扣回甲供材料价款、专业工程暂估价、暂列金额后）的70%；</w:t>
      </w:r>
    </w:p>
    <w:p>
      <w:pPr>
        <w:autoSpaceDE w:val="0"/>
        <w:autoSpaceDN w:val="0"/>
        <w:adjustRightIn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D、竣工结算经审计部门审计结束，</w:t>
      </w:r>
      <w:r>
        <w:rPr>
          <w:rFonts w:hint="eastAsia" w:ascii="宋体" w:hAnsi="宋体" w:cs="宋体"/>
          <w:sz w:val="24"/>
          <w:szCs w:val="24"/>
          <w:highlight w:val="none"/>
          <w:lang w:eastAsia="zh-CN"/>
        </w:rPr>
        <w:t>承包人</w:t>
      </w:r>
      <w:r>
        <w:rPr>
          <w:rFonts w:hint="eastAsia" w:ascii="宋体" w:hAnsi="宋体" w:cs="宋体"/>
          <w:sz w:val="24"/>
          <w:szCs w:val="24"/>
          <w:highlight w:val="none"/>
        </w:rPr>
        <w:t>提交审计价款的3%至</w:t>
      </w:r>
      <w:r>
        <w:rPr>
          <w:rFonts w:hint="eastAsia" w:ascii="宋体" w:hAnsi="宋体" w:cs="宋体"/>
          <w:sz w:val="24"/>
          <w:szCs w:val="24"/>
          <w:highlight w:val="none"/>
          <w:lang w:eastAsia="zh-CN"/>
        </w:rPr>
        <w:t>发包人</w:t>
      </w:r>
      <w:r>
        <w:rPr>
          <w:rFonts w:hint="eastAsia" w:ascii="宋体" w:hAnsi="宋体" w:cs="宋体"/>
          <w:sz w:val="24"/>
          <w:szCs w:val="24"/>
          <w:highlight w:val="none"/>
        </w:rPr>
        <w:t>账户作为质保金，并按照要求提交所有竣工资料后，付至工程结算审定价款（扣回甲供材料价款、专业工程暂估价、暂列金额、水电费等应该扣除的费用后）的100%（</w:t>
      </w:r>
      <w:r>
        <w:rPr>
          <w:rFonts w:hint="eastAsia" w:ascii="宋体" w:hAnsi="宋体" w:cs="宋体"/>
          <w:sz w:val="24"/>
          <w:szCs w:val="24"/>
          <w:highlight w:val="none"/>
          <w:lang w:eastAsia="zh-CN"/>
        </w:rPr>
        <w:t>承包人</w:t>
      </w:r>
      <w:r>
        <w:rPr>
          <w:rFonts w:hint="eastAsia" w:ascii="宋体" w:hAnsi="宋体" w:cs="宋体"/>
          <w:sz w:val="24"/>
          <w:szCs w:val="24"/>
          <w:highlight w:val="none"/>
        </w:rPr>
        <w:t>需开具审定价的全额发票）；</w:t>
      </w:r>
    </w:p>
    <w:p>
      <w:pPr>
        <w:autoSpaceDE w:val="0"/>
        <w:autoSpaceDN w:val="0"/>
        <w:adjustRightIn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E、所有合同外增加的工作内容施工项目，一律不得作为进度款支付的计算基数，待竣工结算审计后方可进行价款结算。</w:t>
      </w:r>
    </w:p>
    <w:p>
      <w:pPr>
        <w:keepNext/>
        <w:keepLines/>
        <w:numPr>
          <w:ilvl w:val="3"/>
          <w:numId w:val="7"/>
        </w:numPr>
        <w:spacing w:before="120" w:after="120" w:line="360" w:lineRule="auto"/>
        <w:outlineLvl w:val="3"/>
        <w:rPr>
          <w:rFonts w:ascii="宋体" w:hAnsi="宋体" w:cs="宋体"/>
          <w:b/>
          <w:sz w:val="24"/>
          <w:szCs w:val="24"/>
          <w:highlight w:val="none"/>
        </w:rPr>
      </w:pPr>
      <w:r>
        <w:rPr>
          <w:rFonts w:hint="eastAsia" w:ascii="宋体" w:hAnsi="宋体" w:cs="宋体"/>
          <w:bCs/>
          <w:sz w:val="24"/>
          <w:szCs w:val="24"/>
          <w:highlight w:val="none"/>
        </w:rPr>
        <w:t>九、合同文件构成</w:t>
      </w:r>
    </w:p>
    <w:p>
      <w:pPr>
        <w:spacing w:line="360" w:lineRule="auto"/>
        <w:ind w:firstLine="470" w:firstLineChars="196"/>
        <w:rPr>
          <w:rFonts w:ascii="宋体" w:hAnsi="宋体" w:cs="宋体"/>
          <w:bCs/>
          <w:sz w:val="24"/>
          <w:szCs w:val="24"/>
          <w:highlight w:val="none"/>
        </w:rPr>
      </w:pPr>
      <w:r>
        <w:rPr>
          <w:rFonts w:hint="eastAsia" w:ascii="宋体" w:hAnsi="宋体" w:cs="宋体"/>
          <w:bCs/>
          <w:sz w:val="24"/>
          <w:szCs w:val="24"/>
          <w:highlight w:val="none"/>
        </w:rPr>
        <w:t>本协议书与下列文件一起构成合同文件：</w:t>
      </w:r>
    </w:p>
    <w:p>
      <w:pPr>
        <w:autoSpaceDE w:val="0"/>
        <w:autoSpaceDN w:val="0"/>
        <w:adjustRightIn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（1）中标通知书（如果有）；</w:t>
      </w:r>
    </w:p>
    <w:p>
      <w:pPr>
        <w:autoSpaceDE w:val="0"/>
        <w:autoSpaceDN w:val="0"/>
        <w:adjustRightIn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 xml:space="preserve">（2）投标函及其附录（如果有）； </w:t>
      </w:r>
    </w:p>
    <w:p>
      <w:pPr>
        <w:autoSpaceDE w:val="0"/>
        <w:autoSpaceDN w:val="0"/>
        <w:adjustRightIn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（3）专用合同条款及其附件；</w:t>
      </w:r>
    </w:p>
    <w:p>
      <w:pPr>
        <w:autoSpaceDE w:val="0"/>
        <w:autoSpaceDN w:val="0"/>
        <w:adjustRightIn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（4）通用合同条款；</w:t>
      </w:r>
    </w:p>
    <w:p>
      <w:pPr>
        <w:autoSpaceDE w:val="0"/>
        <w:autoSpaceDN w:val="0"/>
        <w:adjustRightIn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（5）技术标准和要求；</w:t>
      </w:r>
    </w:p>
    <w:p>
      <w:pPr>
        <w:autoSpaceDE w:val="0"/>
        <w:autoSpaceDN w:val="0"/>
        <w:adjustRightIn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（6）图纸；</w:t>
      </w:r>
    </w:p>
    <w:p>
      <w:pPr>
        <w:autoSpaceDE w:val="0"/>
        <w:autoSpaceDN w:val="0"/>
        <w:adjustRightIn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（7）已标价工程量清单或预算书；</w:t>
      </w:r>
    </w:p>
    <w:p>
      <w:pPr>
        <w:autoSpaceDE w:val="0"/>
        <w:autoSpaceDN w:val="0"/>
        <w:adjustRightIn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（8）其他合同文件。</w:t>
      </w:r>
    </w:p>
    <w:p>
      <w:pPr>
        <w:autoSpaceDE w:val="0"/>
        <w:autoSpaceDN w:val="0"/>
        <w:adjustRightIn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在合同订立及履行过程中形成的与合同有关的文件均构成合同文件组成部分。</w:t>
      </w:r>
    </w:p>
    <w:p>
      <w:pPr>
        <w:autoSpaceDE w:val="0"/>
        <w:autoSpaceDN w:val="0"/>
        <w:adjustRightIn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上述各项合同文件包括合同当事人就该项合同文件所作出的补充和修改，属于同一类内容的文件，应以最新签署的为准。专用合同条款及其附件须经合同当事人签字或盖章。</w:t>
      </w:r>
    </w:p>
    <w:p>
      <w:pPr>
        <w:keepNext/>
        <w:keepLines/>
        <w:numPr>
          <w:ilvl w:val="3"/>
          <w:numId w:val="7"/>
        </w:numPr>
        <w:spacing w:before="120" w:after="120" w:line="360" w:lineRule="auto"/>
        <w:outlineLvl w:val="3"/>
        <w:rPr>
          <w:rFonts w:ascii="宋体" w:hAnsi="宋体" w:cs="宋体"/>
          <w:sz w:val="24"/>
          <w:szCs w:val="24"/>
          <w:highlight w:val="none"/>
        </w:rPr>
      </w:pPr>
      <w:r>
        <w:rPr>
          <w:rFonts w:hint="eastAsia" w:ascii="宋体" w:hAnsi="宋体" w:cs="宋体"/>
          <w:bCs/>
          <w:sz w:val="24"/>
          <w:szCs w:val="24"/>
          <w:highlight w:val="none"/>
        </w:rPr>
        <w:t>十、承诺</w:t>
      </w:r>
    </w:p>
    <w:p>
      <w:pPr>
        <w:spacing w:line="360" w:lineRule="auto"/>
        <w:ind w:firstLine="480" w:firstLineChars="200"/>
        <w:rPr>
          <w:rFonts w:ascii="宋体" w:hAnsi="宋体" w:cs="宋体"/>
          <w:bCs/>
          <w:sz w:val="24"/>
          <w:szCs w:val="24"/>
          <w:highlight w:val="none"/>
        </w:rPr>
      </w:pPr>
      <w:r>
        <w:rPr>
          <w:rFonts w:hint="eastAsia" w:ascii="宋体" w:hAnsi="宋体" w:cs="宋体"/>
          <w:bCs/>
          <w:sz w:val="24"/>
          <w:szCs w:val="24"/>
          <w:highlight w:val="none"/>
        </w:rPr>
        <w:t>1.发包人承诺按照法律规定履行项目审批手续、筹集工程建设资金并按照合同约定的期限和方式支付合同价款。</w:t>
      </w:r>
    </w:p>
    <w:p>
      <w:pPr>
        <w:spacing w:line="360" w:lineRule="auto"/>
        <w:ind w:firstLine="480" w:firstLineChars="200"/>
        <w:rPr>
          <w:rFonts w:ascii="宋体" w:hAnsi="宋体" w:cs="宋体"/>
          <w:bCs/>
          <w:sz w:val="24"/>
          <w:szCs w:val="24"/>
          <w:highlight w:val="none"/>
        </w:rPr>
      </w:pPr>
      <w:r>
        <w:rPr>
          <w:rFonts w:hint="eastAsia" w:ascii="宋体" w:hAnsi="宋体" w:cs="宋体"/>
          <w:bCs/>
          <w:sz w:val="24"/>
          <w:szCs w:val="24"/>
          <w:highlight w:val="none"/>
        </w:rPr>
        <w:t>2.承包人承诺按照法律规定及合同约定组织完成工程施工，确保工程质量和安全，不进行转包及违法分包，并在缺陷责任期及保修期内承担相应的工程维修责任。</w:t>
      </w:r>
    </w:p>
    <w:p>
      <w:pPr>
        <w:spacing w:line="360" w:lineRule="auto"/>
        <w:ind w:firstLine="480" w:firstLineChars="200"/>
        <w:rPr>
          <w:rFonts w:ascii="宋体" w:hAnsi="宋体" w:cs="宋体"/>
          <w:bCs/>
          <w:sz w:val="24"/>
          <w:szCs w:val="24"/>
          <w:highlight w:val="none"/>
        </w:rPr>
      </w:pPr>
      <w:r>
        <w:rPr>
          <w:rFonts w:hint="eastAsia" w:ascii="宋体" w:hAnsi="宋体" w:cs="宋体"/>
          <w:bCs/>
          <w:sz w:val="24"/>
          <w:szCs w:val="24"/>
          <w:highlight w:val="none"/>
        </w:rPr>
        <w:t>3.发包人和承包人通过招投标形式签订合同的，双方理解并承诺不再就同一工程另行签订与合同实质性内容相背离的协议。</w:t>
      </w:r>
    </w:p>
    <w:p>
      <w:pPr>
        <w:keepNext/>
        <w:keepLines/>
        <w:numPr>
          <w:ilvl w:val="3"/>
          <w:numId w:val="7"/>
        </w:numPr>
        <w:spacing w:before="120" w:after="120" w:line="360" w:lineRule="auto"/>
        <w:outlineLvl w:val="3"/>
        <w:rPr>
          <w:rFonts w:ascii="宋体" w:hAnsi="宋体" w:cs="宋体"/>
          <w:b/>
          <w:sz w:val="24"/>
          <w:szCs w:val="24"/>
          <w:highlight w:val="none"/>
        </w:rPr>
      </w:pPr>
      <w:r>
        <w:rPr>
          <w:rFonts w:hint="eastAsia" w:ascii="宋体" w:hAnsi="宋体" w:cs="宋体"/>
          <w:bCs/>
          <w:sz w:val="24"/>
          <w:szCs w:val="24"/>
          <w:highlight w:val="none"/>
        </w:rPr>
        <w:t>十一、词语含义</w:t>
      </w:r>
    </w:p>
    <w:p>
      <w:pPr>
        <w:spacing w:line="360" w:lineRule="auto"/>
        <w:ind w:firstLine="480" w:firstLineChars="200"/>
        <w:rPr>
          <w:rFonts w:ascii="宋体" w:hAnsi="宋体" w:cs="宋体"/>
          <w:bCs/>
          <w:sz w:val="24"/>
          <w:szCs w:val="24"/>
          <w:highlight w:val="none"/>
        </w:rPr>
      </w:pPr>
      <w:r>
        <w:rPr>
          <w:rFonts w:hint="eastAsia" w:ascii="宋体" w:hAnsi="宋体" w:cs="宋体"/>
          <w:bCs/>
          <w:sz w:val="24"/>
          <w:szCs w:val="24"/>
          <w:highlight w:val="none"/>
        </w:rPr>
        <w:t>本协议书中词语含义与第二部分通用合同条款中赋予的含义相同。</w:t>
      </w:r>
    </w:p>
    <w:p>
      <w:pPr>
        <w:keepNext/>
        <w:keepLines/>
        <w:numPr>
          <w:ilvl w:val="3"/>
          <w:numId w:val="7"/>
        </w:numPr>
        <w:spacing w:before="120" w:after="120" w:line="360" w:lineRule="auto"/>
        <w:outlineLvl w:val="3"/>
        <w:rPr>
          <w:rFonts w:ascii="宋体" w:hAnsi="宋体" w:cs="宋体"/>
          <w:b/>
          <w:sz w:val="24"/>
          <w:szCs w:val="24"/>
          <w:highlight w:val="none"/>
        </w:rPr>
      </w:pPr>
      <w:r>
        <w:rPr>
          <w:rFonts w:hint="eastAsia" w:ascii="宋体" w:hAnsi="宋体" w:cs="宋体"/>
          <w:bCs/>
          <w:sz w:val="24"/>
          <w:szCs w:val="24"/>
          <w:highlight w:val="none"/>
        </w:rPr>
        <w:t>十二、签订时间</w:t>
      </w:r>
    </w:p>
    <w:p>
      <w:pPr>
        <w:spacing w:line="360" w:lineRule="auto"/>
        <w:ind w:firstLine="480" w:firstLineChars="200"/>
        <w:rPr>
          <w:rFonts w:ascii="宋体" w:hAnsi="宋体" w:cs="宋体"/>
          <w:bCs/>
          <w:sz w:val="24"/>
          <w:szCs w:val="24"/>
          <w:highlight w:val="none"/>
        </w:rPr>
      </w:pPr>
      <w:r>
        <w:rPr>
          <w:rFonts w:hint="eastAsia" w:ascii="宋体" w:hAnsi="宋体" w:cs="宋体"/>
          <w:bCs/>
          <w:sz w:val="24"/>
          <w:szCs w:val="24"/>
          <w:highlight w:val="none"/>
        </w:rPr>
        <w:t>本合同于</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年</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月</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日签订。</w:t>
      </w:r>
    </w:p>
    <w:p>
      <w:pPr>
        <w:keepNext/>
        <w:keepLines/>
        <w:numPr>
          <w:ilvl w:val="3"/>
          <w:numId w:val="7"/>
        </w:numPr>
        <w:spacing w:before="120" w:after="120" w:line="360" w:lineRule="auto"/>
        <w:outlineLvl w:val="3"/>
        <w:rPr>
          <w:rFonts w:ascii="宋体" w:hAnsi="宋体" w:cs="宋体"/>
          <w:b/>
          <w:sz w:val="24"/>
          <w:szCs w:val="24"/>
          <w:highlight w:val="none"/>
        </w:rPr>
      </w:pPr>
      <w:r>
        <w:rPr>
          <w:rFonts w:hint="eastAsia" w:ascii="宋体" w:hAnsi="宋体" w:cs="宋体"/>
          <w:bCs/>
          <w:sz w:val="24"/>
          <w:szCs w:val="24"/>
          <w:highlight w:val="none"/>
        </w:rPr>
        <w:t>十三、签订地点</w:t>
      </w:r>
    </w:p>
    <w:p>
      <w:pPr>
        <w:spacing w:line="360" w:lineRule="auto"/>
        <w:ind w:firstLine="480" w:firstLineChars="200"/>
        <w:rPr>
          <w:rFonts w:ascii="宋体" w:hAnsi="宋体" w:cs="宋体"/>
          <w:bCs/>
          <w:sz w:val="24"/>
          <w:szCs w:val="24"/>
          <w:highlight w:val="none"/>
        </w:rPr>
      </w:pPr>
      <w:r>
        <w:rPr>
          <w:rFonts w:hint="eastAsia" w:ascii="宋体" w:hAnsi="宋体" w:cs="宋体"/>
          <w:bCs/>
          <w:sz w:val="24"/>
          <w:szCs w:val="24"/>
          <w:highlight w:val="none"/>
        </w:rPr>
        <w:t>本合同在</w:t>
      </w:r>
      <w:r>
        <w:rPr>
          <w:rFonts w:hint="eastAsia"/>
          <w:highlight w:val="none"/>
          <w:u w:val="single"/>
        </w:rPr>
        <w:t xml:space="preserve">                    </w:t>
      </w:r>
      <w:r>
        <w:rPr>
          <w:rFonts w:hint="eastAsia" w:ascii="宋体" w:hAnsi="宋体" w:cs="宋体"/>
          <w:bCs/>
          <w:sz w:val="24"/>
          <w:szCs w:val="24"/>
          <w:highlight w:val="none"/>
        </w:rPr>
        <w:t>签订。</w:t>
      </w:r>
    </w:p>
    <w:p>
      <w:pPr>
        <w:keepNext/>
        <w:keepLines/>
        <w:numPr>
          <w:ilvl w:val="3"/>
          <w:numId w:val="7"/>
        </w:numPr>
        <w:spacing w:before="120" w:after="120" w:line="360" w:lineRule="auto"/>
        <w:outlineLvl w:val="3"/>
        <w:rPr>
          <w:rFonts w:ascii="宋体" w:hAnsi="宋体" w:cs="宋体"/>
          <w:b/>
          <w:sz w:val="24"/>
          <w:szCs w:val="24"/>
          <w:highlight w:val="none"/>
        </w:rPr>
      </w:pPr>
      <w:r>
        <w:rPr>
          <w:rFonts w:hint="eastAsia" w:ascii="宋体" w:hAnsi="宋体" w:cs="宋体"/>
          <w:bCs/>
          <w:sz w:val="24"/>
          <w:szCs w:val="24"/>
          <w:highlight w:val="none"/>
        </w:rPr>
        <w:t>十四、补充协议</w:t>
      </w:r>
    </w:p>
    <w:p>
      <w:pPr>
        <w:spacing w:line="360" w:lineRule="auto"/>
        <w:ind w:firstLine="480" w:firstLineChars="200"/>
        <w:rPr>
          <w:rFonts w:ascii="宋体" w:hAnsi="宋体" w:cs="宋体"/>
          <w:b/>
          <w:bCs/>
          <w:sz w:val="24"/>
          <w:szCs w:val="24"/>
          <w:highlight w:val="none"/>
        </w:rPr>
      </w:pPr>
      <w:r>
        <w:rPr>
          <w:rFonts w:hint="eastAsia" w:ascii="宋体" w:hAnsi="宋体" w:cs="宋体"/>
          <w:bCs/>
          <w:sz w:val="24"/>
          <w:szCs w:val="24"/>
          <w:highlight w:val="none"/>
        </w:rPr>
        <w:t>合同未尽事宜，合同当事人另行签订补充协议，补充协议是合同的组成部分。</w:t>
      </w:r>
    </w:p>
    <w:p>
      <w:pPr>
        <w:keepNext/>
        <w:keepLines/>
        <w:numPr>
          <w:ilvl w:val="3"/>
          <w:numId w:val="7"/>
        </w:numPr>
        <w:spacing w:before="120" w:after="120" w:line="360" w:lineRule="auto"/>
        <w:outlineLvl w:val="3"/>
        <w:rPr>
          <w:rFonts w:ascii="宋体" w:hAnsi="宋体" w:cs="宋体"/>
          <w:b/>
          <w:sz w:val="24"/>
          <w:szCs w:val="24"/>
          <w:highlight w:val="none"/>
        </w:rPr>
      </w:pPr>
      <w:r>
        <w:rPr>
          <w:rFonts w:hint="eastAsia" w:ascii="宋体" w:hAnsi="宋体" w:cs="宋体"/>
          <w:bCs/>
          <w:sz w:val="24"/>
          <w:szCs w:val="24"/>
          <w:highlight w:val="none"/>
        </w:rPr>
        <w:t>十五、合同生效</w:t>
      </w:r>
    </w:p>
    <w:p>
      <w:pPr>
        <w:spacing w:line="360" w:lineRule="auto"/>
        <w:ind w:firstLine="480" w:firstLineChars="200"/>
        <w:rPr>
          <w:rFonts w:ascii="宋体" w:hAnsi="宋体" w:cs="宋体"/>
          <w:bCs/>
          <w:sz w:val="24"/>
          <w:szCs w:val="24"/>
          <w:highlight w:val="none"/>
        </w:rPr>
      </w:pPr>
      <w:r>
        <w:rPr>
          <w:rFonts w:hint="eastAsia" w:ascii="宋体" w:hAnsi="宋体" w:cs="宋体"/>
          <w:bCs/>
          <w:sz w:val="24"/>
          <w:szCs w:val="24"/>
          <w:highlight w:val="none"/>
        </w:rPr>
        <w:t>本合同自</w:t>
      </w:r>
      <w:r>
        <w:rPr>
          <w:rFonts w:hint="eastAsia" w:ascii="宋体" w:hAnsi="宋体" w:cs="宋体"/>
          <w:bCs/>
          <w:sz w:val="24"/>
          <w:szCs w:val="24"/>
          <w:highlight w:val="none"/>
          <w:u w:val="single"/>
        </w:rPr>
        <w:t xml:space="preserve"> 双方盖章且签字后 </w:t>
      </w:r>
      <w:r>
        <w:rPr>
          <w:rFonts w:hint="eastAsia" w:ascii="宋体" w:hAnsi="宋体" w:cs="宋体"/>
          <w:bCs/>
          <w:sz w:val="24"/>
          <w:szCs w:val="24"/>
          <w:highlight w:val="none"/>
        </w:rPr>
        <w:t>生效。</w:t>
      </w:r>
    </w:p>
    <w:p>
      <w:pPr>
        <w:keepNext/>
        <w:keepLines/>
        <w:numPr>
          <w:ilvl w:val="3"/>
          <w:numId w:val="7"/>
        </w:numPr>
        <w:spacing w:before="120" w:after="120" w:line="360" w:lineRule="auto"/>
        <w:outlineLvl w:val="3"/>
        <w:rPr>
          <w:rFonts w:ascii="宋体" w:hAnsi="宋体" w:cs="宋体"/>
          <w:b/>
          <w:sz w:val="24"/>
          <w:szCs w:val="24"/>
          <w:highlight w:val="none"/>
        </w:rPr>
      </w:pPr>
      <w:r>
        <w:rPr>
          <w:rFonts w:hint="eastAsia" w:ascii="宋体" w:hAnsi="宋体" w:cs="宋体"/>
          <w:bCs/>
          <w:sz w:val="24"/>
          <w:szCs w:val="24"/>
          <w:highlight w:val="none"/>
        </w:rPr>
        <w:t>十六、合同份数</w:t>
      </w:r>
    </w:p>
    <w:p>
      <w:pPr>
        <w:spacing w:line="360" w:lineRule="auto"/>
        <w:ind w:firstLine="480" w:firstLineChars="200"/>
        <w:rPr>
          <w:rFonts w:ascii="宋体" w:hAnsi="宋体" w:cs="宋体"/>
          <w:bCs/>
          <w:sz w:val="24"/>
          <w:szCs w:val="24"/>
          <w:highlight w:val="none"/>
        </w:rPr>
      </w:pPr>
      <w:r>
        <w:rPr>
          <w:rFonts w:hint="eastAsia" w:ascii="宋体" w:hAnsi="宋体" w:cs="宋体"/>
          <w:bCs/>
          <w:sz w:val="24"/>
          <w:szCs w:val="24"/>
          <w:highlight w:val="none"/>
        </w:rPr>
        <w:t>本合同一式</w:t>
      </w:r>
      <w:r>
        <w:rPr>
          <w:rFonts w:hint="eastAsia" w:ascii="宋体" w:hAnsi="宋体" w:cs="宋体"/>
          <w:bCs/>
          <w:sz w:val="24"/>
          <w:szCs w:val="24"/>
          <w:highlight w:val="none"/>
          <w:u w:val="single"/>
        </w:rPr>
        <w:t xml:space="preserve"> 捌 </w:t>
      </w:r>
      <w:r>
        <w:rPr>
          <w:rFonts w:hint="eastAsia" w:ascii="宋体" w:hAnsi="宋体" w:cs="宋体"/>
          <w:bCs/>
          <w:sz w:val="24"/>
          <w:szCs w:val="24"/>
          <w:highlight w:val="none"/>
        </w:rPr>
        <w:t>份，均具有同等法律效力，发包人执</w:t>
      </w:r>
      <w:r>
        <w:rPr>
          <w:rFonts w:hint="eastAsia" w:ascii="宋体" w:hAnsi="宋体" w:cs="宋体"/>
          <w:bCs/>
          <w:sz w:val="24"/>
          <w:szCs w:val="24"/>
          <w:highlight w:val="none"/>
          <w:u w:val="single"/>
        </w:rPr>
        <w:t>伍</w:t>
      </w:r>
      <w:r>
        <w:rPr>
          <w:rFonts w:hint="eastAsia" w:ascii="宋体" w:hAnsi="宋体" w:cs="宋体"/>
          <w:bCs/>
          <w:sz w:val="24"/>
          <w:szCs w:val="24"/>
          <w:highlight w:val="none"/>
        </w:rPr>
        <w:t>份，承包人执</w:t>
      </w:r>
      <w:r>
        <w:rPr>
          <w:rFonts w:hint="eastAsia" w:ascii="宋体" w:hAnsi="宋体" w:cs="宋体"/>
          <w:bCs/>
          <w:sz w:val="24"/>
          <w:szCs w:val="24"/>
          <w:highlight w:val="none"/>
          <w:u w:val="single"/>
        </w:rPr>
        <w:t>叁</w:t>
      </w:r>
      <w:r>
        <w:rPr>
          <w:rFonts w:hint="eastAsia" w:ascii="宋体" w:hAnsi="宋体" w:cs="宋体"/>
          <w:bCs/>
          <w:sz w:val="24"/>
          <w:szCs w:val="24"/>
          <w:highlight w:val="none"/>
        </w:rPr>
        <w:t>份。</w:t>
      </w:r>
    </w:p>
    <w:p>
      <w:pPr>
        <w:spacing w:line="360" w:lineRule="auto"/>
        <w:rPr>
          <w:rFonts w:ascii="宋体" w:hAnsi="宋体" w:cs="宋体"/>
          <w:bCs/>
          <w:sz w:val="24"/>
          <w:szCs w:val="24"/>
          <w:highlight w:val="none"/>
        </w:rPr>
      </w:pPr>
    </w:p>
    <w:p>
      <w:pPr>
        <w:spacing w:line="360" w:lineRule="auto"/>
        <w:rPr>
          <w:rFonts w:ascii="宋体" w:hAnsi="宋体" w:cs="宋体"/>
          <w:bCs/>
          <w:sz w:val="24"/>
          <w:szCs w:val="24"/>
          <w:highlight w:val="none"/>
        </w:rPr>
      </w:pPr>
    </w:p>
    <w:p>
      <w:pPr>
        <w:spacing w:line="360" w:lineRule="auto"/>
        <w:rPr>
          <w:rFonts w:ascii="宋体" w:hAnsi="宋体" w:cs="宋体"/>
          <w:sz w:val="24"/>
          <w:szCs w:val="24"/>
          <w:highlight w:val="none"/>
        </w:rPr>
      </w:pPr>
      <w:r>
        <w:rPr>
          <w:rFonts w:hint="eastAsia" w:ascii="宋体" w:hAnsi="宋体" w:cs="宋体"/>
          <w:sz w:val="24"/>
          <w:szCs w:val="24"/>
          <w:highlight w:val="none"/>
        </w:rPr>
        <w:t>发包人：  (盖章)                     承包人：  (盖章)</w:t>
      </w:r>
    </w:p>
    <w:p>
      <w:pPr>
        <w:spacing w:line="360" w:lineRule="auto"/>
        <w:rPr>
          <w:rFonts w:ascii="宋体" w:hAnsi="宋体" w:cs="宋体"/>
          <w:sz w:val="24"/>
          <w:szCs w:val="24"/>
          <w:highlight w:val="none"/>
          <w:u w:val="single"/>
        </w:rPr>
      </w:pPr>
    </w:p>
    <w:p>
      <w:pPr>
        <w:spacing w:line="360" w:lineRule="auto"/>
        <w:rPr>
          <w:rFonts w:ascii="宋体" w:hAnsi="宋体" w:cs="宋体"/>
          <w:sz w:val="24"/>
          <w:szCs w:val="24"/>
          <w:highlight w:val="none"/>
        </w:rPr>
      </w:pPr>
      <w:r>
        <w:rPr>
          <w:rFonts w:hint="eastAsia" w:ascii="宋体" w:hAnsi="宋体" w:cs="宋体"/>
          <w:sz w:val="24"/>
          <w:szCs w:val="24"/>
          <w:highlight w:val="none"/>
        </w:rPr>
        <w:t>法定代表人或其委托代理人：          法定代表人或其委托代理人：</w:t>
      </w:r>
    </w:p>
    <w:p>
      <w:pPr>
        <w:spacing w:line="360" w:lineRule="auto"/>
        <w:rPr>
          <w:rFonts w:ascii="宋体" w:hAnsi="宋体" w:cs="宋体"/>
          <w:sz w:val="24"/>
          <w:szCs w:val="24"/>
          <w:highlight w:val="none"/>
        </w:rPr>
      </w:pPr>
      <w:r>
        <w:rPr>
          <w:rFonts w:hint="eastAsia" w:ascii="宋体" w:hAnsi="宋体" w:cs="宋体"/>
          <w:sz w:val="24"/>
          <w:szCs w:val="24"/>
          <w:highlight w:val="none"/>
        </w:rPr>
        <w:t>（签字）                            （签字）</w:t>
      </w:r>
    </w:p>
    <w:p>
      <w:pPr>
        <w:spacing w:line="360" w:lineRule="auto"/>
        <w:rPr>
          <w:rFonts w:ascii="宋体" w:hAnsi="宋体" w:cs="宋体"/>
          <w:sz w:val="24"/>
          <w:szCs w:val="24"/>
          <w:highlight w:val="none"/>
          <w:u w:val="single"/>
        </w:rPr>
      </w:pPr>
    </w:p>
    <w:p>
      <w:pPr>
        <w:tabs>
          <w:tab w:val="left" w:pos="4410"/>
        </w:tabs>
        <w:spacing w:line="360" w:lineRule="auto"/>
        <w:rPr>
          <w:rFonts w:ascii="宋体" w:hAnsi="宋体" w:cs="宋体"/>
          <w:sz w:val="24"/>
          <w:szCs w:val="24"/>
          <w:highlight w:val="none"/>
        </w:rPr>
      </w:pPr>
      <w:r>
        <w:rPr>
          <w:rFonts w:hint="eastAsia" w:ascii="宋体" w:hAnsi="宋体" w:cs="宋体"/>
          <w:sz w:val="24"/>
          <w:szCs w:val="24"/>
          <w:highlight w:val="none"/>
        </w:rPr>
        <w:t>组织机构代码：                                  组织机构代码：</w:t>
      </w:r>
    </w:p>
    <w:p>
      <w:pPr>
        <w:spacing w:line="360" w:lineRule="auto"/>
        <w:rPr>
          <w:rFonts w:ascii="宋体" w:hAnsi="宋体" w:cs="宋体"/>
          <w:sz w:val="24"/>
          <w:szCs w:val="24"/>
          <w:highlight w:val="none"/>
        </w:rPr>
      </w:pPr>
      <w:r>
        <w:rPr>
          <w:rFonts w:hint="eastAsia" w:ascii="宋体" w:hAnsi="宋体" w:cs="宋体"/>
          <w:sz w:val="24"/>
          <w:szCs w:val="24"/>
          <w:highlight w:val="none"/>
        </w:rPr>
        <w:t>地  址：</w:t>
      </w:r>
      <w:r>
        <w:rPr>
          <w:rFonts w:hint="eastAsia" w:ascii="宋体" w:hAnsi="宋体" w:cs="宋体"/>
          <w:sz w:val="24"/>
          <w:szCs w:val="24"/>
          <w:highlight w:val="none"/>
          <w:u w:val="single"/>
        </w:rPr>
        <w:t> </w:t>
      </w:r>
      <w:r>
        <w:rPr>
          <w:rFonts w:hint="eastAsia" w:ascii="宋体" w:hAnsi="宋体" w:cs="宋体"/>
          <w:sz w:val="24"/>
          <w:szCs w:val="24"/>
          <w:highlight w:val="none"/>
        </w:rPr>
        <w:t xml:space="preserve">                                   地  址：</w:t>
      </w:r>
      <w:r>
        <w:rPr>
          <w:rFonts w:hint="eastAsia" w:ascii="宋体" w:hAnsi="宋体" w:cs="宋体"/>
          <w:sz w:val="24"/>
          <w:szCs w:val="24"/>
          <w:highlight w:val="none"/>
          <w:u w:val="single"/>
        </w:rPr>
        <w:t> </w:t>
      </w:r>
    </w:p>
    <w:p>
      <w:pPr>
        <w:spacing w:line="360" w:lineRule="auto"/>
        <w:rPr>
          <w:rFonts w:ascii="宋体" w:hAnsi="宋体" w:cs="宋体"/>
          <w:sz w:val="24"/>
          <w:szCs w:val="24"/>
          <w:highlight w:val="none"/>
        </w:rPr>
      </w:pPr>
      <w:r>
        <w:rPr>
          <w:rFonts w:hint="eastAsia" w:ascii="宋体" w:hAnsi="宋体" w:cs="宋体"/>
          <w:sz w:val="24"/>
          <w:szCs w:val="24"/>
          <w:highlight w:val="none"/>
        </w:rPr>
        <w:t>邮政编码：</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                                邮政编码：</w:t>
      </w:r>
      <w:r>
        <w:rPr>
          <w:rFonts w:hint="eastAsia" w:ascii="宋体" w:hAnsi="宋体" w:cs="宋体"/>
          <w:sz w:val="24"/>
          <w:szCs w:val="24"/>
          <w:highlight w:val="none"/>
          <w:u w:val="single"/>
        </w:rPr>
        <w:t> </w:t>
      </w:r>
    </w:p>
    <w:p>
      <w:pPr>
        <w:spacing w:line="360" w:lineRule="auto"/>
        <w:rPr>
          <w:rFonts w:ascii="宋体" w:hAnsi="宋体" w:cs="宋体"/>
          <w:sz w:val="24"/>
          <w:szCs w:val="24"/>
          <w:highlight w:val="none"/>
        </w:rPr>
      </w:pPr>
      <w:r>
        <w:rPr>
          <w:rFonts w:hint="eastAsia" w:ascii="宋体" w:hAnsi="宋体" w:cs="宋体"/>
          <w:sz w:val="24"/>
          <w:szCs w:val="24"/>
          <w:highlight w:val="none"/>
        </w:rPr>
        <w:t>法定代表人：</w:t>
      </w:r>
      <w:r>
        <w:rPr>
          <w:rFonts w:hint="eastAsia" w:ascii="宋体" w:hAnsi="宋体" w:cs="宋体"/>
          <w:sz w:val="24"/>
          <w:szCs w:val="24"/>
          <w:highlight w:val="none"/>
          <w:u w:val="single"/>
        </w:rPr>
        <w:t> </w:t>
      </w:r>
      <w:r>
        <w:rPr>
          <w:rFonts w:hint="eastAsia" w:ascii="宋体" w:hAnsi="宋体" w:cs="宋体"/>
          <w:sz w:val="24"/>
          <w:szCs w:val="24"/>
          <w:highlight w:val="none"/>
        </w:rPr>
        <w:t xml:space="preserve">                               法定代表人：</w:t>
      </w:r>
      <w:r>
        <w:rPr>
          <w:rFonts w:hint="eastAsia" w:ascii="宋体" w:hAnsi="宋体" w:cs="宋体"/>
          <w:sz w:val="24"/>
          <w:szCs w:val="24"/>
          <w:highlight w:val="none"/>
          <w:u w:val="single"/>
        </w:rPr>
        <w:t> </w:t>
      </w:r>
    </w:p>
    <w:p>
      <w:pPr>
        <w:spacing w:line="360" w:lineRule="auto"/>
        <w:rPr>
          <w:rFonts w:ascii="宋体" w:hAnsi="宋体" w:cs="宋体"/>
          <w:sz w:val="24"/>
          <w:szCs w:val="24"/>
          <w:highlight w:val="none"/>
        </w:rPr>
      </w:pPr>
      <w:r>
        <w:rPr>
          <w:rFonts w:hint="eastAsia" w:ascii="宋体" w:hAnsi="宋体" w:cs="宋体"/>
          <w:sz w:val="24"/>
          <w:szCs w:val="24"/>
          <w:highlight w:val="none"/>
        </w:rPr>
        <w:t>委托代理人：</w:t>
      </w:r>
      <w:r>
        <w:rPr>
          <w:rFonts w:hint="eastAsia" w:ascii="宋体" w:hAnsi="宋体" w:cs="宋体"/>
          <w:sz w:val="24"/>
          <w:szCs w:val="24"/>
          <w:highlight w:val="none"/>
          <w:u w:val="single"/>
        </w:rPr>
        <w:t> </w:t>
      </w:r>
      <w:r>
        <w:rPr>
          <w:rFonts w:hint="eastAsia" w:ascii="宋体" w:hAnsi="宋体" w:cs="宋体"/>
          <w:sz w:val="24"/>
          <w:szCs w:val="24"/>
          <w:highlight w:val="none"/>
        </w:rPr>
        <w:t xml:space="preserve">                               委托代理人：</w:t>
      </w:r>
      <w:r>
        <w:rPr>
          <w:rFonts w:hint="eastAsia" w:ascii="宋体" w:hAnsi="宋体" w:cs="宋体"/>
          <w:sz w:val="24"/>
          <w:szCs w:val="24"/>
          <w:highlight w:val="none"/>
          <w:u w:val="single"/>
        </w:rPr>
        <w:t> </w:t>
      </w:r>
    </w:p>
    <w:p>
      <w:pPr>
        <w:spacing w:line="360" w:lineRule="auto"/>
        <w:rPr>
          <w:rFonts w:ascii="宋体" w:hAnsi="宋体" w:cs="宋体"/>
          <w:sz w:val="24"/>
          <w:szCs w:val="24"/>
          <w:highlight w:val="none"/>
        </w:rPr>
      </w:pPr>
      <w:r>
        <w:rPr>
          <w:rFonts w:hint="eastAsia" w:ascii="宋体" w:hAnsi="宋体" w:cs="宋体"/>
          <w:sz w:val="24"/>
          <w:szCs w:val="24"/>
          <w:highlight w:val="none"/>
        </w:rPr>
        <w:t>电  话：</w:t>
      </w:r>
      <w:r>
        <w:rPr>
          <w:rFonts w:hint="eastAsia" w:ascii="宋体" w:hAnsi="宋体" w:cs="宋体"/>
          <w:sz w:val="24"/>
          <w:szCs w:val="24"/>
          <w:highlight w:val="none"/>
          <w:u w:val="single"/>
        </w:rPr>
        <w:t> </w:t>
      </w:r>
      <w:r>
        <w:rPr>
          <w:rFonts w:hint="eastAsia" w:ascii="宋体" w:hAnsi="宋体" w:cs="宋体"/>
          <w:sz w:val="24"/>
          <w:szCs w:val="24"/>
          <w:highlight w:val="none"/>
        </w:rPr>
        <w:t xml:space="preserve">                                   电  话：</w:t>
      </w:r>
      <w:r>
        <w:rPr>
          <w:rFonts w:hint="eastAsia" w:ascii="宋体" w:hAnsi="宋体" w:cs="宋体"/>
          <w:sz w:val="24"/>
          <w:szCs w:val="24"/>
          <w:highlight w:val="none"/>
          <w:u w:val="single"/>
        </w:rPr>
        <w:t> </w:t>
      </w:r>
    </w:p>
    <w:p>
      <w:pPr>
        <w:spacing w:line="360" w:lineRule="auto"/>
        <w:rPr>
          <w:rFonts w:ascii="宋体" w:hAnsi="宋体" w:cs="宋体"/>
          <w:sz w:val="24"/>
          <w:szCs w:val="24"/>
          <w:highlight w:val="none"/>
        </w:rPr>
      </w:pPr>
      <w:r>
        <w:rPr>
          <w:rFonts w:hint="eastAsia" w:ascii="宋体" w:hAnsi="宋体" w:cs="宋体"/>
          <w:sz w:val="24"/>
          <w:szCs w:val="24"/>
          <w:highlight w:val="none"/>
        </w:rPr>
        <w:t>传  真：</w:t>
      </w:r>
      <w:r>
        <w:rPr>
          <w:rFonts w:hint="eastAsia" w:ascii="宋体" w:hAnsi="宋体" w:cs="宋体"/>
          <w:sz w:val="24"/>
          <w:szCs w:val="24"/>
          <w:highlight w:val="none"/>
          <w:u w:val="single"/>
        </w:rPr>
        <w:t> </w:t>
      </w:r>
      <w:r>
        <w:rPr>
          <w:rFonts w:hint="eastAsia" w:ascii="宋体" w:hAnsi="宋体" w:cs="宋体"/>
          <w:sz w:val="24"/>
          <w:szCs w:val="24"/>
          <w:highlight w:val="none"/>
        </w:rPr>
        <w:t xml:space="preserve">                                   传  真：</w:t>
      </w:r>
      <w:r>
        <w:rPr>
          <w:rFonts w:hint="eastAsia" w:ascii="宋体" w:hAnsi="宋体" w:cs="宋体"/>
          <w:sz w:val="24"/>
          <w:szCs w:val="24"/>
          <w:highlight w:val="none"/>
          <w:u w:val="single"/>
        </w:rPr>
        <w:t> </w:t>
      </w:r>
    </w:p>
    <w:p>
      <w:pPr>
        <w:spacing w:line="360" w:lineRule="auto"/>
        <w:rPr>
          <w:rFonts w:ascii="宋体" w:hAnsi="宋体" w:cs="宋体"/>
          <w:sz w:val="24"/>
          <w:szCs w:val="24"/>
          <w:highlight w:val="none"/>
        </w:rPr>
      </w:pPr>
      <w:r>
        <w:rPr>
          <w:rFonts w:hint="eastAsia" w:ascii="宋体" w:hAnsi="宋体" w:cs="宋体"/>
          <w:sz w:val="24"/>
          <w:szCs w:val="24"/>
          <w:highlight w:val="none"/>
        </w:rPr>
        <w:t>电子信箱：</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电子信箱：</w:t>
      </w:r>
      <w:r>
        <w:rPr>
          <w:rFonts w:hint="eastAsia" w:ascii="宋体" w:hAnsi="宋体" w:cs="宋体"/>
          <w:sz w:val="24"/>
          <w:szCs w:val="24"/>
          <w:highlight w:val="none"/>
          <w:u w:val="single"/>
        </w:rPr>
        <w:t> </w:t>
      </w:r>
    </w:p>
    <w:p>
      <w:pPr>
        <w:spacing w:line="360" w:lineRule="auto"/>
        <w:rPr>
          <w:rFonts w:ascii="宋体" w:hAnsi="宋体" w:cs="宋体"/>
          <w:sz w:val="24"/>
          <w:szCs w:val="24"/>
          <w:highlight w:val="none"/>
        </w:rPr>
      </w:pPr>
      <w:r>
        <w:rPr>
          <w:rFonts w:hint="eastAsia" w:ascii="宋体" w:hAnsi="宋体" w:cs="宋体"/>
          <w:sz w:val="24"/>
          <w:szCs w:val="24"/>
          <w:highlight w:val="none"/>
        </w:rPr>
        <w:t>开户银行：</w:t>
      </w:r>
      <w:r>
        <w:rPr>
          <w:rFonts w:hint="eastAsia" w:ascii="宋体" w:hAnsi="宋体" w:cs="宋体"/>
          <w:sz w:val="24"/>
          <w:szCs w:val="24"/>
          <w:highlight w:val="none"/>
          <w:u w:val="single"/>
        </w:rPr>
        <w:t> </w:t>
      </w:r>
      <w:r>
        <w:rPr>
          <w:rFonts w:hint="eastAsia" w:ascii="宋体" w:hAnsi="宋体" w:cs="宋体"/>
          <w:sz w:val="24"/>
          <w:szCs w:val="24"/>
          <w:highlight w:val="none"/>
        </w:rPr>
        <w:t xml:space="preserve">                                 开户银行：</w:t>
      </w:r>
      <w:r>
        <w:rPr>
          <w:rFonts w:hint="eastAsia" w:ascii="宋体" w:hAnsi="宋体" w:cs="宋体"/>
          <w:sz w:val="24"/>
          <w:szCs w:val="24"/>
          <w:highlight w:val="none"/>
          <w:u w:val="single"/>
        </w:rPr>
        <w:t> </w:t>
      </w:r>
    </w:p>
    <w:p>
      <w:pPr>
        <w:spacing w:line="360" w:lineRule="auto"/>
        <w:rPr>
          <w:rFonts w:ascii="宋体" w:hAnsi="宋体" w:cs="宋体"/>
          <w:sz w:val="24"/>
          <w:szCs w:val="24"/>
          <w:highlight w:val="none"/>
        </w:rPr>
      </w:pPr>
      <w:r>
        <w:rPr>
          <w:rFonts w:hint="eastAsia" w:ascii="宋体" w:hAnsi="宋体" w:cs="宋体"/>
          <w:sz w:val="24"/>
          <w:szCs w:val="24"/>
          <w:highlight w:val="none"/>
        </w:rPr>
        <w:t>账  号：</w:t>
      </w:r>
      <w:r>
        <w:rPr>
          <w:rFonts w:hint="eastAsia" w:ascii="宋体" w:hAnsi="宋体" w:cs="宋体"/>
          <w:sz w:val="24"/>
          <w:szCs w:val="24"/>
          <w:highlight w:val="none"/>
          <w:u w:val="single"/>
        </w:rPr>
        <w:t> </w:t>
      </w:r>
      <w:r>
        <w:rPr>
          <w:rFonts w:hint="eastAsia" w:ascii="宋体" w:hAnsi="宋体" w:cs="宋体"/>
          <w:sz w:val="24"/>
          <w:szCs w:val="24"/>
          <w:highlight w:val="none"/>
        </w:rPr>
        <w:t xml:space="preserve">                                   账  号：</w:t>
      </w:r>
      <w:r>
        <w:rPr>
          <w:rFonts w:hint="eastAsia" w:ascii="宋体" w:hAnsi="宋体" w:cs="宋体"/>
          <w:sz w:val="24"/>
          <w:szCs w:val="24"/>
          <w:highlight w:val="none"/>
          <w:u w:val="single"/>
        </w:rPr>
        <w:t> </w:t>
      </w:r>
    </w:p>
    <w:p>
      <w:pPr>
        <w:keepNext/>
        <w:keepLines/>
        <w:numPr>
          <w:ilvl w:val="1"/>
          <w:numId w:val="7"/>
        </w:numPr>
        <w:spacing w:before="260" w:after="260" w:line="416" w:lineRule="auto"/>
        <w:jc w:val="center"/>
        <w:outlineLvl w:val="1"/>
        <w:rPr>
          <w:rFonts w:ascii="宋体" w:hAnsi="宋体" w:cs="宋体"/>
          <w:b/>
          <w:bCs/>
          <w:sz w:val="32"/>
          <w:szCs w:val="32"/>
          <w:highlight w:val="none"/>
        </w:rPr>
      </w:pPr>
      <w:r>
        <w:rPr>
          <w:rFonts w:hint="eastAsia" w:ascii="宋体" w:hAnsi="宋体" w:cs="宋体"/>
          <w:b/>
          <w:bCs/>
          <w:sz w:val="44"/>
          <w:szCs w:val="44"/>
          <w:highlight w:val="none"/>
        </w:rPr>
        <w:br w:type="page"/>
      </w:r>
      <w:bookmarkStart w:id="43" w:name="_Toc482980302"/>
      <w:r>
        <w:rPr>
          <w:rFonts w:hint="eastAsia" w:ascii="宋体" w:hAnsi="宋体" w:cs="宋体"/>
          <w:b/>
          <w:bCs/>
          <w:sz w:val="32"/>
          <w:szCs w:val="32"/>
          <w:highlight w:val="none"/>
        </w:rPr>
        <w:t>第二部分 通用合同条款</w:t>
      </w:r>
      <w:bookmarkEnd w:id="43"/>
      <w:r>
        <w:rPr>
          <w:rFonts w:hint="eastAsia" w:ascii="宋体" w:hAnsi="宋体" w:cs="宋体"/>
          <w:b/>
          <w:bCs/>
          <w:sz w:val="32"/>
          <w:szCs w:val="32"/>
          <w:highlight w:val="none"/>
        </w:rPr>
        <w:t>（</w:t>
      </w:r>
      <w:r>
        <w:rPr>
          <w:rFonts w:hint="eastAsia" w:ascii="宋体" w:hAnsi="宋体" w:cs="宋体"/>
          <w:sz w:val="30"/>
          <w:szCs w:val="30"/>
          <w:highlight w:val="none"/>
        </w:rPr>
        <w:t>GF-2017-0201</w:t>
      </w:r>
      <w:r>
        <w:rPr>
          <w:rFonts w:hint="eastAsia" w:ascii="宋体" w:hAnsi="宋体" w:cs="宋体"/>
          <w:b/>
          <w:bCs/>
          <w:sz w:val="32"/>
          <w:szCs w:val="32"/>
          <w:highlight w:val="none"/>
        </w:rPr>
        <w:t>）</w:t>
      </w:r>
    </w:p>
    <w:p>
      <w:pPr>
        <w:keepNext/>
        <w:keepLines/>
        <w:numPr>
          <w:ilvl w:val="1"/>
          <w:numId w:val="7"/>
        </w:numPr>
        <w:spacing w:before="260" w:after="260" w:line="360" w:lineRule="auto"/>
        <w:ind w:firstLine="2715" w:firstLineChars="845"/>
        <w:outlineLvl w:val="1"/>
        <w:rPr>
          <w:rFonts w:ascii="宋体" w:hAnsi="宋体" w:cs="宋体"/>
          <w:b/>
          <w:bCs/>
          <w:sz w:val="32"/>
          <w:szCs w:val="32"/>
          <w:highlight w:val="none"/>
        </w:rPr>
      </w:pPr>
      <w:bookmarkStart w:id="44" w:name="_Toc482980303"/>
      <w:r>
        <w:rPr>
          <w:rFonts w:hint="eastAsia" w:ascii="宋体" w:hAnsi="宋体" w:cs="宋体"/>
          <w:b/>
          <w:bCs/>
          <w:sz w:val="32"/>
          <w:szCs w:val="32"/>
          <w:highlight w:val="none"/>
        </w:rPr>
        <w:t>第三部分 专用合同条款</w:t>
      </w:r>
    </w:p>
    <w:p>
      <w:pPr>
        <w:keepNext/>
        <w:keepLines/>
        <w:numPr>
          <w:ilvl w:val="3"/>
          <w:numId w:val="7"/>
        </w:numPr>
        <w:spacing w:before="120" w:after="120" w:line="360" w:lineRule="auto"/>
        <w:outlineLvl w:val="3"/>
        <w:rPr>
          <w:rFonts w:ascii="宋体" w:hAnsi="宋体" w:cs="宋体"/>
          <w:b/>
          <w:bCs w:val="0"/>
          <w:sz w:val="24"/>
          <w:szCs w:val="24"/>
          <w:highlight w:val="none"/>
        </w:rPr>
      </w:pPr>
      <w:r>
        <w:rPr>
          <w:rFonts w:hint="eastAsia" w:ascii="宋体" w:hAnsi="宋体" w:cs="宋体"/>
          <w:bCs/>
          <w:sz w:val="24"/>
          <w:szCs w:val="24"/>
          <w:highlight w:val="none"/>
          <w:lang w:val="en-US" w:eastAsia="zh-CN"/>
        </w:rPr>
        <w:t xml:space="preserve">    </w:t>
      </w:r>
      <w:r>
        <w:rPr>
          <w:rFonts w:hint="eastAsia" w:ascii="宋体" w:hAnsi="宋体" w:cs="宋体"/>
          <w:b/>
          <w:bCs w:val="0"/>
          <w:sz w:val="24"/>
          <w:szCs w:val="24"/>
          <w:highlight w:val="none"/>
        </w:rPr>
        <w:t>1. 一般约定</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1.1 词语定义</w:t>
      </w:r>
    </w:p>
    <w:p>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1.1.1合同</w:t>
      </w:r>
    </w:p>
    <w:p>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1.1.1.10其他合同文件包括：</w:t>
      </w:r>
      <w:r>
        <w:rPr>
          <w:rFonts w:hint="eastAsia" w:ascii="宋体" w:hAnsi="宋体" w:cs="宋体"/>
          <w:sz w:val="24"/>
          <w:szCs w:val="24"/>
          <w:highlight w:val="none"/>
          <w:u w:val="single"/>
        </w:rPr>
        <w:t>1、发包人与承包人约定的与工程施工有关的具有合同约束力的文件或补充协议；2、招标文件及招标文件修改澄清（含答疑）</w:t>
      </w:r>
      <w:r>
        <w:rPr>
          <w:rFonts w:hint="eastAsia" w:ascii="宋体" w:hAnsi="宋体" w:cs="宋体"/>
          <w:sz w:val="24"/>
          <w:szCs w:val="24"/>
          <w:highlight w:val="none"/>
        </w:rPr>
        <w:t>。</w:t>
      </w:r>
    </w:p>
    <w:p>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1.1.2 合同当事人及其他相关方</w:t>
      </w:r>
    </w:p>
    <w:p>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1.1.3 工程和设备</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1.1.3.7 作为施工现场组成部分的其他场所包括：</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1.1.3.9 永久占地包括：</w:t>
      </w:r>
      <w:r>
        <w:rPr>
          <w:rFonts w:hint="eastAsia" w:ascii="宋体" w:hAnsi="宋体" w:cs="宋体"/>
          <w:sz w:val="24"/>
          <w:szCs w:val="24"/>
          <w:highlight w:val="none"/>
          <w:u w:val="single"/>
        </w:rPr>
        <w:t>              </w:t>
      </w:r>
      <w:r>
        <w:rPr>
          <w:rFonts w:hint="eastAsia" w:ascii="宋体" w:hAnsi="宋体" w:cs="宋体"/>
          <w:kern w:val="0"/>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kern w:val="0"/>
          <w:sz w:val="24"/>
          <w:szCs w:val="24"/>
          <w:highlight w:val="none"/>
        </w:rPr>
        <w:t>1.1.3.10 临时占地包括：</w:t>
      </w:r>
      <w:r>
        <w:rPr>
          <w:rFonts w:hint="eastAsia" w:ascii="宋体" w:hAnsi="宋体" w:cs="宋体"/>
          <w:kern w:val="0"/>
          <w:sz w:val="24"/>
          <w:szCs w:val="24"/>
          <w:highlight w:val="none"/>
          <w:u w:val="single"/>
        </w:rPr>
        <w:t xml:space="preserve">    </w:t>
      </w:r>
      <w:r>
        <w:rPr>
          <w:rFonts w:hint="eastAsia" w:ascii="宋体" w:hAnsi="宋体" w:cs="宋体"/>
          <w:kern w:val="0"/>
          <w:sz w:val="24"/>
          <w:szCs w:val="24"/>
          <w:highlight w:val="none"/>
          <w:u w:val="single"/>
          <w:lang w:val="en-US" w:eastAsia="zh-CN"/>
        </w:rPr>
        <w:t xml:space="preserve">             </w:t>
      </w:r>
      <w:r>
        <w:rPr>
          <w:rFonts w:hint="eastAsia" w:ascii="宋体" w:hAnsi="宋体" w:cs="宋体"/>
          <w:kern w:val="0"/>
          <w:sz w:val="24"/>
          <w:szCs w:val="24"/>
          <w:highlight w:val="none"/>
        </w:rPr>
        <w:t>。</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1.3法律 </w:t>
      </w:r>
    </w:p>
    <w:p>
      <w:pPr>
        <w:autoSpaceDE w:val="0"/>
        <w:autoSpaceDN w:val="0"/>
        <w:adjustRightInd w:val="0"/>
        <w:spacing w:line="360" w:lineRule="auto"/>
        <w:ind w:left="596" w:leftChars="284"/>
        <w:jc w:val="left"/>
        <w:rPr>
          <w:rFonts w:ascii="宋体" w:hAnsi="宋体" w:cs="宋体"/>
          <w:sz w:val="24"/>
          <w:szCs w:val="24"/>
          <w:highlight w:val="none"/>
        </w:rPr>
      </w:pPr>
      <w:r>
        <w:rPr>
          <w:rFonts w:hint="eastAsia" w:ascii="宋体" w:hAnsi="宋体" w:cs="宋体"/>
          <w:sz w:val="24"/>
          <w:szCs w:val="24"/>
          <w:highlight w:val="none"/>
        </w:rPr>
        <w:t>适用于合同的其他规范性文件：</w:t>
      </w:r>
      <w:r>
        <w:rPr>
          <w:rFonts w:hint="eastAsia" w:ascii="宋体" w:hAnsi="宋体" w:cs="宋体"/>
          <w:sz w:val="24"/>
          <w:szCs w:val="24"/>
          <w:highlight w:val="none"/>
          <w:u w:val="single"/>
        </w:rPr>
        <w:t>江苏省、南京市、江宁区有关工程建设类的规范性文件</w:t>
      </w:r>
      <w:r>
        <w:rPr>
          <w:rFonts w:hint="eastAsia" w:ascii="宋体" w:hAnsi="宋体" w:cs="宋体"/>
          <w:sz w:val="24"/>
          <w:szCs w:val="24"/>
          <w:highlight w:val="none"/>
        </w:rPr>
        <w:t>。</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1.4 标准和规范</w:t>
      </w:r>
    </w:p>
    <w:p>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1.4.1适用于工程的标准规范包括：</w:t>
      </w:r>
      <w:r>
        <w:rPr>
          <w:rFonts w:hint="eastAsia" w:ascii="宋体" w:hAnsi="宋体" w:cs="宋体"/>
          <w:sz w:val="24"/>
          <w:szCs w:val="24"/>
          <w:highlight w:val="none"/>
          <w:u w:val="single"/>
        </w:rPr>
        <w:t>现行国家、行业、专业及南京市的有关标准、规范、规定和条例所阐明的强制性标准。当对同一考核指标国家、行业、专业和南京市颁布的有关标准、规范产生不一致时，以其颁布的标准、规范较为严格者为准。</w:t>
      </w:r>
    </w:p>
    <w:p>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1.4.2 发包人提供国外标准、规范的名称：</w:t>
      </w:r>
      <w:r>
        <w:rPr>
          <w:rFonts w:hint="eastAsia" w:ascii="宋体" w:hAnsi="宋体" w:cs="宋体"/>
          <w:sz w:val="24"/>
          <w:szCs w:val="24"/>
          <w:highlight w:val="none"/>
          <w:u w:val="single"/>
        </w:rPr>
        <w:t>不采用</w:t>
      </w:r>
      <w:r>
        <w:rPr>
          <w:rFonts w:hint="eastAsia" w:ascii="宋体" w:hAnsi="宋体" w:cs="宋体"/>
          <w:kern w:val="0"/>
          <w:sz w:val="24"/>
          <w:szCs w:val="24"/>
          <w:highlight w:val="none"/>
        </w:rPr>
        <w:t>；</w:t>
      </w:r>
    </w:p>
    <w:p>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发包人提供国外标准、规范的份数：</w:t>
      </w:r>
      <w:r>
        <w:rPr>
          <w:rFonts w:hint="eastAsia" w:ascii="宋体" w:hAnsi="宋体" w:cs="宋体"/>
          <w:sz w:val="24"/>
          <w:szCs w:val="24"/>
          <w:highlight w:val="none"/>
          <w:u w:val="single"/>
        </w:rPr>
        <w:t>不采用</w:t>
      </w:r>
      <w:r>
        <w:rPr>
          <w:rFonts w:hint="eastAsia" w:ascii="宋体" w:hAnsi="宋体" w:cs="宋体"/>
          <w:kern w:val="0"/>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kern w:val="0"/>
          <w:sz w:val="24"/>
          <w:szCs w:val="24"/>
          <w:highlight w:val="none"/>
        </w:rPr>
        <w:t>发包人提供国外标准、规范的名称：</w:t>
      </w:r>
      <w:r>
        <w:rPr>
          <w:rFonts w:hint="eastAsia" w:ascii="宋体" w:hAnsi="宋体" w:cs="宋体"/>
          <w:sz w:val="24"/>
          <w:szCs w:val="24"/>
          <w:highlight w:val="none"/>
          <w:u w:val="single"/>
        </w:rPr>
        <w:t>不采用</w:t>
      </w:r>
      <w:r>
        <w:rPr>
          <w:rFonts w:hint="eastAsia" w:ascii="宋体" w:hAnsi="宋体" w:cs="宋体"/>
          <w:kern w:val="0"/>
          <w:sz w:val="24"/>
          <w:szCs w:val="24"/>
          <w:highlight w:val="none"/>
        </w:rPr>
        <w:t>。</w:t>
      </w:r>
    </w:p>
    <w:p>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1.4.3发包人对工程的技术标准和功能要求的特殊要求：</w:t>
      </w:r>
    </w:p>
    <w:p>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u w:val="single"/>
        </w:rPr>
        <w:t>无</w:t>
      </w:r>
      <w:r>
        <w:rPr>
          <w:rFonts w:hint="eastAsia" w:ascii="宋体" w:hAnsi="宋体" w:cs="宋体"/>
          <w:kern w:val="0"/>
          <w:sz w:val="24"/>
          <w:szCs w:val="24"/>
          <w:highlight w:val="none"/>
        </w:rPr>
        <w:t>。</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1.5 合同文件的优先顺序</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合同文件组成及优先顺序为：</w:t>
      </w:r>
      <w:r>
        <w:rPr>
          <w:rFonts w:hint="eastAsia" w:ascii="宋体" w:hAnsi="宋体" w:cs="宋体"/>
          <w:sz w:val="24"/>
          <w:szCs w:val="24"/>
          <w:highlight w:val="none"/>
          <w:u w:val="single"/>
        </w:rPr>
        <w:t>（1）本合同协议书；（2）中标通知书；（3）投标函及其附录；（4）本合同专用条款及其附件；（5）本合同通用条款；（6）技术标准和要求；（7）施工图纸；（8）双方洽商的有效的会议纪要、补充协议；（9）招标文件及招标文件修改澄清(含答疑)；（10）已标价工程量清单及投标文件；（11）其他合同文件</w:t>
      </w:r>
      <w:r>
        <w:rPr>
          <w:rFonts w:hint="eastAsia" w:ascii="宋体" w:hAnsi="宋体" w:cs="宋体"/>
          <w:sz w:val="24"/>
          <w:szCs w:val="24"/>
          <w:highlight w:val="none"/>
        </w:rPr>
        <w:t>。</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1.6 图纸和承包人文件</w:t>
      </w:r>
      <w:r>
        <w:rPr>
          <w:rFonts w:hint="eastAsia" w:ascii="宋体" w:hAnsi="宋体" w:cs="宋体"/>
          <w:sz w:val="24"/>
          <w:szCs w:val="24"/>
          <w:highlight w:val="none"/>
        </w:rPr>
        <w:tab/>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1.6.1 图纸的提供</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发包人向承包人提供图纸的期限：</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发包人向承包人提供图纸的数量：</w:t>
      </w:r>
      <w:r>
        <w:rPr>
          <w:rFonts w:hint="eastAsia" w:ascii="宋体" w:hAnsi="宋体" w:cs="宋体"/>
          <w:sz w:val="24"/>
          <w:szCs w:val="24"/>
          <w:highlight w:val="none"/>
          <w:u w:val="single"/>
        </w:rPr>
        <w:t xml:space="preserve">  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发包人向承包人提供图纸的内容：</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1.6.4 承包人文件</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需要由承包人提供的文件，包括：</w:t>
      </w:r>
      <w:r>
        <w:rPr>
          <w:rFonts w:hint="eastAsia" w:ascii="宋体" w:hAnsi="宋体" w:cs="宋体"/>
          <w:sz w:val="24"/>
          <w:szCs w:val="24"/>
          <w:highlight w:val="none"/>
          <w:u w:val="single"/>
        </w:rPr>
        <w:t>（1）开工报审表（2）施工组织设计（3）总进度计划（4）甲供材料、设备供应总计划（5）工程款支付计划（6）合理化建议（7）设计变更、签证申请报告（8）月度完成工程量统计表（9）次月工程进度计划（10）次月甲供材料使用计划（11）隐蔽工程和中间验收通知（12）乙供材料、设备的合格证明、检验试验报告（13）专业工程分包申请（14）暂停施工通知书（15）索赔意向通知书、索赔报告（16）工程款申请单（17）竣工付款申请单（18）竣工验收申请报告（19）竣工资料（20）竣工结算申请单及结算资料（21）最终结清申请单（22）应监理人或发包人要求提交的其他报告、报表</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承包人提供的文件的期限为：</w:t>
      </w:r>
      <w:r>
        <w:rPr>
          <w:rFonts w:hint="eastAsia" w:ascii="宋体" w:hAnsi="宋体" w:cs="宋体"/>
          <w:sz w:val="24"/>
          <w:szCs w:val="24"/>
          <w:highlight w:val="none"/>
          <w:u w:val="single"/>
        </w:rPr>
        <w:t>每月25日提供本月实际完成工作量统计表、次月工程进度计划、次月工程发包人供应材料使用计划及监理或发包人要求提供的其它报表</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承包人提供的文件的数量为：</w:t>
      </w:r>
      <w:r>
        <w:rPr>
          <w:rFonts w:hint="eastAsia" w:ascii="宋体" w:hAnsi="宋体" w:cs="宋体"/>
          <w:sz w:val="24"/>
          <w:szCs w:val="24"/>
          <w:highlight w:val="none"/>
          <w:u w:val="single"/>
        </w:rPr>
        <w:t>提交给监理一式3份，承包人留存一份</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承包人提供的文件的形式为：</w:t>
      </w:r>
      <w:r>
        <w:rPr>
          <w:rFonts w:hint="eastAsia" w:ascii="宋体" w:hAnsi="宋体" w:cs="宋体"/>
          <w:sz w:val="24"/>
          <w:szCs w:val="24"/>
          <w:highlight w:val="none"/>
          <w:u w:val="single"/>
        </w:rPr>
        <w:t>书面形式</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发包人审批承包人文件的期限：</w:t>
      </w:r>
      <w:r>
        <w:rPr>
          <w:rFonts w:hint="eastAsia" w:ascii="宋体" w:hAnsi="宋体" w:cs="宋体"/>
          <w:sz w:val="24"/>
          <w:szCs w:val="24"/>
          <w:highlight w:val="none"/>
          <w:u w:val="single"/>
        </w:rPr>
        <w:t>监理人收到文件后14天内</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1.6.5 现场图纸准备</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关于现场图纸准备的约定：</w:t>
      </w:r>
      <w:r>
        <w:rPr>
          <w:rFonts w:hint="eastAsia" w:ascii="宋体" w:hAnsi="宋体" w:cs="宋体"/>
          <w:sz w:val="24"/>
          <w:szCs w:val="24"/>
          <w:highlight w:val="none"/>
          <w:u w:val="single"/>
        </w:rPr>
        <w:t>承包人应在施工现场另外保存一套完整的图纸和承包人文件，供发包人、监理人及有关人员进行工程检查时使用</w:t>
      </w:r>
      <w:r>
        <w:rPr>
          <w:rFonts w:hint="eastAsia" w:ascii="宋体" w:hAnsi="宋体" w:cs="宋体"/>
          <w:sz w:val="24"/>
          <w:szCs w:val="24"/>
          <w:highlight w:val="none"/>
        </w:rPr>
        <w:t>。</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1.7 联络</w:t>
      </w:r>
    </w:p>
    <w:p>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1.7.1发包人和承包人应当在</w:t>
      </w:r>
      <w:r>
        <w:rPr>
          <w:rFonts w:hint="eastAsia" w:ascii="宋体" w:hAnsi="宋体" w:cs="宋体"/>
          <w:sz w:val="24"/>
          <w:szCs w:val="24"/>
          <w:highlight w:val="none"/>
          <w:u w:val="single"/>
        </w:rPr>
        <w:t>7</w:t>
      </w:r>
      <w:r>
        <w:rPr>
          <w:rFonts w:hint="eastAsia" w:ascii="宋体" w:hAnsi="宋体" w:cs="宋体"/>
          <w:kern w:val="0"/>
          <w:sz w:val="24"/>
          <w:szCs w:val="24"/>
          <w:highlight w:val="none"/>
        </w:rPr>
        <w:t>天内将与合同有关的通知、批准、证明、证书、指示、指令、要求、请求、同意、意见、确定和决定等书面函件送达对方当事人。</w:t>
      </w:r>
    </w:p>
    <w:p>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1.7.2 发包人接收文件的地点：</w:t>
      </w:r>
      <w:r>
        <w:rPr>
          <w:rFonts w:hint="eastAsia" w:ascii="宋体" w:hAnsi="宋体" w:cs="宋体"/>
          <w:sz w:val="24"/>
          <w:szCs w:val="24"/>
          <w:highlight w:val="none"/>
          <w:u w:val="single"/>
        </w:rPr>
        <w:t>项目所在地发包人项目部或发包人办公室</w:t>
      </w:r>
      <w:r>
        <w:rPr>
          <w:rFonts w:hint="eastAsia" w:ascii="宋体" w:hAnsi="宋体" w:cs="宋体"/>
          <w:kern w:val="0"/>
          <w:sz w:val="24"/>
          <w:szCs w:val="24"/>
          <w:highlight w:val="none"/>
        </w:rPr>
        <w:t>；</w:t>
      </w:r>
    </w:p>
    <w:p>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发包人指定的接收人为：</w:t>
      </w:r>
      <w:r>
        <w:rPr>
          <w:rFonts w:hint="eastAsia" w:ascii="宋体" w:hAnsi="宋体" w:cs="宋体"/>
          <w:sz w:val="24"/>
          <w:szCs w:val="24"/>
          <w:highlight w:val="none"/>
          <w:u w:val="single"/>
        </w:rPr>
        <w:t> </w:t>
      </w:r>
      <w:r>
        <w:rPr>
          <w:rFonts w:hint="eastAsia" w:ascii="宋体" w:hAnsi="宋体" w:cs="宋体"/>
          <w:kern w:val="0"/>
          <w:sz w:val="24"/>
          <w:szCs w:val="24"/>
          <w:highlight w:val="none"/>
        </w:rPr>
        <w:t>。</w:t>
      </w:r>
    </w:p>
    <w:p>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承包人接收文件的地点：</w:t>
      </w:r>
      <w:r>
        <w:rPr>
          <w:rFonts w:hint="eastAsia" w:ascii="宋体" w:hAnsi="宋体" w:cs="宋体"/>
          <w:sz w:val="24"/>
          <w:szCs w:val="24"/>
          <w:highlight w:val="none"/>
          <w:u w:val="single"/>
        </w:rPr>
        <w:t>项目所在地发包人项目部或发包人办公室</w:t>
      </w:r>
      <w:r>
        <w:rPr>
          <w:rFonts w:hint="eastAsia" w:ascii="宋体" w:hAnsi="宋体" w:cs="宋体"/>
          <w:kern w:val="0"/>
          <w:sz w:val="24"/>
          <w:szCs w:val="24"/>
          <w:highlight w:val="none"/>
        </w:rPr>
        <w:t>；</w:t>
      </w:r>
    </w:p>
    <w:p>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承包人指定的接收人为：</w:t>
      </w:r>
      <w:r>
        <w:rPr>
          <w:rFonts w:hint="eastAsia" w:ascii="宋体" w:hAnsi="宋体" w:cs="宋体"/>
          <w:sz w:val="24"/>
          <w:szCs w:val="24"/>
          <w:highlight w:val="none"/>
          <w:u w:val="single"/>
        </w:rPr>
        <w:t> </w:t>
      </w:r>
      <w:r>
        <w:rPr>
          <w:rFonts w:hint="eastAsia" w:ascii="宋体" w:hAnsi="宋体" w:cs="宋体"/>
          <w:kern w:val="0"/>
          <w:sz w:val="24"/>
          <w:szCs w:val="24"/>
          <w:highlight w:val="none"/>
        </w:rPr>
        <w:t>。</w:t>
      </w:r>
    </w:p>
    <w:p>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监理人接收文件的地点：</w:t>
      </w:r>
      <w:r>
        <w:rPr>
          <w:rFonts w:hint="eastAsia" w:ascii="宋体" w:hAnsi="宋体" w:cs="宋体"/>
          <w:sz w:val="24"/>
          <w:szCs w:val="24"/>
          <w:highlight w:val="none"/>
          <w:u w:val="single"/>
        </w:rPr>
        <w:t>项目所在地发包人项目部或项目所在地监理人办公室</w:t>
      </w:r>
      <w:r>
        <w:rPr>
          <w:rFonts w:hint="eastAsia" w:ascii="宋体" w:hAnsi="宋体" w:cs="宋体"/>
          <w:kern w:val="0"/>
          <w:sz w:val="24"/>
          <w:szCs w:val="24"/>
          <w:highlight w:val="none"/>
        </w:rPr>
        <w:t>；</w:t>
      </w:r>
    </w:p>
    <w:p>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监理人指定的接收人为：</w:t>
      </w:r>
      <w:r>
        <w:rPr>
          <w:rFonts w:hint="eastAsia" w:ascii="宋体" w:hAnsi="宋体" w:cs="宋体"/>
          <w:sz w:val="24"/>
          <w:szCs w:val="24"/>
          <w:highlight w:val="none"/>
          <w:u w:val="single"/>
        </w:rPr>
        <w:t> </w:t>
      </w:r>
      <w:r>
        <w:rPr>
          <w:rFonts w:hint="eastAsia" w:ascii="宋体" w:hAnsi="宋体" w:cs="宋体"/>
          <w:kern w:val="0"/>
          <w:sz w:val="24"/>
          <w:szCs w:val="24"/>
          <w:highlight w:val="none"/>
        </w:rPr>
        <w:t>。</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1.10 交通运输</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1.10.1 出入现场的权利</w:t>
      </w:r>
    </w:p>
    <w:p>
      <w:pPr>
        <w:spacing w:line="360" w:lineRule="auto"/>
        <w:ind w:left="596" w:leftChars="284"/>
        <w:rPr>
          <w:rFonts w:ascii="宋体" w:hAnsi="宋体" w:cs="宋体"/>
          <w:sz w:val="24"/>
          <w:szCs w:val="24"/>
          <w:highlight w:val="none"/>
        </w:rPr>
      </w:pPr>
      <w:r>
        <w:rPr>
          <w:rFonts w:hint="eastAsia" w:ascii="宋体" w:hAnsi="宋体" w:cs="宋体"/>
          <w:sz w:val="24"/>
          <w:szCs w:val="24"/>
          <w:highlight w:val="none"/>
        </w:rPr>
        <w:t>关于出入现场的权利的约定：</w:t>
      </w:r>
      <w:r>
        <w:rPr>
          <w:rFonts w:hint="eastAsia" w:ascii="宋体" w:hAnsi="宋体" w:cs="宋体"/>
          <w:sz w:val="24"/>
          <w:szCs w:val="24"/>
          <w:highlight w:val="none"/>
          <w:u w:val="single"/>
        </w:rPr>
        <w:t>未经发包人同意不得将材料运出施工场地</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1.10.3 场内交通</w:t>
      </w:r>
    </w:p>
    <w:p>
      <w:pPr>
        <w:spacing w:line="36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关于场外交通和场内交通的边界的约定：</w:t>
      </w:r>
      <w:r>
        <w:rPr>
          <w:rFonts w:hint="eastAsia" w:ascii="宋体" w:hAnsi="宋体" w:cs="宋体"/>
          <w:sz w:val="24"/>
          <w:szCs w:val="24"/>
          <w:highlight w:val="none"/>
          <w:u w:val="single"/>
        </w:rPr>
        <w:t>根据现场实际情况而定</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关于发包人向承包人免费提供满足工程施工需要的场内道路和交通设施的约定：</w:t>
      </w:r>
      <w:r>
        <w:rPr>
          <w:rFonts w:hint="eastAsia" w:ascii="宋体" w:hAnsi="宋体" w:cs="宋体"/>
          <w:sz w:val="24"/>
          <w:szCs w:val="24"/>
          <w:highlight w:val="none"/>
          <w:u w:val="single"/>
        </w:rPr>
        <w:t>无</w:t>
      </w:r>
      <w:r>
        <w:rPr>
          <w:rFonts w:hint="eastAsia" w:ascii="宋体" w:hAnsi="宋体" w:cs="宋体"/>
          <w:sz w:val="24"/>
          <w:szCs w:val="24"/>
          <w:highlight w:val="none"/>
        </w:rPr>
        <w:t xml:space="preserve">。  </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1.10.4超大件和超重件的运输</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运输超大件或超重件所需的道路和桥梁临时加固改造费用和其他有关费用由</w:t>
      </w:r>
      <w:r>
        <w:rPr>
          <w:rFonts w:hint="eastAsia" w:ascii="宋体" w:hAnsi="宋体" w:cs="宋体"/>
          <w:sz w:val="24"/>
          <w:szCs w:val="24"/>
          <w:highlight w:val="none"/>
          <w:u w:val="single"/>
        </w:rPr>
        <w:t>承包人</w:t>
      </w:r>
      <w:r>
        <w:rPr>
          <w:rFonts w:hint="eastAsia" w:ascii="宋体" w:hAnsi="宋体" w:cs="宋体"/>
          <w:sz w:val="24"/>
          <w:szCs w:val="24"/>
          <w:highlight w:val="none"/>
        </w:rPr>
        <w:t>承担。</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1.11 知识产权</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szCs w:val="24"/>
          <w:highlight w:val="none"/>
          <w:u w:val="single"/>
        </w:rPr>
        <w:t>属于发包人</w:t>
      </w:r>
      <w:r>
        <w:rPr>
          <w:rFonts w:hint="eastAsia" w:ascii="宋体" w:hAnsi="宋体" w:cs="宋体"/>
          <w:sz w:val="24"/>
          <w:szCs w:val="24"/>
          <w:highlight w:val="none"/>
        </w:rPr>
        <w:t>。</w:t>
      </w:r>
    </w:p>
    <w:p>
      <w:pPr>
        <w:spacing w:line="360" w:lineRule="auto"/>
        <w:ind w:left="596" w:leftChars="284"/>
        <w:rPr>
          <w:rFonts w:ascii="宋体" w:hAnsi="宋体" w:cs="宋体"/>
          <w:sz w:val="24"/>
          <w:szCs w:val="24"/>
          <w:highlight w:val="none"/>
        </w:rPr>
      </w:pPr>
      <w:r>
        <w:rPr>
          <w:rFonts w:hint="eastAsia" w:ascii="宋体" w:hAnsi="宋体" w:cs="宋体"/>
          <w:sz w:val="24"/>
          <w:szCs w:val="24"/>
          <w:highlight w:val="none"/>
        </w:rPr>
        <w:t>关于发包人提供的上述文件的使用限制的要求：</w:t>
      </w:r>
      <w:r>
        <w:rPr>
          <w:rFonts w:hint="eastAsia" w:ascii="宋体" w:hAnsi="宋体" w:cs="宋体"/>
          <w:sz w:val="24"/>
          <w:szCs w:val="24"/>
          <w:highlight w:val="none"/>
          <w:u w:val="single"/>
        </w:rPr>
        <w:t>承包人可以为实现合同目的而复制、使用此类文件，但不能用于与合同无关的其他事项。未经发包人书面同意，承包人不得为了合同以外的目的而复制、使用上述文件或将之提供给任何第三方。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1.11.2 关于承包人为实施工程所编制文件的著作权的归属：</w:t>
      </w:r>
      <w:r>
        <w:rPr>
          <w:rFonts w:hint="eastAsia" w:ascii="宋体" w:hAnsi="宋体" w:cs="宋体"/>
          <w:sz w:val="24"/>
          <w:szCs w:val="24"/>
          <w:highlight w:val="none"/>
          <w:u w:val="single"/>
        </w:rPr>
        <w:t>除署名权以外的著作权属于发包人</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关于承包人提供的上述文件的使用限制的要求：</w:t>
      </w:r>
      <w:r>
        <w:rPr>
          <w:rFonts w:hint="eastAsia" w:ascii="宋体" w:hAnsi="宋体" w:cs="宋体"/>
          <w:sz w:val="24"/>
          <w:szCs w:val="24"/>
          <w:highlight w:val="none"/>
          <w:u w:val="single"/>
        </w:rPr>
        <w:t>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 w:val="24"/>
          <w:szCs w:val="24"/>
          <w:highlight w:val="none"/>
        </w:rPr>
        <w:t>。</w:t>
      </w:r>
    </w:p>
    <w:p>
      <w:pPr>
        <w:spacing w:line="360" w:lineRule="auto"/>
        <w:ind w:firstLine="480" w:firstLineChars="200"/>
        <w:rPr>
          <w:rFonts w:ascii="宋体" w:hAnsi="宋体" w:cs="宋体"/>
          <w:kern w:val="0"/>
          <w:sz w:val="24"/>
          <w:szCs w:val="24"/>
          <w:highlight w:val="none"/>
        </w:rPr>
      </w:pPr>
      <w:r>
        <w:rPr>
          <w:rFonts w:hint="eastAsia" w:ascii="宋体" w:hAnsi="宋体" w:cs="宋体"/>
          <w:sz w:val="24"/>
          <w:szCs w:val="24"/>
          <w:highlight w:val="none"/>
        </w:rPr>
        <w:t>1.11.4 承包人在施工过程中所采用的专利、专有技术、技术秘密的使用费的承担方式：</w:t>
      </w:r>
      <w:r>
        <w:rPr>
          <w:rFonts w:hint="eastAsia" w:ascii="宋体" w:hAnsi="宋体" w:cs="宋体"/>
          <w:sz w:val="24"/>
          <w:szCs w:val="24"/>
          <w:highlight w:val="none"/>
          <w:u w:val="single"/>
        </w:rPr>
        <w:t>已含在合同价中</w:t>
      </w:r>
      <w:r>
        <w:rPr>
          <w:rFonts w:hint="eastAsia" w:ascii="宋体" w:hAnsi="宋体" w:cs="宋体"/>
          <w:kern w:val="0"/>
          <w:sz w:val="24"/>
          <w:szCs w:val="24"/>
          <w:highlight w:val="none"/>
        </w:rPr>
        <w:t>。</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1.13工程量清单错误的修正</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出现工程量清单错误时，是否调整合同价格：</w:t>
      </w:r>
      <w:r>
        <w:rPr>
          <w:rFonts w:hint="eastAsia" w:ascii="宋体" w:hAnsi="宋体" w:cs="宋体"/>
          <w:sz w:val="24"/>
          <w:szCs w:val="24"/>
          <w:highlight w:val="none"/>
          <w:u w:val="single"/>
        </w:rPr>
        <w:t>是</w:t>
      </w:r>
      <w:r>
        <w:rPr>
          <w:rFonts w:hint="eastAsia" w:ascii="宋体" w:hAnsi="宋体" w:cs="宋体"/>
          <w:kern w:val="0"/>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允许调整合同价格的工程量偏差范围：</w:t>
      </w:r>
      <w:r>
        <w:rPr>
          <w:rFonts w:hint="eastAsia" w:ascii="宋体" w:hAnsi="宋体" w:cs="宋体"/>
          <w:sz w:val="24"/>
          <w:szCs w:val="24"/>
          <w:highlight w:val="none"/>
          <w:u w:val="single"/>
        </w:rPr>
        <w:t>工程量按时结算，综合单价不予调整</w:t>
      </w:r>
      <w:r>
        <w:rPr>
          <w:rFonts w:hint="eastAsia" w:ascii="宋体" w:hAnsi="宋体" w:cs="宋体"/>
          <w:sz w:val="24"/>
          <w:szCs w:val="24"/>
          <w:highlight w:val="none"/>
          <w:u w:val="single"/>
          <w:lang w:eastAsia="zh-CN"/>
        </w:rPr>
        <w:t>。</w:t>
      </w:r>
    </w:p>
    <w:p>
      <w:pPr>
        <w:keepNext/>
        <w:keepLines/>
        <w:numPr>
          <w:ilvl w:val="3"/>
          <w:numId w:val="7"/>
        </w:numPr>
        <w:spacing w:before="120" w:after="120" w:line="360" w:lineRule="auto"/>
        <w:outlineLvl w:val="3"/>
        <w:rPr>
          <w:rFonts w:ascii="宋体" w:hAnsi="宋体" w:cs="宋体"/>
          <w:bCs/>
          <w:sz w:val="24"/>
          <w:szCs w:val="24"/>
          <w:highlight w:val="none"/>
        </w:rPr>
      </w:pP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2. 发包人</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2.2 发包人代表</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发包人代表：</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姓    名：</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身份证号：</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职    务：</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联系电话：</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电子信箱：</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通信地址：</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firstLineChars="200"/>
        <w:rPr>
          <w:rFonts w:ascii="宋体" w:hAnsi="宋体" w:cs="宋体"/>
          <w:b/>
          <w:sz w:val="24"/>
          <w:szCs w:val="24"/>
          <w:highlight w:val="none"/>
        </w:rPr>
      </w:pPr>
      <w:r>
        <w:rPr>
          <w:rFonts w:hint="eastAsia" w:ascii="宋体" w:hAnsi="宋体" w:cs="宋体"/>
          <w:sz w:val="24"/>
          <w:szCs w:val="24"/>
          <w:highlight w:val="none"/>
        </w:rPr>
        <w:t>发包人对发包人代表的授权范围如下：</w:t>
      </w:r>
      <w:r>
        <w:rPr>
          <w:rFonts w:hint="eastAsia" w:ascii="宋体" w:hAnsi="宋体" w:cs="宋体"/>
          <w:sz w:val="24"/>
          <w:szCs w:val="24"/>
          <w:highlight w:val="none"/>
          <w:u w:val="single"/>
        </w:rPr>
        <w:t>代表发包人行使权利和履行义务，依据本合同并在其授权范围内履行其职责。主持开展施工现场的全面工作；对施工过程中的合同执行情况进行检查监督以及对监理工作的检查；根据合同约定的向承包人发出的通知，以书面形式由其本人签字后送交承包人；代表发包人履行工程量、设计变更等签证、分包单位的确认、工期的签证、工程竣工验收报告的确认职责</w:t>
      </w:r>
      <w:r>
        <w:rPr>
          <w:rFonts w:hint="eastAsia" w:ascii="宋体" w:hAnsi="宋体" w:cs="宋体"/>
          <w:sz w:val="24"/>
          <w:szCs w:val="24"/>
          <w:highlight w:val="none"/>
        </w:rPr>
        <w:t>。</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2.4 施工现场、施工条件和基础资料的提供</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2.4.1 提供施工现场</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关于发包人移交施工现场的期限要求：</w:t>
      </w:r>
      <w:r>
        <w:rPr>
          <w:rFonts w:hint="eastAsia" w:ascii="宋体" w:hAnsi="宋体" w:cs="宋体"/>
          <w:sz w:val="24"/>
          <w:szCs w:val="24"/>
          <w:highlight w:val="none"/>
          <w:u w:val="single"/>
        </w:rPr>
        <w:t>开工日期7天前</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2.4.2 提供施工条件</w:t>
      </w:r>
    </w:p>
    <w:p>
      <w:pPr>
        <w:spacing w:line="360" w:lineRule="auto"/>
        <w:ind w:firstLine="480" w:firstLineChars="200"/>
        <w:rPr>
          <w:rFonts w:ascii="宋体" w:hAnsi="宋体" w:cs="宋体"/>
          <w:sz w:val="24"/>
          <w:szCs w:val="24"/>
          <w:highlight w:val="none"/>
          <w:u w:val="single"/>
        </w:rPr>
      </w:pPr>
      <w:r>
        <w:rPr>
          <w:rFonts w:hint="eastAsia" w:ascii="宋体" w:hAnsi="宋体" w:cs="宋体"/>
          <w:sz w:val="24"/>
          <w:szCs w:val="24"/>
          <w:highlight w:val="none"/>
        </w:rPr>
        <w:t>关于发包人应负责提供施工所需要的条件，包括：</w:t>
      </w:r>
      <w:r>
        <w:rPr>
          <w:rFonts w:hint="eastAsia" w:ascii="宋体" w:hAnsi="宋体" w:cs="宋体"/>
          <w:sz w:val="24"/>
          <w:szCs w:val="24"/>
          <w:highlight w:val="none"/>
          <w:u w:val="single"/>
        </w:rPr>
        <w:t>（1）施工（生活）用水、照明用电、动力用电由承包人挂表计量并承担线损费摊销，单价均按施工同期供水、供电部门的价格计算，结算时发包人按施工同期供水、供电部门的价格扣回；（2）通讯线路不提供，由承包人自行解决并承担相应费用；（3）总平面图中已指定现场施工（生活）用水、电接入位置，自指定位置接入施工现场所需的材料、安装等一切费用，由承包人自行解决并承担相应费用，同时施工中发包人不考虑因用电原因（如需自发电或电容量不够）而给承包人的任何额外补偿；</w:t>
      </w:r>
      <w:r>
        <w:rPr>
          <w:rFonts w:hint="eastAsia" w:ascii="宋体" w:hAnsi="宋体" w:cs="宋体"/>
          <w:sz w:val="24"/>
          <w:szCs w:val="24"/>
          <w:highlight w:val="none"/>
          <w:u w:val="single"/>
          <w:lang w:eastAsia="zh-CN"/>
        </w:rPr>
        <w:t>（</w:t>
      </w:r>
      <w:r>
        <w:rPr>
          <w:rFonts w:hint="eastAsia" w:ascii="宋体" w:hAnsi="宋体" w:cs="宋体"/>
          <w:sz w:val="24"/>
          <w:szCs w:val="24"/>
          <w:highlight w:val="none"/>
          <w:u w:val="single"/>
          <w:lang w:val="en-US" w:eastAsia="zh-CN"/>
        </w:rPr>
        <w:t>4</w:t>
      </w:r>
      <w:r>
        <w:rPr>
          <w:rFonts w:hint="eastAsia" w:ascii="宋体" w:hAnsi="宋体" w:cs="宋体"/>
          <w:sz w:val="24"/>
          <w:szCs w:val="24"/>
          <w:highlight w:val="none"/>
          <w:u w:val="single"/>
          <w:lang w:eastAsia="zh-CN"/>
        </w:rPr>
        <w:t>）如因现场条件无法挂表，则水电费按合同价的千分之一点五扣除；</w:t>
      </w:r>
      <w:r>
        <w:rPr>
          <w:rFonts w:hint="eastAsia" w:ascii="宋体" w:hAnsi="宋体" w:cs="宋体"/>
          <w:sz w:val="24"/>
          <w:szCs w:val="24"/>
          <w:highlight w:val="none"/>
          <w:u w:val="single"/>
        </w:rPr>
        <w:t>（</w:t>
      </w:r>
      <w:r>
        <w:rPr>
          <w:rFonts w:hint="eastAsia" w:ascii="宋体" w:hAnsi="宋体" w:cs="宋体"/>
          <w:sz w:val="24"/>
          <w:szCs w:val="24"/>
          <w:highlight w:val="none"/>
          <w:u w:val="single"/>
          <w:lang w:val="en-US" w:eastAsia="zh-CN"/>
        </w:rPr>
        <w:t>5</w:t>
      </w:r>
      <w:r>
        <w:rPr>
          <w:rFonts w:hint="eastAsia" w:ascii="宋体" w:hAnsi="宋体" w:cs="宋体"/>
          <w:sz w:val="24"/>
          <w:szCs w:val="24"/>
          <w:highlight w:val="none"/>
          <w:u w:val="single"/>
        </w:rPr>
        <w:t>）正常施工所需要的进入施工现场的交通条件已具备</w:t>
      </w:r>
      <w:r>
        <w:rPr>
          <w:rFonts w:hint="eastAsia" w:ascii="宋体" w:hAnsi="宋体" w:cs="宋体"/>
          <w:sz w:val="24"/>
          <w:szCs w:val="24"/>
          <w:highlight w:val="none"/>
        </w:rPr>
        <w:t>。</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2.5 资金来源证明及支付担保</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发包人提供资金来源证明的期限要求：</w:t>
      </w:r>
      <w:r>
        <w:rPr>
          <w:rFonts w:hint="eastAsia" w:ascii="宋体" w:hAnsi="宋体" w:cs="宋体"/>
          <w:sz w:val="24"/>
          <w:szCs w:val="24"/>
          <w:highlight w:val="none"/>
          <w:u w:val="single"/>
        </w:rPr>
        <w:t>无</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发包人是否提供支付担保：</w:t>
      </w:r>
      <w:r>
        <w:rPr>
          <w:rFonts w:hint="eastAsia" w:ascii="宋体" w:hAnsi="宋体" w:cs="宋体"/>
          <w:sz w:val="24"/>
          <w:szCs w:val="24"/>
          <w:highlight w:val="none"/>
          <w:u w:val="single"/>
        </w:rPr>
        <w:t>否</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u w:val="single"/>
        </w:rPr>
      </w:pPr>
      <w:r>
        <w:rPr>
          <w:rFonts w:hint="eastAsia" w:ascii="宋体" w:hAnsi="宋体" w:cs="宋体"/>
          <w:sz w:val="24"/>
          <w:szCs w:val="24"/>
          <w:highlight w:val="none"/>
        </w:rPr>
        <w:t>发包人提供支付担保的形式：</w:t>
      </w:r>
      <w:r>
        <w:rPr>
          <w:rFonts w:hint="eastAsia" w:ascii="宋体" w:hAnsi="宋体" w:cs="宋体"/>
          <w:sz w:val="24"/>
          <w:szCs w:val="24"/>
          <w:highlight w:val="none"/>
          <w:u w:val="single"/>
        </w:rPr>
        <w:t>/</w:t>
      </w:r>
      <w:r>
        <w:rPr>
          <w:rFonts w:hint="eastAsia" w:ascii="宋体" w:hAnsi="宋体" w:cs="宋体"/>
          <w:sz w:val="24"/>
          <w:szCs w:val="24"/>
          <w:highlight w:val="none"/>
        </w:rPr>
        <w:t>。</w:t>
      </w:r>
    </w:p>
    <w:p>
      <w:pPr>
        <w:keepNext/>
        <w:keepLines/>
        <w:numPr>
          <w:ilvl w:val="3"/>
          <w:numId w:val="7"/>
        </w:numPr>
        <w:spacing w:before="120" w:after="120" w:line="360" w:lineRule="auto"/>
        <w:outlineLvl w:val="3"/>
        <w:rPr>
          <w:rFonts w:ascii="宋体" w:hAnsi="宋体" w:cs="宋体"/>
          <w:bCs/>
          <w:sz w:val="24"/>
          <w:szCs w:val="24"/>
          <w:highlight w:val="none"/>
        </w:rPr>
      </w:pP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3. 承包人</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3.1 承包人的一般义务</w:t>
      </w:r>
    </w:p>
    <w:p>
      <w:pPr>
        <w:spacing w:line="360" w:lineRule="auto"/>
        <w:ind w:firstLine="480" w:firstLineChars="200"/>
        <w:jc w:val="left"/>
        <w:rPr>
          <w:rFonts w:ascii="宋体" w:hAnsi="宋体" w:cs="宋体"/>
          <w:sz w:val="24"/>
          <w:szCs w:val="24"/>
          <w:highlight w:val="none"/>
        </w:rPr>
      </w:pPr>
      <w:r>
        <w:rPr>
          <w:rFonts w:hint="eastAsia" w:ascii="宋体" w:hAnsi="宋体" w:cs="宋体"/>
          <w:kern w:val="0"/>
          <w:sz w:val="24"/>
          <w:szCs w:val="24"/>
          <w:highlight w:val="none"/>
        </w:rPr>
        <w:t>（9）</w:t>
      </w:r>
      <w:r>
        <w:rPr>
          <w:rFonts w:hint="eastAsia" w:ascii="宋体" w:hAnsi="宋体" w:cs="宋体"/>
          <w:sz w:val="24"/>
          <w:szCs w:val="24"/>
          <w:highlight w:val="none"/>
        </w:rPr>
        <w:t>承包人提交的竣工资料的内容：</w:t>
      </w:r>
      <w:r>
        <w:rPr>
          <w:rFonts w:hint="eastAsia" w:ascii="宋体" w:hAnsi="宋体" w:cs="宋体"/>
          <w:sz w:val="24"/>
          <w:szCs w:val="24"/>
          <w:highlight w:val="none"/>
          <w:u w:val="single"/>
        </w:rPr>
        <w:t>工程竣工报告、施工技术管理资料、产品质量证明文件、施工质量试验资料、施工质量检测资料、施工记录、工程安全和功能检验资料核查及主要功能抽查记录、竣工图等,具体按国家有关规定和江宁区建设工程质量监督站规定要求提供。</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承包人需要提交的竣工资料套数：</w:t>
      </w:r>
      <w:r>
        <w:rPr>
          <w:rFonts w:hint="eastAsia" w:ascii="宋体" w:hAnsi="宋体" w:cs="宋体"/>
          <w:sz w:val="24"/>
          <w:szCs w:val="24"/>
          <w:highlight w:val="none"/>
          <w:u w:val="single"/>
        </w:rPr>
        <w:t>3套（含原件壹套）</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承包人提交的竣工资料的费用承担：</w:t>
      </w:r>
      <w:r>
        <w:rPr>
          <w:rFonts w:hint="eastAsia" w:ascii="宋体" w:hAnsi="宋体" w:cs="宋体"/>
          <w:sz w:val="24"/>
          <w:szCs w:val="24"/>
          <w:highlight w:val="none"/>
          <w:u w:val="single"/>
        </w:rPr>
        <w:t>由承包人自行承担</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承包人提交的竣工资料移交时间：</w:t>
      </w:r>
      <w:r>
        <w:rPr>
          <w:rFonts w:hint="eastAsia" w:ascii="宋体" w:hAnsi="宋体" w:cs="宋体"/>
          <w:sz w:val="24"/>
          <w:szCs w:val="24"/>
          <w:highlight w:val="none"/>
          <w:u w:val="single"/>
        </w:rPr>
        <w:t>与竣工验收申请报告同时提交。工程竣工验收合格后，承包人应在28天内向发包人递交竣工结算报告和完整的结算资料</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承包人提交的竣工资料形式要求：</w:t>
      </w:r>
      <w:r>
        <w:rPr>
          <w:rFonts w:hint="eastAsia" w:ascii="宋体" w:hAnsi="宋体" w:cs="宋体"/>
          <w:sz w:val="24"/>
          <w:szCs w:val="24"/>
          <w:highlight w:val="none"/>
          <w:u w:val="single"/>
        </w:rPr>
        <w:t>以书面形式提交并提供电子版</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kern w:val="0"/>
          <w:sz w:val="24"/>
          <w:szCs w:val="24"/>
          <w:highlight w:val="none"/>
        </w:rPr>
        <w:t>（10）承包人应履行的其他义务：</w:t>
      </w:r>
      <w:r>
        <w:rPr>
          <w:rFonts w:hint="eastAsia" w:ascii="宋体" w:hAnsi="宋体" w:cs="宋体"/>
          <w:sz w:val="24"/>
          <w:szCs w:val="24"/>
          <w:highlight w:val="none"/>
          <w:u w:val="single"/>
        </w:rPr>
        <w:t>①按标准化现场要求，做到文明施工、规范施工，保持场地整洁卫生，竣工验收合格后20天内负责将现场所有临时设施拆除，将建筑垃圾清运出场，做到工完场清，并承担相关费用；②承包人应无条件做好自身承包范围内成品保护工作并承担相应费用，直至正式竣工验 收后交付使用，成品保护期间发生损坏，承包人自费予以修复；③应满足现场施工管理的需要，达到政府有关规定的要求及承诺。承包人按照规定负责施工现场的安全保卫工作及施工照明，负责施工人员的治安教育和施工安全教育工作， 建立健全行之有效的防火管理制度，对火灾易发区域应采取特殊的消防安全措施，确保职工食堂卫生安全和饮水设施的安全可靠，施工现场的临时用电安全参照现行规范执行，以确保施工阶段的一切安全工作，因措施不力、管理不善而由此发生的一切事故均由承包人负责承担；④承包人必须保证施工场地与市政道路和施工场地内的道路畅通，并自行解决好与四邻的交通、环卫和施工噪音问题，降低噪音、渣土证等项费用，由承包人负责，发包人协助，费用由承包人承担；⑤承包人应负责配合监理、审计等部门，及时进行工程量核对、确认；⑥发包人单独发包的专业工程，承包人对专业工程承包人的管理、协调内容：包括承包人必须负责管理整个施工现场、安全文明施工、质量控制、工程进度控制、界面管理、提供轴线和标高和竣工验收以及资料汇编管理等。承包人对专业工程承包人的配合服务内容：包括为专业工程承包人提供施工中的配合与服务、施工和生活用水电接口、现有的脚手架和垂直运输机械的使用、施工现场道路和场地的使用等。⑦承包人有义务根据发包人提供的图纸及有关文件，提出合理化建议，将可能发生的问题消灭在萌芽状态，杜绝一切因考虑不周而发生的问题</w:t>
      </w:r>
      <w:r>
        <w:rPr>
          <w:rFonts w:hint="eastAsia" w:ascii="宋体" w:hAnsi="宋体" w:cs="宋体"/>
          <w:sz w:val="24"/>
          <w:szCs w:val="24"/>
          <w:highlight w:val="none"/>
        </w:rPr>
        <w:t>。</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3.2 项目经理</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3.2.1 项目经理：</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姓    名：</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身份证号： </w:t>
      </w:r>
      <w:r>
        <w:rPr>
          <w:rFonts w:hint="eastAsia" w:ascii="宋体" w:hAnsi="宋体" w:cs="宋体"/>
          <w:sz w:val="24"/>
          <w:szCs w:val="24"/>
          <w:highlight w:val="none"/>
          <w:u w:val="single"/>
        </w:rPr>
        <w:t xml:space="preserve">      ；</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建造师执业资格等级：</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建造师注册证书号：</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建造师执业印章号：</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安全生产考核合格证书号：</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联系电话：</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电子信箱：</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通信地址：</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承包人对项目经理的授权范围如下：</w:t>
      </w:r>
      <w:r>
        <w:rPr>
          <w:rFonts w:hint="eastAsia" w:ascii="宋体" w:hAnsi="宋体" w:cs="宋体"/>
          <w:sz w:val="24"/>
          <w:szCs w:val="24"/>
          <w:highlight w:val="none"/>
          <w:u w:val="single"/>
        </w:rPr>
        <w:t>代表承包人履行合同。按合同约定组织工程实施；在合同约定范围内主持承包人有关施工、技术、工程进度、现场管理、安全生产、质量检验、竣工交付、结算等方面工作</w:t>
      </w:r>
      <w:r>
        <w:rPr>
          <w:rFonts w:hint="eastAsia" w:ascii="宋体" w:hAnsi="宋体" w:cs="宋体"/>
          <w:sz w:val="24"/>
          <w:szCs w:val="24"/>
          <w:highlight w:val="none"/>
        </w:rPr>
        <w:t>。</w:t>
      </w:r>
    </w:p>
    <w:p>
      <w:pPr>
        <w:spacing w:line="36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关于项目经理每月在施工现场的时间要求：</w:t>
      </w:r>
      <w:r>
        <w:rPr>
          <w:rFonts w:hint="eastAsia" w:ascii="宋体" w:hAnsi="宋体" w:cs="宋体"/>
          <w:sz w:val="24"/>
          <w:szCs w:val="24"/>
          <w:highlight w:val="none"/>
          <w:u w:val="single"/>
        </w:rPr>
        <w:t>每天不少于8小时，每周不少于5天</w:t>
      </w:r>
      <w:r>
        <w:rPr>
          <w:rFonts w:hint="eastAsia" w:ascii="宋体" w:hAnsi="宋体" w:cs="宋体"/>
          <w:sz w:val="24"/>
          <w:szCs w:val="24"/>
          <w:highlight w:val="none"/>
        </w:rPr>
        <w:t>。</w:t>
      </w:r>
    </w:p>
    <w:p>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承包人未提交劳动合同，以及没有为项目经理缴纳社会保险证明的违约责任：/</w:t>
      </w:r>
      <w:r>
        <w:rPr>
          <w:rFonts w:hint="eastAsia" w:ascii="宋体" w:hAnsi="宋体" w:cs="宋体"/>
          <w:sz w:val="24"/>
          <w:szCs w:val="24"/>
          <w:highlight w:val="none"/>
          <w:u w:val="single"/>
        </w:rPr>
        <w:t></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u w:val="single"/>
        </w:rPr>
      </w:pPr>
      <w:r>
        <w:rPr>
          <w:rFonts w:hint="eastAsia" w:ascii="宋体" w:hAnsi="宋体" w:cs="宋体"/>
          <w:kern w:val="0"/>
          <w:sz w:val="24"/>
          <w:szCs w:val="24"/>
          <w:highlight w:val="none"/>
        </w:rPr>
        <w:t>项目经理未经批准，擅自离开施工现场的违约责任：</w:t>
      </w:r>
      <w:r>
        <w:rPr>
          <w:rFonts w:hint="eastAsia" w:ascii="宋体" w:hAnsi="宋体" w:cs="宋体"/>
          <w:sz w:val="24"/>
          <w:szCs w:val="24"/>
          <w:highlight w:val="none"/>
          <w:u w:val="single"/>
        </w:rPr>
        <w:t>发包人每发现1次处以1000元/天违约金，从工程款中扣抵，并保留解除合同的权利</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3.2.3 承包人擅自更换项目经理的违约责任：</w:t>
      </w:r>
      <w:r>
        <w:rPr>
          <w:rFonts w:hint="eastAsia" w:ascii="宋体" w:hAnsi="宋体" w:cs="宋体"/>
          <w:sz w:val="24"/>
          <w:szCs w:val="24"/>
          <w:highlight w:val="none"/>
          <w:u w:val="single"/>
        </w:rPr>
        <w:t>处以3万元违约金并保留解除合同的权利；项目经理因刑事犯罪、伤病丧失工作能力、离职等不可抗力不能履行职责需要变更的，须经监理工程师和发包人批准更换，接替人员的注册执业资格、能力、履约业绩等均不得低于被替换人员</w:t>
      </w:r>
      <w:r>
        <w:rPr>
          <w:rFonts w:hint="eastAsia" w:ascii="宋体" w:hAnsi="宋体" w:cs="宋体"/>
          <w:sz w:val="24"/>
          <w:szCs w:val="24"/>
          <w:highlight w:val="none"/>
        </w:rPr>
        <w:t>。</w:t>
      </w:r>
      <w:r>
        <w:rPr>
          <w:rFonts w:hint="eastAsia" w:ascii="宋体" w:hAnsi="宋体" w:cs="宋体"/>
          <w:sz w:val="24"/>
          <w:szCs w:val="24"/>
          <w:highlight w:val="none"/>
          <w:u w:val="single"/>
        </w:rPr>
        <w:t>如因其他情况需变更的，须经监理工程师和发包人批准更换，并处以5000元违约金，接替人员的注册执业资格、能力、履约业绩等均不得低于被替换人员</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3.2.4 承包人无正当理由拒绝更换项目经理的违约责任：</w:t>
      </w:r>
      <w:r>
        <w:rPr>
          <w:rFonts w:hint="eastAsia" w:ascii="宋体" w:hAnsi="宋体" w:cs="宋体"/>
          <w:sz w:val="24"/>
          <w:szCs w:val="24"/>
          <w:highlight w:val="none"/>
          <w:u w:val="single"/>
        </w:rPr>
        <w:t>每次处以1万元违约金，从工程款中直接扣抵，并保留解除合同的权利</w:t>
      </w:r>
      <w:r>
        <w:rPr>
          <w:rFonts w:hint="eastAsia" w:ascii="宋体" w:hAnsi="宋体" w:cs="宋体"/>
          <w:sz w:val="24"/>
          <w:szCs w:val="24"/>
          <w:highlight w:val="none"/>
        </w:rPr>
        <w:t>。</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3.3 承包人人员</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3.3.1 承包人提交项目管理机构及施工现场管理人员安排报告的期限：</w:t>
      </w:r>
      <w:r>
        <w:rPr>
          <w:rFonts w:hint="eastAsia" w:ascii="宋体" w:hAnsi="宋体" w:cs="宋体"/>
          <w:sz w:val="24"/>
          <w:szCs w:val="24"/>
          <w:highlight w:val="none"/>
          <w:u w:val="single"/>
        </w:rPr>
        <w:t>接到开工通知后7天内</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3.3.3 承包人无正当理由拒绝撤换主要施工管理人员的违约责任：</w:t>
      </w:r>
      <w:r>
        <w:rPr>
          <w:rFonts w:hint="eastAsia" w:ascii="宋体" w:hAnsi="宋体" w:cs="宋体"/>
          <w:sz w:val="24"/>
          <w:szCs w:val="24"/>
          <w:highlight w:val="none"/>
          <w:u w:val="single"/>
        </w:rPr>
        <w:t>每次每人每拖延一天处以1000元违约金，从工程款中直接扣抵</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u w:val="single"/>
        </w:rPr>
      </w:pPr>
      <w:r>
        <w:rPr>
          <w:rFonts w:hint="eastAsia" w:ascii="宋体" w:hAnsi="宋体" w:cs="宋体"/>
          <w:sz w:val="24"/>
          <w:szCs w:val="24"/>
          <w:highlight w:val="none"/>
        </w:rPr>
        <w:t>3.3.4 承包人主要施工管理人员离开施工现场的批准要求：</w:t>
      </w:r>
      <w:r>
        <w:rPr>
          <w:rFonts w:hint="eastAsia" w:ascii="宋体" w:hAnsi="宋体" w:cs="宋体"/>
          <w:sz w:val="24"/>
          <w:szCs w:val="24"/>
          <w:highlight w:val="none"/>
          <w:u w:val="single"/>
        </w:rPr>
        <w:t xml:space="preserve">  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3.3.5承包人擅自更换主要施工管理人员的违约责任：</w:t>
      </w:r>
      <w:r>
        <w:rPr>
          <w:rFonts w:hint="eastAsia" w:ascii="宋体" w:hAnsi="宋体" w:cs="宋体"/>
          <w:sz w:val="24"/>
          <w:szCs w:val="24"/>
          <w:highlight w:val="none"/>
          <w:u w:val="single"/>
        </w:rPr>
        <w:t>每次每人每天处以1000元违约金，从工程款中直接扣抵</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承包人主要施工管理人员擅自离开施工现场的违约责任：</w:t>
      </w:r>
      <w:r>
        <w:rPr>
          <w:rFonts w:hint="eastAsia" w:ascii="宋体" w:hAnsi="宋体" w:cs="宋体"/>
          <w:sz w:val="24"/>
          <w:szCs w:val="24"/>
          <w:highlight w:val="none"/>
          <w:u w:val="single"/>
        </w:rPr>
        <w:t>每次每人每天处以1000元违约金，从工程款中直接扣抵，并保留解除合同的权利</w:t>
      </w:r>
      <w:r>
        <w:rPr>
          <w:rFonts w:hint="eastAsia" w:ascii="宋体" w:hAnsi="宋体" w:cs="宋体"/>
          <w:sz w:val="24"/>
          <w:szCs w:val="24"/>
          <w:highlight w:val="none"/>
        </w:rPr>
        <w:t>。</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3.5 分包</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3.5.1 分包的一般约定</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禁止分包的工程包括：</w:t>
      </w:r>
      <w:r>
        <w:rPr>
          <w:rFonts w:hint="eastAsia" w:ascii="宋体" w:hAnsi="宋体" w:cs="宋体"/>
          <w:sz w:val="24"/>
          <w:szCs w:val="24"/>
          <w:highlight w:val="none"/>
          <w:u w:val="single"/>
        </w:rPr>
        <w:t>主体结构、关键性工作</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rPr>
        <w:t>主体结构、关键性工作的范围：</w:t>
      </w:r>
      <w:r>
        <w:rPr>
          <w:rFonts w:hint="eastAsia" w:ascii="宋体" w:hAnsi="宋体" w:cs="宋体"/>
          <w:sz w:val="24"/>
          <w:szCs w:val="24"/>
          <w:highlight w:val="none"/>
          <w:u w:val="single"/>
        </w:rPr>
        <w:t>/</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3.5.2分包的确定</w:t>
      </w:r>
    </w:p>
    <w:p>
      <w:pPr>
        <w:spacing w:line="360" w:lineRule="auto"/>
        <w:ind w:firstLine="480" w:firstLineChars="200"/>
        <w:rPr>
          <w:rFonts w:ascii="宋体" w:hAnsi="宋体" w:cs="宋体"/>
          <w:sz w:val="24"/>
          <w:szCs w:val="24"/>
          <w:highlight w:val="none"/>
          <w:u w:val="single"/>
        </w:rPr>
      </w:pPr>
      <w:r>
        <w:rPr>
          <w:rFonts w:hint="eastAsia" w:ascii="宋体" w:hAnsi="宋体" w:cs="宋体"/>
          <w:sz w:val="24"/>
          <w:szCs w:val="24"/>
          <w:highlight w:val="none"/>
        </w:rPr>
        <w:t>允许分包的专业工程包括：</w:t>
      </w:r>
      <w:r>
        <w:rPr>
          <w:rFonts w:hint="eastAsia" w:ascii="宋体" w:hAnsi="宋体" w:cs="宋体"/>
          <w:sz w:val="24"/>
          <w:szCs w:val="24"/>
          <w:highlight w:val="none"/>
          <w:u w:val="single"/>
        </w:rPr>
        <w:t>非主体结构、关键性工作且未经发包人同意，承包人不得擅自分包</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其他关于分包的约定：</w:t>
      </w:r>
      <w:r>
        <w:rPr>
          <w:rFonts w:hint="eastAsia" w:ascii="宋体" w:hAnsi="宋体" w:cs="宋体"/>
          <w:sz w:val="24"/>
          <w:szCs w:val="24"/>
          <w:highlight w:val="none"/>
          <w:u w:val="single"/>
        </w:rPr>
        <w:t>（1）分包人具有相应的资质和能力，工程分包不减轻或免除承包人的责任和义务，承包人和分包人就分包工程向发包人承担连带责任。（2）分包合同签订前，承包人须将拟定的分包人以及分包合同报经监理人和发包人审核同意；承包人应在分包合同签订后 7 天内向发包人和监理人提交分包合同副本。（3）承包人不得将其承包的全部工程转包给第三人，或将其承包的全部工程肢解后以分包的名义转包给第三人（4）所有分包专业工程达到依法招标要求的，将由招标人作为招标主体委托代理公司进行公开招标。</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3.5.4 分包合同价款</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关于分包合同价款支付的约定：</w:t>
      </w:r>
      <w:r>
        <w:rPr>
          <w:rFonts w:hint="eastAsia" w:ascii="宋体" w:hAnsi="宋体" w:cs="宋体"/>
          <w:sz w:val="24"/>
          <w:szCs w:val="24"/>
          <w:highlight w:val="none"/>
          <w:u w:val="single"/>
        </w:rPr>
        <w:t>由承包人与分包人结算，发包人有监督权。未经承包人同意，发包人不得直接向分包人支付分包工程价款</w:t>
      </w:r>
      <w:r>
        <w:rPr>
          <w:rFonts w:hint="eastAsia" w:ascii="宋体" w:hAnsi="宋体" w:cs="宋体"/>
          <w:sz w:val="24"/>
          <w:szCs w:val="24"/>
          <w:highlight w:val="none"/>
        </w:rPr>
        <w:t>。</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3.6 工程照管与成品、半成品保护</w:t>
      </w:r>
    </w:p>
    <w:p>
      <w:pPr>
        <w:spacing w:before="120" w:after="120" w:line="360" w:lineRule="auto"/>
        <w:ind w:firstLine="480" w:firstLineChars="200"/>
        <w:rPr>
          <w:rFonts w:ascii="宋体" w:hAnsi="宋体" w:cs="宋体"/>
          <w:kern w:val="0"/>
          <w:sz w:val="24"/>
          <w:szCs w:val="24"/>
          <w:highlight w:val="none"/>
          <w:u w:val="single"/>
        </w:rPr>
      </w:pPr>
      <w:r>
        <w:rPr>
          <w:rFonts w:hint="eastAsia" w:ascii="宋体" w:hAnsi="宋体" w:cs="宋体"/>
          <w:kern w:val="0"/>
          <w:sz w:val="24"/>
          <w:szCs w:val="24"/>
          <w:highlight w:val="none"/>
        </w:rPr>
        <w:t>承包人负责照管工程及工程相关的材料、工程设备的起始时间：</w:t>
      </w:r>
      <w:r>
        <w:rPr>
          <w:rFonts w:hint="eastAsia" w:ascii="宋体" w:hAnsi="宋体" w:cs="宋体"/>
          <w:sz w:val="24"/>
          <w:szCs w:val="24"/>
          <w:highlight w:val="none"/>
          <w:u w:val="single"/>
        </w:rPr>
        <w:t>（1）自发包人向承包人移交施工现场之日起，承包人应负责照管工程及工程相关的材料、工程设备，直到颁发工程接收证书之日止。 （2）在承包人负责照管期间，因承包人原因造成工程、材料、工程设备损坏的，由承包人负责修复或更换，并承担由此增加的费用和延误的工期。 （3）对合同内分期完成的成品和半成品，在工程接收证书颁发前，由承包人承担保护责任。因承包人原因造成成品或半成品损坏的，由承包人负责修复或更换，并承担由此增加的费用和延误的工期</w:t>
      </w:r>
      <w:r>
        <w:rPr>
          <w:rFonts w:hint="eastAsia" w:ascii="宋体" w:hAnsi="宋体" w:cs="宋体"/>
          <w:kern w:val="0"/>
          <w:sz w:val="24"/>
          <w:szCs w:val="24"/>
          <w:highlight w:val="none"/>
        </w:rPr>
        <w:t>。</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3.7 履约担保</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承包人是否提供履约担保：</w:t>
      </w:r>
      <w:r>
        <w:rPr>
          <w:rFonts w:hint="eastAsia" w:ascii="宋体" w:hAnsi="宋体" w:cs="宋体"/>
          <w:sz w:val="24"/>
          <w:szCs w:val="24"/>
          <w:highlight w:val="none"/>
          <w:u w:val="single"/>
        </w:rPr>
        <w:t>是</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u w:val="single"/>
        </w:rPr>
      </w:pPr>
      <w:r>
        <w:rPr>
          <w:rFonts w:hint="eastAsia" w:ascii="宋体" w:hAnsi="宋体" w:cs="宋体"/>
          <w:sz w:val="24"/>
          <w:szCs w:val="24"/>
          <w:highlight w:val="none"/>
        </w:rPr>
        <w:t>承包人提供履约担保的形式、金额及期限的：</w:t>
      </w:r>
      <w:r>
        <w:rPr>
          <w:rFonts w:hint="eastAsia" w:ascii="宋体" w:hAnsi="宋体" w:cs="宋体"/>
          <w:sz w:val="24"/>
          <w:szCs w:val="24"/>
          <w:highlight w:val="none"/>
          <w:u w:val="single"/>
        </w:rPr>
        <w:t>本工程中标人在签订合同前需按合同金额的5%以现金、银行保函、银行本票、汇票、支票或电子汇款（出具保函的银行级别为国有商业银行或股份制商业银行分行及其以上银行）等形式缴纳履约保证金作为履约担保，履约保证金在工程结算审计完成后无息退还。</w:t>
      </w:r>
    </w:p>
    <w:p>
      <w:pPr>
        <w:keepNext/>
        <w:keepLines/>
        <w:numPr>
          <w:ilvl w:val="3"/>
          <w:numId w:val="7"/>
        </w:numPr>
        <w:spacing w:before="120" w:after="120" w:line="360" w:lineRule="auto"/>
        <w:outlineLvl w:val="3"/>
        <w:rPr>
          <w:rFonts w:ascii="宋体" w:hAnsi="宋体" w:cs="宋体"/>
          <w:bCs/>
          <w:sz w:val="24"/>
          <w:szCs w:val="24"/>
          <w:highlight w:val="none"/>
        </w:rPr>
      </w:pP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4. 监理人</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4.1监理人的一般规定</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关于监理人的监理内容：</w:t>
      </w:r>
      <w:r>
        <w:rPr>
          <w:rFonts w:hint="eastAsia" w:ascii="宋体" w:hAnsi="宋体" w:cs="宋体"/>
          <w:sz w:val="24"/>
          <w:szCs w:val="24"/>
          <w:highlight w:val="none"/>
          <w:u w:val="single"/>
        </w:rPr>
        <w:t>工程施工及保修阶段全过程监理，对工程进行进度、质量、投资、安全四控制，合同管理、信息管理，协调施工现场各方面关系。具体内容如下： （1）收到工程设计文件后编制监理规划，并在第一次工地会议7天前报委托人，根据有关规定和监理工作需要，编制监理实施细则； （2）熟悉工程设计文件，并参加由委托人主持的图纸会审和设计交底会议； （3）参加由委托人主持的第一次工地会议；主持监理例会并根据工程需要主持或参加专题会议； （4）审查施工承包人提交的施工组织设计，重点审查其中的质量安全技术措施、专项施工方案与工程建设强制性标准的符合性； （5）检查施工承包人工程质量、安全生产管理制度及组织机构和人员资格； （6）检查施工承包人专职安全生产管理人员的配备情况； （7）审查施工承包人提交的施工进度计划，核查承包人对施工进度计划的调整； （8）检查施工承包人的试验室； （9）审核施工分包人资质条件； （10）查验施工承包人的施工测量放线成果； （11）审查工程开工条件，对条件具备的签发开工令； （12）审查施工承包人报送的工程材料、构配件、设备质量证明文件的有效性和符合性，并按规定对用于工程的材料采取平行检验或见证取样方式进行抽检； （13）审核施工承包人提交的工程款支付申请，签发或出具工程款支付证书，并报委托人审核、批准； （14）在巡视、旁站和检验过程中，发现工程质量、施工安全存在事故隐患的，要求施工承包人整改并报委托人； （15）经委托人同意，签发工程暂停令和复工令；（16）审查施工承包人提交的采用新材料、新工艺、新技术、新设备的论证材料及相关验收标准； （17）验收隐蔽工程、分部分项工程； （18）审查施工承包人提交的工程变更申请，协调处理施工进度调整、费用索赔、合同争议等事项； （19）审查施工承包人提交的竣工验收申请，编写工程质量评估报告； （20）参加工程竣工验收，签署竣工验收意见； （21）审查施工承包人提交的竣工结算申请并报委托人； （22）编制、整理工程监理归档文件并报委托人； （23）负责检查保修期阶段的工程状况，定期回访，监督施工单位保修。</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关于监理人的监理权限：</w:t>
      </w:r>
      <w:r>
        <w:rPr>
          <w:rFonts w:hint="eastAsia" w:ascii="宋体" w:hAnsi="宋体" w:cs="宋体"/>
          <w:sz w:val="24"/>
          <w:szCs w:val="24"/>
          <w:highlight w:val="none"/>
          <w:u w:val="single"/>
        </w:rPr>
        <w:t>需要取得发包人批准才能行使的职权：分包单位的确定、施工中或图纸中的建议、设计变更、签证、工期延期、开工令、停工令、复工令，以及工程施工过程中所有涉及工程造价的一切事宜</w:t>
      </w:r>
      <w:r>
        <w:rPr>
          <w:rFonts w:hint="eastAsia" w:ascii="宋体" w:hAnsi="宋体" w:cs="宋体"/>
          <w:sz w:val="24"/>
          <w:szCs w:val="24"/>
          <w:highlight w:val="none"/>
        </w:rPr>
        <w:t xml:space="preserve">。 </w:t>
      </w:r>
    </w:p>
    <w:p>
      <w:pPr>
        <w:spacing w:line="360" w:lineRule="auto"/>
        <w:ind w:left="479" w:leftChars="228"/>
        <w:rPr>
          <w:rFonts w:ascii="宋体" w:hAnsi="宋体" w:cs="宋体"/>
          <w:sz w:val="24"/>
          <w:szCs w:val="24"/>
          <w:highlight w:val="none"/>
        </w:rPr>
      </w:pPr>
      <w:r>
        <w:rPr>
          <w:rFonts w:hint="eastAsia" w:ascii="宋体" w:hAnsi="宋体" w:cs="宋体"/>
          <w:sz w:val="24"/>
          <w:szCs w:val="24"/>
          <w:highlight w:val="none"/>
        </w:rPr>
        <w:t xml:space="preserve">关于监理人在施工现场的办公场所、生活场所的提供和费用承担的约定：  </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4.2 监理人员</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总监理工程师：</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姓    名：</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职    务：</w:t>
      </w:r>
      <w:r>
        <w:rPr>
          <w:rFonts w:hint="eastAsia" w:ascii="宋体" w:hAnsi="宋体" w:cs="宋体"/>
          <w:sz w:val="24"/>
          <w:szCs w:val="24"/>
          <w:highlight w:val="none"/>
          <w:u w:val="single"/>
        </w:rPr>
        <w:t xml:space="preserve"> 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监理工程师执业资格证书号：</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联系电话：</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电子信箱：</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通信地址：</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关于监理人的其他约定：</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4.3 商定或确定</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在发包人和承包人不能通过协商达成一致意见时，发包人授权监理人对以下事项进行确定：</w:t>
      </w:r>
    </w:p>
    <w:p>
      <w:pPr>
        <w:autoSpaceDE w:val="0"/>
        <w:autoSpaceDN w:val="0"/>
        <w:adjustRightInd w:val="0"/>
        <w:spacing w:line="36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（1）</w:t>
      </w:r>
      <w:r>
        <w:rPr>
          <w:rFonts w:hint="eastAsia" w:ascii="宋体" w:hAnsi="宋体" w:cs="宋体"/>
          <w:sz w:val="24"/>
          <w:szCs w:val="24"/>
          <w:highlight w:val="none"/>
          <w:u w:val="single"/>
        </w:rPr>
        <w:t>工程质量、安全文明施工、分部分项施工工艺或施工方案、材料设备等的检查、检验、验收</w:t>
      </w:r>
      <w:r>
        <w:rPr>
          <w:rFonts w:hint="eastAsia" w:ascii="宋体" w:hAnsi="宋体" w:cs="宋体"/>
          <w:sz w:val="24"/>
          <w:szCs w:val="24"/>
          <w:highlight w:val="none"/>
        </w:rPr>
        <w:t>；</w:t>
      </w:r>
    </w:p>
    <w:p>
      <w:pPr>
        <w:autoSpaceDE w:val="0"/>
        <w:autoSpaceDN w:val="0"/>
        <w:adjustRightInd w:val="0"/>
        <w:spacing w:line="36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（2）</w:t>
      </w:r>
      <w:r>
        <w:rPr>
          <w:rFonts w:hint="eastAsia" w:ascii="宋体" w:hAnsi="宋体" w:cs="宋体"/>
          <w:sz w:val="24"/>
          <w:szCs w:val="24"/>
          <w:highlight w:val="none"/>
          <w:u w:val="single"/>
        </w:rPr>
        <w:t>/</w:t>
      </w:r>
      <w:r>
        <w:rPr>
          <w:rFonts w:hint="eastAsia" w:ascii="宋体" w:hAnsi="宋体" w:cs="宋体"/>
          <w:sz w:val="24"/>
          <w:szCs w:val="24"/>
          <w:highlight w:val="none"/>
        </w:rPr>
        <w:t>；</w:t>
      </w:r>
    </w:p>
    <w:p>
      <w:pPr>
        <w:autoSpaceDE w:val="0"/>
        <w:autoSpaceDN w:val="0"/>
        <w:adjustRightInd w:val="0"/>
        <w:spacing w:line="36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（3）</w:t>
      </w:r>
      <w:r>
        <w:rPr>
          <w:rFonts w:hint="eastAsia" w:ascii="宋体" w:hAnsi="宋体" w:cs="宋体"/>
          <w:sz w:val="24"/>
          <w:szCs w:val="24"/>
          <w:highlight w:val="none"/>
          <w:u w:val="single"/>
        </w:rPr>
        <w:t>/</w:t>
      </w:r>
      <w:r>
        <w:rPr>
          <w:rFonts w:hint="eastAsia" w:ascii="宋体" w:hAnsi="宋体" w:cs="宋体"/>
          <w:sz w:val="24"/>
          <w:szCs w:val="24"/>
          <w:highlight w:val="none"/>
        </w:rPr>
        <w:t>。</w:t>
      </w:r>
    </w:p>
    <w:p>
      <w:pPr>
        <w:keepNext/>
        <w:keepLines/>
        <w:numPr>
          <w:ilvl w:val="3"/>
          <w:numId w:val="7"/>
        </w:numPr>
        <w:spacing w:before="120" w:after="120" w:line="360" w:lineRule="auto"/>
        <w:outlineLvl w:val="3"/>
        <w:rPr>
          <w:rFonts w:ascii="宋体" w:hAnsi="宋体" w:cs="宋体"/>
          <w:bCs/>
          <w:sz w:val="24"/>
          <w:szCs w:val="24"/>
          <w:highlight w:val="none"/>
        </w:rPr>
      </w:pP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5. 工程质量</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5.1 质量要求</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5.1.1 特殊质量标准和要求：</w:t>
      </w:r>
      <w:r>
        <w:rPr>
          <w:rFonts w:hint="eastAsia" w:ascii="宋体" w:hAnsi="宋体" w:cs="宋体"/>
          <w:sz w:val="24"/>
          <w:szCs w:val="24"/>
          <w:highlight w:val="none"/>
          <w:u w:val="single"/>
        </w:rPr>
        <w:t>必须达到投标文件承诺验收标准</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关于工程奖项的约定：</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5.3 隐蔽工程检查</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5.3.2承包人提前通知监理人隐蔽工程检查的期限的约定：</w:t>
      </w:r>
      <w:r>
        <w:rPr>
          <w:rFonts w:hint="eastAsia" w:ascii="宋体" w:hAnsi="宋体" w:cs="宋体"/>
          <w:sz w:val="24"/>
          <w:szCs w:val="24"/>
          <w:highlight w:val="none"/>
          <w:u w:val="single"/>
        </w:rPr>
        <w:t>共同检查前48小时书面通知监理人</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监理人不能按时进行检查时，应提前</w:t>
      </w:r>
      <w:r>
        <w:rPr>
          <w:rFonts w:hint="eastAsia" w:ascii="宋体" w:hAnsi="宋体" w:cs="宋体"/>
          <w:sz w:val="24"/>
          <w:szCs w:val="24"/>
          <w:highlight w:val="none"/>
          <w:u w:val="single"/>
        </w:rPr>
        <w:t>24</w:t>
      </w:r>
      <w:r>
        <w:rPr>
          <w:rFonts w:hint="eastAsia" w:ascii="宋体" w:hAnsi="宋体" w:cs="宋体"/>
          <w:sz w:val="24"/>
          <w:szCs w:val="24"/>
          <w:highlight w:val="none"/>
        </w:rPr>
        <w:t>小时提交书面延期要求。</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关于延期最长不得超过：</w:t>
      </w:r>
      <w:r>
        <w:rPr>
          <w:rFonts w:hint="eastAsia" w:ascii="宋体" w:hAnsi="宋体" w:cs="宋体"/>
          <w:sz w:val="24"/>
          <w:szCs w:val="24"/>
          <w:highlight w:val="none"/>
          <w:u w:val="single"/>
        </w:rPr>
        <w:t>48</w:t>
      </w:r>
      <w:r>
        <w:rPr>
          <w:rFonts w:hint="eastAsia" w:ascii="宋体" w:hAnsi="宋体" w:cs="宋体"/>
          <w:sz w:val="24"/>
          <w:szCs w:val="24"/>
          <w:highlight w:val="none"/>
        </w:rPr>
        <w:t>小时。</w:t>
      </w:r>
    </w:p>
    <w:p>
      <w:pPr>
        <w:keepNext/>
        <w:keepLines/>
        <w:numPr>
          <w:ilvl w:val="3"/>
          <w:numId w:val="7"/>
        </w:numPr>
        <w:spacing w:before="120" w:after="120" w:line="360" w:lineRule="auto"/>
        <w:outlineLvl w:val="3"/>
        <w:rPr>
          <w:rFonts w:ascii="宋体" w:hAnsi="宋体" w:cs="宋体"/>
          <w:bCs/>
          <w:sz w:val="24"/>
          <w:szCs w:val="24"/>
          <w:highlight w:val="none"/>
        </w:rPr>
      </w:pP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6. 安全文明施工与环境保护</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6.1安全文明施工</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6.1.1 项目安全生产的达标目标及相应事项的约定：</w:t>
      </w:r>
      <w:r>
        <w:rPr>
          <w:rFonts w:hint="eastAsia" w:ascii="宋体" w:hAnsi="宋体" w:cs="宋体"/>
          <w:sz w:val="24"/>
          <w:szCs w:val="24"/>
          <w:highlight w:val="none"/>
          <w:u w:val="single"/>
        </w:rPr>
        <w:t>①承包人必须按照江宁政办发（2007）157号文、《江宁区建设工程责任主体安全生产文明施工管理实施办法》和《南京市建设工程施工现场管理办法》（市政府令第296号）规定的标准实行安全施工管理，总承包单位对施工现场的安全施工负总责，专业工程承包单位应当服从总承包单位的安全施工管理 。②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 。 ③承包人负责施工现场的第三方人身安全 。 ④发包人不得要求承包人违反安全管理的规定进行施工。因发包人原因导致的安全事故，由发包人承担相应责任及费用。因承包人原因造成人员伤亡或机具损坏而导致停工，承包人承担1000元/天的违约金，且工期不予顺延，同时发包人还保留进一步索赔的权利。</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6.1.4 关于治安保卫的特别约定：</w:t>
      </w:r>
      <w:r>
        <w:rPr>
          <w:rFonts w:hint="eastAsia" w:ascii="宋体" w:hAnsi="宋体" w:cs="宋体"/>
          <w:sz w:val="24"/>
          <w:szCs w:val="24"/>
          <w:highlight w:val="none"/>
          <w:u w:val="single"/>
        </w:rPr>
        <w:t>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关于编制施工场地治安管理计划的约定：</w:t>
      </w:r>
      <w:r>
        <w:rPr>
          <w:rFonts w:hint="eastAsia" w:ascii="宋体" w:hAnsi="宋体" w:cs="宋体"/>
          <w:sz w:val="24"/>
          <w:szCs w:val="24"/>
          <w:highlight w:val="none"/>
          <w:u w:val="single"/>
        </w:rPr>
        <w:t>在工程开工后7天内编制并向发包人提交施工场地治安管理计划和应对突发治安事件的紧急预案</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6.1.5 文明施工</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合同当事人对文明施工的要求：</w:t>
      </w:r>
      <w:r>
        <w:rPr>
          <w:rFonts w:hint="eastAsia" w:ascii="宋体" w:hAnsi="宋体" w:cs="宋体"/>
          <w:sz w:val="24"/>
          <w:szCs w:val="24"/>
          <w:highlight w:val="none"/>
          <w:u w:val="single"/>
        </w:rPr>
        <w:t>必须符合南京市最新文件规定的标准实行文明施工管理。</w:t>
      </w:r>
    </w:p>
    <w:p>
      <w:pPr>
        <w:spacing w:line="360" w:lineRule="auto"/>
        <w:ind w:firstLine="480" w:firstLineChars="200"/>
        <w:jc w:val="left"/>
        <w:rPr>
          <w:rFonts w:ascii="宋体" w:hAnsi="宋体" w:cs="宋体"/>
          <w:color w:val="FF0000"/>
          <w:sz w:val="24"/>
          <w:szCs w:val="24"/>
          <w:highlight w:val="none"/>
        </w:rPr>
      </w:pPr>
      <w:r>
        <w:rPr>
          <w:rFonts w:hint="eastAsia" w:ascii="宋体" w:hAnsi="宋体" w:cs="宋体"/>
          <w:sz w:val="24"/>
          <w:szCs w:val="24"/>
          <w:highlight w:val="none"/>
        </w:rPr>
        <w:t>6.1.6 关于安全文明施工费支付比例和支付期限的约定：</w:t>
      </w:r>
      <w:r>
        <w:rPr>
          <w:rFonts w:hint="eastAsia" w:ascii="宋体" w:hAnsi="宋体" w:cs="宋体"/>
          <w:sz w:val="24"/>
          <w:szCs w:val="24"/>
          <w:highlight w:val="none"/>
          <w:u w:val="single"/>
        </w:rPr>
        <w:t>工程开工前，发包人包含在预付款内向承包人预付当年施工进度计划的现场安全文明施工措施费基本费的60%，其余部分按照提前安排的原则进行分解，于工程竣工前包含在工程款内付清(发包人不单独支付该费用)，标化增加费凭获奖证书和《南京市现场安全文明施工措施费测定表》包含在竣工验收后的工程款中支付</w:t>
      </w:r>
      <w:r>
        <w:rPr>
          <w:rFonts w:hint="eastAsia" w:ascii="宋体" w:hAnsi="宋体" w:cs="宋体"/>
          <w:sz w:val="24"/>
          <w:szCs w:val="24"/>
          <w:highlight w:val="none"/>
        </w:rPr>
        <w:t>。</w:t>
      </w:r>
    </w:p>
    <w:p>
      <w:pPr>
        <w:keepNext/>
        <w:keepLines/>
        <w:numPr>
          <w:ilvl w:val="3"/>
          <w:numId w:val="7"/>
        </w:numPr>
        <w:spacing w:before="120" w:after="120" w:line="360" w:lineRule="auto"/>
        <w:outlineLvl w:val="3"/>
        <w:rPr>
          <w:rFonts w:ascii="宋体" w:hAnsi="宋体" w:cs="宋体"/>
          <w:bCs/>
          <w:sz w:val="24"/>
          <w:szCs w:val="24"/>
          <w:highlight w:val="none"/>
        </w:rPr>
      </w:pP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7. 工期和进度</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7.1 施工组织设计</w:t>
      </w:r>
    </w:p>
    <w:p>
      <w:pPr>
        <w:autoSpaceDE w:val="0"/>
        <w:autoSpaceDN w:val="0"/>
        <w:adjustRightInd w:val="0"/>
        <w:spacing w:line="360" w:lineRule="auto"/>
        <w:ind w:firstLine="480" w:firstLineChars="200"/>
        <w:jc w:val="left"/>
        <w:rPr>
          <w:rFonts w:ascii="宋体" w:hAnsi="宋体" w:cs="宋体"/>
          <w:kern w:val="0"/>
          <w:sz w:val="24"/>
          <w:szCs w:val="24"/>
          <w:highlight w:val="none"/>
        </w:rPr>
      </w:pPr>
      <w:r>
        <w:rPr>
          <w:rFonts w:hint="eastAsia" w:ascii="宋体" w:hAnsi="宋体" w:cs="宋体"/>
          <w:sz w:val="24"/>
          <w:szCs w:val="24"/>
          <w:highlight w:val="none"/>
        </w:rPr>
        <w:t>7.1.1 合</w:t>
      </w:r>
      <w:r>
        <w:rPr>
          <w:rFonts w:hint="eastAsia" w:ascii="宋体" w:hAnsi="宋体" w:cs="宋体"/>
          <w:kern w:val="0"/>
          <w:sz w:val="24"/>
          <w:szCs w:val="24"/>
          <w:highlight w:val="none"/>
        </w:rPr>
        <w:t>同当事人约定的施工组织设计应包括的其他内容：</w:t>
      </w:r>
      <w:r>
        <w:rPr>
          <w:rFonts w:hint="eastAsia" w:ascii="宋体" w:hAnsi="宋体" w:cs="宋体"/>
          <w:sz w:val="24"/>
          <w:szCs w:val="24"/>
          <w:highlight w:val="none"/>
          <w:u w:val="single"/>
        </w:rPr>
        <w:t>无</w:t>
      </w:r>
      <w:r>
        <w:rPr>
          <w:rFonts w:hint="eastAsia" w:ascii="宋体" w:hAnsi="宋体" w:cs="宋体"/>
          <w:sz w:val="24"/>
          <w:szCs w:val="24"/>
          <w:highlight w:val="none"/>
        </w:rPr>
        <w:t>。</w:t>
      </w:r>
    </w:p>
    <w:p>
      <w:pPr>
        <w:autoSpaceDE w:val="0"/>
        <w:autoSpaceDN w:val="0"/>
        <w:adjustRightInd w:val="0"/>
        <w:spacing w:line="360" w:lineRule="auto"/>
        <w:ind w:firstLine="480" w:firstLineChars="200"/>
        <w:jc w:val="left"/>
        <w:rPr>
          <w:rFonts w:ascii="宋体" w:hAnsi="宋体" w:cs="宋体"/>
          <w:kern w:val="0"/>
          <w:sz w:val="24"/>
          <w:szCs w:val="24"/>
          <w:highlight w:val="none"/>
        </w:rPr>
      </w:pPr>
      <w:r>
        <w:rPr>
          <w:rFonts w:hint="eastAsia" w:ascii="宋体" w:hAnsi="宋体" w:cs="宋体"/>
          <w:sz w:val="24"/>
          <w:szCs w:val="24"/>
          <w:highlight w:val="none"/>
        </w:rPr>
        <w:t xml:space="preserve">7.1.2 </w:t>
      </w:r>
      <w:r>
        <w:rPr>
          <w:rFonts w:hint="eastAsia" w:ascii="宋体" w:hAnsi="宋体" w:cs="宋体"/>
          <w:kern w:val="0"/>
          <w:sz w:val="24"/>
          <w:szCs w:val="24"/>
          <w:highlight w:val="none"/>
        </w:rPr>
        <w:t>施工组织设计的提交和修改</w:t>
      </w:r>
    </w:p>
    <w:p>
      <w:pPr>
        <w:autoSpaceDE w:val="0"/>
        <w:autoSpaceDN w:val="0"/>
        <w:adjustRightInd w:val="0"/>
        <w:spacing w:line="360" w:lineRule="auto"/>
        <w:ind w:firstLine="480" w:firstLineChars="200"/>
        <w:jc w:val="left"/>
        <w:rPr>
          <w:rFonts w:ascii="宋体" w:hAnsi="宋体" w:cs="宋体"/>
          <w:sz w:val="24"/>
          <w:szCs w:val="24"/>
          <w:highlight w:val="none"/>
        </w:rPr>
      </w:pPr>
      <w:r>
        <w:rPr>
          <w:rFonts w:hint="eastAsia" w:ascii="宋体" w:hAnsi="宋体" w:cs="宋体"/>
          <w:kern w:val="0"/>
          <w:sz w:val="24"/>
          <w:szCs w:val="24"/>
          <w:highlight w:val="none"/>
        </w:rPr>
        <w:t>承包人提交详细施工组织设计的期限的约定：</w:t>
      </w:r>
      <w:r>
        <w:rPr>
          <w:rFonts w:hint="eastAsia" w:ascii="宋体" w:hAnsi="宋体" w:cs="宋体"/>
          <w:sz w:val="24"/>
          <w:szCs w:val="24"/>
          <w:highlight w:val="none"/>
          <w:u w:val="single"/>
        </w:rPr>
        <w:t>开工日期7天前</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发包人和监理人在收到详细的施工组织设计后确认或提出修改意见的期限：</w:t>
      </w:r>
      <w:r>
        <w:rPr>
          <w:rFonts w:hint="eastAsia" w:ascii="宋体" w:hAnsi="宋体" w:cs="宋体"/>
          <w:sz w:val="24"/>
          <w:szCs w:val="24"/>
          <w:highlight w:val="none"/>
          <w:u w:val="single"/>
        </w:rPr>
        <w:t>7天内</w:t>
      </w:r>
      <w:r>
        <w:rPr>
          <w:rFonts w:hint="eastAsia" w:ascii="宋体" w:hAnsi="宋体" w:cs="宋体"/>
          <w:sz w:val="24"/>
          <w:szCs w:val="24"/>
          <w:highlight w:val="none"/>
        </w:rPr>
        <w:t>。</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7.2 施工进度计划</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7.2.2 施工进度计划的修订</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发包人和监理人在收到修订的施工进度计划后确认或提出修改意见的期限：</w:t>
      </w:r>
      <w:r>
        <w:rPr>
          <w:rFonts w:hint="eastAsia" w:ascii="宋体" w:hAnsi="宋体" w:cs="宋体"/>
          <w:sz w:val="24"/>
          <w:szCs w:val="24"/>
          <w:highlight w:val="none"/>
          <w:u w:val="single"/>
        </w:rPr>
        <w:t>7天内</w:t>
      </w:r>
      <w:r>
        <w:rPr>
          <w:rFonts w:hint="eastAsia" w:ascii="宋体" w:hAnsi="宋体" w:cs="宋体"/>
          <w:sz w:val="24"/>
          <w:szCs w:val="24"/>
          <w:highlight w:val="none"/>
        </w:rPr>
        <w:t>。</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7.3 开工</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7.3.1 开工准备</w:t>
      </w:r>
    </w:p>
    <w:p>
      <w:pPr>
        <w:spacing w:line="360" w:lineRule="auto"/>
        <w:ind w:firstLine="645"/>
        <w:jc w:val="left"/>
        <w:rPr>
          <w:rFonts w:ascii="宋体" w:hAnsi="宋体" w:cs="宋体"/>
          <w:sz w:val="24"/>
          <w:szCs w:val="24"/>
          <w:highlight w:val="none"/>
          <w:u w:val="single"/>
        </w:rPr>
      </w:pPr>
      <w:r>
        <w:rPr>
          <w:rFonts w:hint="eastAsia" w:ascii="宋体" w:hAnsi="宋体" w:cs="宋体"/>
          <w:sz w:val="24"/>
          <w:szCs w:val="24"/>
          <w:highlight w:val="none"/>
        </w:rPr>
        <w:t>关于承包人提交</w:t>
      </w:r>
      <w:r>
        <w:rPr>
          <w:rFonts w:hint="eastAsia" w:ascii="宋体" w:hAnsi="宋体" w:cs="宋体"/>
          <w:kern w:val="0"/>
          <w:sz w:val="24"/>
          <w:szCs w:val="24"/>
          <w:highlight w:val="none"/>
        </w:rPr>
        <w:t>工程开工报审表的期限：</w:t>
      </w:r>
      <w:r>
        <w:rPr>
          <w:rFonts w:hint="eastAsia" w:ascii="宋体" w:hAnsi="宋体" w:cs="宋体"/>
          <w:sz w:val="24"/>
          <w:szCs w:val="24"/>
          <w:highlight w:val="none"/>
          <w:u w:val="single"/>
        </w:rPr>
        <w:t>在工程准备工作完成后，计划开工日期7天前提交开工报审表</w:t>
      </w:r>
      <w:r>
        <w:rPr>
          <w:rFonts w:hint="eastAsia" w:ascii="宋体" w:hAnsi="宋体" w:cs="宋体"/>
          <w:sz w:val="24"/>
          <w:szCs w:val="24"/>
          <w:highlight w:val="none"/>
        </w:rPr>
        <w:t>。</w:t>
      </w:r>
    </w:p>
    <w:p>
      <w:pPr>
        <w:spacing w:line="360" w:lineRule="auto"/>
        <w:ind w:firstLine="645"/>
        <w:jc w:val="left"/>
        <w:rPr>
          <w:rFonts w:ascii="宋体" w:hAnsi="宋体" w:cs="宋体"/>
          <w:sz w:val="24"/>
          <w:szCs w:val="24"/>
          <w:highlight w:val="none"/>
        </w:rPr>
      </w:pPr>
      <w:r>
        <w:rPr>
          <w:rFonts w:hint="eastAsia" w:ascii="宋体" w:hAnsi="宋体" w:cs="宋体"/>
          <w:sz w:val="24"/>
          <w:szCs w:val="24"/>
          <w:highlight w:val="none"/>
        </w:rPr>
        <w:t>关于发包人应完成的其他开工准备工作及期限：</w:t>
      </w:r>
      <w:r>
        <w:rPr>
          <w:rFonts w:hint="eastAsia" w:ascii="宋体" w:hAnsi="宋体" w:cs="宋体"/>
          <w:sz w:val="24"/>
          <w:szCs w:val="24"/>
          <w:highlight w:val="none"/>
          <w:u w:val="single"/>
        </w:rPr>
        <w:t>无</w:t>
      </w:r>
      <w:r>
        <w:rPr>
          <w:rFonts w:hint="eastAsia" w:ascii="宋体" w:hAnsi="宋体" w:cs="宋体"/>
          <w:sz w:val="24"/>
          <w:szCs w:val="24"/>
          <w:highlight w:val="none"/>
        </w:rPr>
        <w:t>。</w:t>
      </w:r>
    </w:p>
    <w:p>
      <w:pPr>
        <w:spacing w:line="360" w:lineRule="auto"/>
        <w:ind w:firstLine="645"/>
        <w:jc w:val="left"/>
        <w:rPr>
          <w:rFonts w:ascii="宋体" w:hAnsi="宋体" w:cs="宋体"/>
          <w:sz w:val="24"/>
          <w:szCs w:val="24"/>
          <w:highlight w:val="none"/>
        </w:rPr>
      </w:pPr>
      <w:r>
        <w:rPr>
          <w:rFonts w:hint="eastAsia" w:ascii="宋体" w:hAnsi="宋体" w:cs="宋体"/>
          <w:sz w:val="24"/>
          <w:szCs w:val="24"/>
          <w:highlight w:val="none"/>
        </w:rPr>
        <w:t>关于承包人应完成的其他开工准备工作及期限：</w:t>
      </w:r>
      <w:r>
        <w:rPr>
          <w:rFonts w:hint="eastAsia" w:ascii="宋体" w:hAnsi="宋体" w:cs="宋体"/>
          <w:sz w:val="24"/>
          <w:szCs w:val="24"/>
          <w:highlight w:val="none"/>
          <w:u w:val="single"/>
        </w:rPr>
        <w:t>无</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7.3.2开工通知</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因发包人原因造成监理人未能在计划开工日期之日起</w:t>
      </w:r>
      <w:r>
        <w:rPr>
          <w:rFonts w:hint="eastAsia" w:ascii="宋体" w:hAnsi="宋体" w:cs="宋体"/>
          <w:sz w:val="24"/>
          <w:szCs w:val="24"/>
          <w:highlight w:val="none"/>
          <w:u w:val="single"/>
        </w:rPr>
        <w:t>90</w:t>
      </w:r>
      <w:r>
        <w:rPr>
          <w:rFonts w:hint="eastAsia" w:ascii="宋体" w:hAnsi="宋体" w:cs="宋体"/>
          <w:sz w:val="24"/>
          <w:szCs w:val="24"/>
          <w:highlight w:val="none"/>
        </w:rPr>
        <w:t>天内发出开工通知的，承包人有权提出价格调整要求，或者解除合同。</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7.4 测量放线</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rPr>
        <w:t>7.4.1发包人通过监理人向承包人提供测量基准点、基准线和水准点及其书面资料的期限：</w:t>
      </w:r>
      <w:r>
        <w:rPr>
          <w:rFonts w:hint="eastAsia" w:ascii="宋体" w:hAnsi="宋体" w:cs="宋体"/>
          <w:sz w:val="24"/>
          <w:szCs w:val="24"/>
          <w:highlight w:val="none"/>
          <w:u w:val="single"/>
        </w:rPr>
        <w:t>开工日期7天前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有承包人承担</w:t>
      </w:r>
      <w:r>
        <w:rPr>
          <w:rFonts w:hint="eastAsia" w:ascii="宋体" w:hAnsi="宋体" w:cs="宋体"/>
          <w:sz w:val="24"/>
          <w:szCs w:val="24"/>
          <w:highlight w:val="none"/>
        </w:rPr>
        <w:t>。</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7.5 工期延误</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7.5.1 因发包人原因导致工期延误</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因发包人原因导致工期延误的其他情形：</w:t>
      </w:r>
      <w:r>
        <w:rPr>
          <w:rFonts w:hint="eastAsia" w:ascii="宋体" w:hAnsi="宋体" w:cs="宋体"/>
          <w:sz w:val="24"/>
          <w:szCs w:val="24"/>
          <w:highlight w:val="none"/>
          <w:u w:val="single"/>
        </w:rPr>
        <w:t>非承包人原因造成政府部门指令的停工、暂停施工作业</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7.5.2 因承包人原因导致工期延误</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rPr>
        <w:t>因承包人原因造成工期延误，逾期竣工违约金的计算方法为：</w:t>
      </w:r>
    </w:p>
    <w:p>
      <w:pPr>
        <w:spacing w:line="360" w:lineRule="auto"/>
        <w:jc w:val="left"/>
        <w:rPr>
          <w:rFonts w:ascii="宋体" w:hAnsi="宋体" w:cs="宋体"/>
          <w:sz w:val="24"/>
          <w:szCs w:val="24"/>
          <w:highlight w:val="none"/>
        </w:rPr>
      </w:pPr>
      <w:r>
        <w:rPr>
          <w:rFonts w:hint="eastAsia" w:ascii="宋体" w:hAnsi="宋体" w:cs="宋体"/>
          <w:sz w:val="24"/>
          <w:szCs w:val="24"/>
          <w:highlight w:val="none"/>
          <w:u w:val="single"/>
        </w:rPr>
        <w:t>违约金为合同价的</w:t>
      </w:r>
      <w:r>
        <w:rPr>
          <w:rFonts w:hint="eastAsia" w:ascii="宋体" w:hAnsi="宋体" w:cs="宋体"/>
          <w:sz w:val="24"/>
          <w:szCs w:val="24"/>
          <w:highlight w:val="none"/>
          <w:u w:val="single"/>
          <w:lang w:eastAsia="zh-CN"/>
        </w:rPr>
        <w:t>一万元</w:t>
      </w:r>
      <w:r>
        <w:rPr>
          <w:rFonts w:hint="eastAsia" w:ascii="宋体" w:hAnsi="宋体" w:cs="宋体"/>
          <w:sz w:val="24"/>
          <w:szCs w:val="24"/>
          <w:highlight w:val="none"/>
          <w:u w:val="single"/>
        </w:rPr>
        <w:t>/天向发包人支付逾期竣工违约金，当工期延误达到九天时，发包人有要求承包人退场，并赔偿发包人一切损失</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因承包人原因造成工期延误，逾期竣工违约金的上限：</w:t>
      </w:r>
      <w:r>
        <w:rPr>
          <w:rFonts w:hint="eastAsia" w:ascii="宋体" w:hAnsi="宋体" w:cs="宋体"/>
          <w:sz w:val="24"/>
          <w:szCs w:val="24"/>
          <w:highlight w:val="none"/>
          <w:u w:val="single"/>
        </w:rPr>
        <w:t>总额不超过合同价款的</w:t>
      </w:r>
      <w:r>
        <w:rPr>
          <w:rFonts w:hint="eastAsia" w:ascii="宋体" w:hAnsi="宋体" w:cs="宋体"/>
          <w:sz w:val="24"/>
          <w:szCs w:val="24"/>
          <w:highlight w:val="none"/>
          <w:u w:val="single"/>
          <w:lang w:val="en-US" w:eastAsia="zh-CN"/>
        </w:rPr>
        <w:t>6</w:t>
      </w:r>
      <w:r>
        <w:rPr>
          <w:rFonts w:hint="eastAsia" w:ascii="宋体" w:hAnsi="宋体" w:cs="宋体"/>
          <w:sz w:val="24"/>
          <w:szCs w:val="24"/>
          <w:highlight w:val="none"/>
          <w:u w:val="single"/>
        </w:rPr>
        <w:t>%</w:t>
      </w:r>
      <w:r>
        <w:rPr>
          <w:rFonts w:hint="eastAsia" w:ascii="宋体" w:hAnsi="宋体" w:cs="宋体"/>
          <w:sz w:val="24"/>
          <w:szCs w:val="24"/>
          <w:highlight w:val="none"/>
        </w:rPr>
        <w:t>。</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7.6 不利物质条件</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不利物质条件的其他情形和有关约定：</w:t>
      </w:r>
      <w:r>
        <w:rPr>
          <w:rFonts w:hint="eastAsia" w:ascii="宋体" w:hAnsi="宋体" w:cs="宋体"/>
          <w:sz w:val="24"/>
          <w:szCs w:val="24"/>
          <w:highlight w:val="none"/>
          <w:u w:val="single"/>
        </w:rPr>
        <w:t>无</w:t>
      </w:r>
      <w:r>
        <w:rPr>
          <w:rFonts w:hint="eastAsia" w:ascii="宋体" w:hAnsi="宋体" w:cs="宋体"/>
          <w:sz w:val="24"/>
          <w:szCs w:val="24"/>
          <w:highlight w:val="none"/>
        </w:rPr>
        <w:t>。</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7.7异常恶劣的气候条件</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发包人和承包人同意以下情形视为异常恶劣的气候条件：</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u w:val="single"/>
        </w:rPr>
        <w:t>6级以上持续24小时的大风；</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（2）</w:t>
      </w:r>
      <w:r>
        <w:rPr>
          <w:rFonts w:hint="eastAsia" w:ascii="宋体" w:hAnsi="宋体" w:cs="宋体"/>
          <w:sz w:val="24"/>
          <w:szCs w:val="24"/>
          <w:highlight w:val="none"/>
          <w:u w:val="single"/>
        </w:rPr>
        <w:t>持续降雨24小时且降雨量200mm以上；下雪为30mm以上</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rPr>
        <w:t>（3）</w:t>
      </w:r>
      <w:r>
        <w:rPr>
          <w:rFonts w:hint="eastAsia" w:ascii="宋体" w:hAnsi="宋体" w:cs="宋体"/>
          <w:sz w:val="24"/>
          <w:szCs w:val="24"/>
          <w:highlight w:val="none"/>
          <w:u w:val="single"/>
        </w:rPr>
        <w:t>40℃及以上持续24小时的高温。</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7.9 提前竣工的奖励</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7.9.2提前竣工的奖励：</w:t>
      </w:r>
      <w:r>
        <w:rPr>
          <w:rFonts w:hint="eastAsia" w:ascii="宋体" w:hAnsi="宋体" w:cs="宋体"/>
          <w:sz w:val="24"/>
          <w:szCs w:val="24"/>
          <w:highlight w:val="none"/>
          <w:u w:val="single"/>
        </w:rPr>
        <w:t>无</w:t>
      </w:r>
      <w:r>
        <w:rPr>
          <w:rFonts w:hint="eastAsia" w:ascii="宋体" w:hAnsi="宋体" w:cs="宋体"/>
          <w:sz w:val="24"/>
          <w:szCs w:val="24"/>
          <w:highlight w:val="none"/>
        </w:rPr>
        <w:t>。</w:t>
      </w:r>
    </w:p>
    <w:p>
      <w:pPr>
        <w:keepNext/>
        <w:keepLines/>
        <w:numPr>
          <w:ilvl w:val="3"/>
          <w:numId w:val="7"/>
        </w:numPr>
        <w:spacing w:before="120" w:after="120" w:line="360" w:lineRule="auto"/>
        <w:outlineLvl w:val="3"/>
        <w:rPr>
          <w:rFonts w:ascii="宋体" w:hAnsi="宋体" w:cs="宋体"/>
          <w:bCs/>
          <w:sz w:val="24"/>
          <w:szCs w:val="24"/>
          <w:highlight w:val="none"/>
        </w:rPr>
      </w:pP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8. 材料与设备</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8.4材料与工程设备的保管与使用</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rPr>
        <w:t>8.4.1发包人供应的材料设备的保管费用的承担：</w:t>
      </w:r>
      <w:r>
        <w:rPr>
          <w:rFonts w:hint="eastAsia" w:ascii="宋体" w:hAnsi="宋体" w:cs="宋体"/>
          <w:sz w:val="24"/>
          <w:szCs w:val="24"/>
          <w:highlight w:val="none"/>
          <w:u w:val="single"/>
        </w:rPr>
        <w:t>发包人供应的材料和工程设备，承包人清点后由承包人妥善保管，保管费用由发包人承担，保管费用为发包人供应的材料和工程设备价的1%。</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u w:val="single"/>
        </w:rPr>
        <w:t>A、发包方供应的材料按要求及时供应到现场并经验收合格后由承包方材料员及时签收并定期到发包单位材料部门更换正式出库材料单，以便能及时正确的计算其应扣材料款与应支付的工程进度款项。</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u w:val="single"/>
        </w:rPr>
        <w:t>B、每次支付工程款时按投标数量以暂定价格的乘积扣回，工程竣工结算经审计部门审计结束后的付款时，必须扣回全部甲供材料价款；</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u w:val="single"/>
        </w:rPr>
        <w:t>C、如承包人的甲供材实际领用量超出最终审计核定的材料用量，其超出部分按照市场价或暂定价（按价高者计算）增收10％的管理费，予以扣回超领材料款；</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u w:val="single"/>
        </w:rPr>
        <w:t xml:space="preserve">D、如承包人的甲供材实际领用量低于最终审计核定的材料用量，在缺少发包人委托采购的书面证明和材料认价单的前提下，根据审计最终核定的材料用量，一律按照甲供材料暂定价格全部扣回。 </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u w:val="single"/>
        </w:rPr>
        <w:t>因承包人原因发生丢失毁损的，由承包人负责赔偿；监理人未通知承包人清点的，承包人不负责材料和工程设备的保管，由此导致丢失毁损的由发包人负责。</w:t>
      </w:r>
      <w:r>
        <w:rPr>
          <w:rFonts w:hint="eastAsia" w:ascii="宋体" w:hAnsi="宋体" w:cs="宋体"/>
          <w:sz w:val="24"/>
          <w:szCs w:val="24"/>
          <w:highlight w:val="none"/>
        </w:rPr>
        <w:t>。</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8.6 样品</w:t>
      </w:r>
    </w:p>
    <w:p>
      <w:pPr>
        <w:autoSpaceDE w:val="0"/>
        <w:autoSpaceDN w:val="0"/>
        <w:adjustRightInd w:val="0"/>
        <w:spacing w:line="36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8.6.1</w:t>
      </w:r>
      <w:r>
        <w:rPr>
          <w:rFonts w:hint="eastAsia" w:ascii="宋体" w:hAnsi="宋体" w:cs="宋体"/>
          <w:kern w:val="0"/>
          <w:sz w:val="24"/>
          <w:szCs w:val="24"/>
          <w:highlight w:val="none"/>
        </w:rPr>
        <w:tab/>
      </w:r>
      <w:r>
        <w:rPr>
          <w:rFonts w:hint="eastAsia" w:ascii="宋体" w:hAnsi="宋体" w:cs="宋体"/>
          <w:kern w:val="0"/>
          <w:sz w:val="24"/>
          <w:szCs w:val="24"/>
          <w:highlight w:val="none"/>
        </w:rPr>
        <w:t>样品的报送与封存</w:t>
      </w:r>
    </w:p>
    <w:p>
      <w:pPr>
        <w:autoSpaceDE w:val="0"/>
        <w:autoSpaceDN w:val="0"/>
        <w:adjustRightInd w:val="0"/>
        <w:spacing w:line="360" w:lineRule="auto"/>
        <w:ind w:firstLine="480" w:firstLineChars="200"/>
        <w:jc w:val="left"/>
        <w:rPr>
          <w:rFonts w:ascii="宋体" w:hAnsi="宋体" w:cs="宋体"/>
          <w:sz w:val="24"/>
          <w:szCs w:val="24"/>
          <w:highlight w:val="none"/>
        </w:rPr>
      </w:pPr>
      <w:r>
        <w:rPr>
          <w:rFonts w:hint="eastAsia" w:ascii="宋体" w:hAnsi="宋体" w:cs="宋体"/>
          <w:kern w:val="0"/>
          <w:sz w:val="24"/>
          <w:szCs w:val="24"/>
          <w:highlight w:val="none"/>
        </w:rPr>
        <w:t>需要承包人报送样品的材料或工程设备，样品的种类、名称、规格、数量要求：</w:t>
      </w:r>
      <w:r>
        <w:rPr>
          <w:rFonts w:hint="eastAsia" w:ascii="宋体" w:hAnsi="宋体" w:cs="宋体"/>
          <w:sz w:val="24"/>
          <w:szCs w:val="24"/>
          <w:highlight w:val="none"/>
          <w:u w:val="single"/>
        </w:rPr>
        <w:t>在施工过程中按发包人需求确定</w:t>
      </w:r>
      <w:r>
        <w:rPr>
          <w:rFonts w:hint="eastAsia" w:ascii="宋体" w:hAnsi="宋体" w:cs="宋体"/>
          <w:sz w:val="24"/>
          <w:szCs w:val="24"/>
          <w:highlight w:val="none"/>
        </w:rPr>
        <w:t>。</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8.8 施工设备和临时设施</w:t>
      </w:r>
    </w:p>
    <w:p>
      <w:pPr>
        <w:autoSpaceDE w:val="0"/>
        <w:autoSpaceDN w:val="0"/>
        <w:adjustRightIn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8.8.1 承包人提供的施工设备和临时设施</w:t>
      </w:r>
    </w:p>
    <w:p>
      <w:pPr>
        <w:autoSpaceDE w:val="0"/>
        <w:autoSpaceDN w:val="0"/>
        <w:adjustRightIn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关于修建临时设施费用承担的约定：</w:t>
      </w:r>
      <w:r>
        <w:rPr>
          <w:rFonts w:hint="eastAsia" w:ascii="宋体" w:hAnsi="宋体" w:cs="宋体"/>
          <w:sz w:val="24"/>
          <w:szCs w:val="24"/>
          <w:highlight w:val="none"/>
          <w:u w:val="single"/>
        </w:rPr>
        <w:t>承包人自行承担</w:t>
      </w:r>
      <w:r>
        <w:rPr>
          <w:rFonts w:hint="eastAsia" w:ascii="宋体" w:hAnsi="宋体" w:cs="宋体"/>
          <w:sz w:val="24"/>
          <w:szCs w:val="24"/>
          <w:highlight w:val="none"/>
        </w:rPr>
        <w:t>。</w:t>
      </w:r>
    </w:p>
    <w:p>
      <w:pPr>
        <w:keepNext/>
        <w:keepLines/>
        <w:numPr>
          <w:ilvl w:val="3"/>
          <w:numId w:val="7"/>
        </w:numPr>
        <w:spacing w:before="120" w:after="120" w:line="360" w:lineRule="auto"/>
        <w:outlineLvl w:val="3"/>
        <w:rPr>
          <w:rFonts w:ascii="宋体" w:hAnsi="宋体" w:cs="宋体"/>
          <w:bCs/>
          <w:sz w:val="24"/>
          <w:szCs w:val="24"/>
          <w:highlight w:val="none"/>
        </w:rPr>
      </w:pP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9. 试验与检验</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9.1试验设备与试验人员</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9.1.2 试验设备</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施工现场需要配置的试验场所：</w:t>
      </w:r>
      <w:r>
        <w:rPr>
          <w:rFonts w:hint="eastAsia" w:ascii="宋体" w:hAnsi="宋体" w:cs="宋体"/>
          <w:sz w:val="24"/>
          <w:szCs w:val="24"/>
          <w:highlight w:val="none"/>
          <w:u w:val="single"/>
        </w:rPr>
        <w:t>无</w:t>
      </w:r>
      <w:r>
        <w:rPr>
          <w:rFonts w:hint="eastAsia" w:ascii="宋体" w:hAnsi="宋体" w:cs="宋体"/>
          <w:sz w:val="24"/>
          <w:szCs w:val="24"/>
          <w:highlight w:val="none"/>
        </w:rPr>
        <w:t xml:space="preserve">。 </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施工现场需要配备的试验设备：</w:t>
      </w:r>
      <w:r>
        <w:rPr>
          <w:rFonts w:hint="eastAsia" w:ascii="宋体" w:hAnsi="宋体" w:cs="宋体"/>
          <w:sz w:val="24"/>
          <w:szCs w:val="24"/>
          <w:highlight w:val="none"/>
          <w:u w:val="single"/>
        </w:rPr>
        <w:t>无</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施工现场需要具备的其他试验条件：</w:t>
      </w:r>
      <w:r>
        <w:rPr>
          <w:rFonts w:hint="eastAsia" w:ascii="宋体" w:hAnsi="宋体" w:cs="宋体"/>
          <w:sz w:val="24"/>
          <w:szCs w:val="24"/>
          <w:highlight w:val="none"/>
          <w:u w:val="single"/>
        </w:rPr>
        <w:t>无</w:t>
      </w:r>
      <w:r>
        <w:rPr>
          <w:rFonts w:hint="eastAsia" w:ascii="宋体" w:hAnsi="宋体" w:cs="宋体"/>
          <w:sz w:val="24"/>
          <w:szCs w:val="24"/>
          <w:highlight w:val="none"/>
        </w:rPr>
        <w:t>。</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 xml:space="preserve">9.4 现场工艺试验 </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现场工艺试验的有关约定：</w:t>
      </w:r>
      <w:r>
        <w:rPr>
          <w:rFonts w:hint="eastAsia" w:ascii="宋体" w:hAnsi="宋体" w:cs="宋体"/>
          <w:sz w:val="24"/>
          <w:szCs w:val="24"/>
          <w:highlight w:val="none"/>
          <w:u w:val="single"/>
        </w:rPr>
        <w:t>无</w:t>
      </w:r>
      <w:r>
        <w:rPr>
          <w:rFonts w:hint="eastAsia" w:ascii="宋体" w:hAnsi="宋体" w:cs="宋体"/>
          <w:sz w:val="24"/>
          <w:szCs w:val="24"/>
          <w:highlight w:val="none"/>
        </w:rPr>
        <w:t>。</w:t>
      </w:r>
    </w:p>
    <w:p>
      <w:pPr>
        <w:keepNext/>
        <w:keepLines/>
        <w:numPr>
          <w:ilvl w:val="3"/>
          <w:numId w:val="7"/>
        </w:numPr>
        <w:spacing w:before="120" w:after="120" w:line="360" w:lineRule="auto"/>
        <w:outlineLvl w:val="3"/>
        <w:rPr>
          <w:rFonts w:ascii="宋体" w:hAnsi="宋体" w:cs="宋体"/>
          <w:bCs/>
          <w:sz w:val="24"/>
          <w:szCs w:val="24"/>
          <w:highlight w:val="none"/>
        </w:rPr>
      </w:pP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10. 变更</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10.1变更的范围</w:t>
      </w:r>
    </w:p>
    <w:p>
      <w:pPr>
        <w:spacing w:line="360" w:lineRule="auto"/>
        <w:ind w:firstLine="600"/>
        <w:jc w:val="left"/>
        <w:rPr>
          <w:rFonts w:ascii="宋体" w:hAnsi="宋体" w:cs="宋体"/>
          <w:sz w:val="24"/>
          <w:szCs w:val="24"/>
          <w:highlight w:val="none"/>
        </w:rPr>
      </w:pPr>
      <w:r>
        <w:rPr>
          <w:rFonts w:hint="eastAsia" w:ascii="宋体" w:hAnsi="宋体" w:cs="宋体"/>
          <w:sz w:val="24"/>
          <w:szCs w:val="24"/>
          <w:highlight w:val="none"/>
        </w:rPr>
        <w:t>关于变更的范围的约定：</w:t>
      </w:r>
      <w:r>
        <w:rPr>
          <w:rFonts w:hint="eastAsia" w:ascii="宋体" w:hAnsi="宋体" w:cs="宋体"/>
          <w:sz w:val="24"/>
          <w:szCs w:val="24"/>
          <w:highlight w:val="none"/>
          <w:u w:val="single"/>
        </w:rPr>
        <w:t>（1）增加或减少合同中任何工作，或追加额外的工作；（2）取消合同中任何工作，但转由他人实施的工作除外；（3）改变合同中任何工作的质量标准或其他特性；（4）改变工程的基线、标高、位置和尺寸</w:t>
      </w:r>
      <w:r>
        <w:rPr>
          <w:rFonts w:hint="eastAsia" w:ascii="宋体" w:hAnsi="宋体" w:cs="宋体"/>
          <w:sz w:val="24"/>
          <w:szCs w:val="24"/>
          <w:highlight w:val="none"/>
        </w:rPr>
        <w:t>。</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10.4 变更估价</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10.4.1 变更估价原则</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rPr>
        <w:t>关于变更估价的约定:</w:t>
      </w:r>
      <w:r>
        <w:rPr>
          <w:rFonts w:hint="eastAsia" w:ascii="宋体" w:hAnsi="宋体" w:cs="宋体"/>
          <w:sz w:val="24"/>
          <w:szCs w:val="24"/>
          <w:highlight w:val="none"/>
          <w:u w:val="single"/>
        </w:rPr>
        <w:t>（1）已标价工程量清单中有相同项目的，按照相同项目单价认定</w:t>
      </w:r>
      <w:r>
        <w:rPr>
          <w:rFonts w:hint="eastAsia" w:ascii="宋体" w:hAnsi="宋体" w:cs="宋体"/>
          <w:sz w:val="24"/>
          <w:szCs w:val="24"/>
          <w:highlight w:val="none"/>
          <w:u w:val="single"/>
          <w:lang w:eastAsia="zh-CN"/>
        </w:rPr>
        <w:t>；</w:t>
      </w:r>
      <w:r>
        <w:rPr>
          <w:rFonts w:hint="eastAsia" w:ascii="宋体" w:hAnsi="宋体" w:cs="宋体"/>
          <w:sz w:val="24"/>
          <w:szCs w:val="24"/>
          <w:highlight w:val="none"/>
          <w:u w:val="single"/>
        </w:rPr>
        <w:t xml:space="preserve"> </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u w:val="single"/>
        </w:rPr>
        <w:t xml:space="preserve">（2）已标价工程量清单中无相同项目，但有类似项目的，可在合理范围内参照类似项目的单价认定； </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u w:val="single"/>
        </w:rPr>
        <w:t xml:space="preserve">（3）已标价工程量清单中无相同项目及类似项目的，按照下列载明方法应由承包人根据变更工程资料、计量规则和计价办法、工程造价管理机构发布的信息价格和承包人报价浮动率【L＝（1－中标价／招标控制价）×100%】提出变更工程项目的单价，并报发包人确认后调整： </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u w:val="single"/>
        </w:rPr>
        <w:t xml:space="preserve">a）综合单价依据《建设工程工程量清单计价规范》（GB50500-2013）和《江苏省建筑与装饰工程计价定额》（2014年）《江苏省安装工程计价定额》、（2014年）《江苏省建设工程费用定额》（2014年）编制； </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u w:val="single"/>
        </w:rPr>
        <w:t xml:space="preserve">b）材料、设备依据合同基准期当月区建工局发布的江宁区地方材料及部分安装工程材料的预算指导价（江宁指导价中缺价的按同期南京市建设工程造价管理处与南京市工程造价管理协会共同发布的《南京工程造价管理》中的指导价）执行； </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u w:val="single"/>
        </w:rPr>
        <w:t xml:space="preserve">c）人工、机械价格依据合同基准期江苏省、南京市的相关文件执行； </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u w:val="single"/>
        </w:rPr>
        <w:t xml:space="preserve">d）施工方案及施工措施涉及到费用的，须经发包人批准后实施并计价；措施项目费应按下列原则调整：①单价措施项目变更原则同分部分项工程;②总价措施项目中以费率报价的,费率不变;总价项目中以费用报价的,按投标时口径折算成费率调整;③原措施费中没有的措施项目,由承包人根据措施项目变更情况，提出适当的措施费变更，经发包人确认后调整。如果承包人未事先将拟实施的方案提交给发包人确认，则应视为工程变更不引起措施项目费的调整或承包人放弃调整措施项目费的权利。 </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u w:val="single"/>
        </w:rPr>
        <w:t xml:space="preserve">e) 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 </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u w:val="single"/>
        </w:rPr>
        <w:t>f）具体价格调整的方法按本合同12.1.1条执行。</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10.5承包人的合理化建议</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监理人审查承包人合理化建议的期限：</w:t>
      </w:r>
      <w:r>
        <w:rPr>
          <w:rFonts w:hint="eastAsia" w:ascii="宋体" w:hAnsi="宋体" w:cs="宋体"/>
          <w:sz w:val="24"/>
          <w:szCs w:val="24"/>
          <w:highlight w:val="none"/>
          <w:u w:val="single"/>
        </w:rPr>
        <w:t>收到承包人提交的合理化建议后7天内</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发包人审批承包人合理化建议的期限：</w:t>
      </w:r>
      <w:r>
        <w:rPr>
          <w:rFonts w:hint="eastAsia" w:ascii="宋体" w:hAnsi="宋体" w:cs="宋体"/>
          <w:sz w:val="24"/>
          <w:szCs w:val="24"/>
          <w:highlight w:val="none"/>
          <w:u w:val="single"/>
        </w:rPr>
        <w:t>收到监理人报送的合理化建议后7天内</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rPr>
        <w:t>承包人提出的合理化建议降低了合同价格或者提高了工程经济效益的奖励的方法和金额为：</w:t>
      </w:r>
      <w:r>
        <w:rPr>
          <w:rFonts w:hint="eastAsia" w:ascii="宋体" w:hAnsi="宋体" w:cs="宋体"/>
          <w:sz w:val="24"/>
          <w:szCs w:val="24"/>
          <w:highlight w:val="none"/>
          <w:u w:val="single"/>
        </w:rPr>
        <w:t>无</w:t>
      </w:r>
      <w:r>
        <w:rPr>
          <w:rFonts w:hint="eastAsia" w:ascii="宋体" w:hAnsi="宋体" w:cs="宋体"/>
          <w:sz w:val="24"/>
          <w:szCs w:val="24"/>
          <w:highlight w:val="none"/>
        </w:rPr>
        <w:t>。</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10.7 暂估价</w:t>
      </w:r>
    </w:p>
    <w:p>
      <w:pPr>
        <w:spacing w:line="360" w:lineRule="auto"/>
        <w:ind w:firstLine="480" w:firstLineChars="200"/>
        <w:jc w:val="left"/>
        <w:rPr>
          <w:rFonts w:ascii="宋体" w:hAnsi="宋体" w:cs="宋体"/>
          <w:sz w:val="24"/>
          <w:szCs w:val="24"/>
          <w:highlight w:val="none"/>
        </w:rPr>
      </w:pPr>
      <w:r>
        <w:rPr>
          <w:rFonts w:hint="eastAsia" w:ascii="宋体" w:hAnsi="宋体" w:cs="宋体"/>
          <w:kern w:val="0"/>
          <w:sz w:val="24"/>
          <w:szCs w:val="24"/>
          <w:highlight w:val="none"/>
        </w:rPr>
        <w:t>暂估价材料和工程设备的明细详见附件11：《</w:t>
      </w:r>
      <w:r>
        <w:rPr>
          <w:rFonts w:hint="eastAsia" w:ascii="宋体" w:hAnsi="宋体" w:cs="宋体"/>
          <w:sz w:val="24"/>
          <w:szCs w:val="24"/>
          <w:highlight w:val="none"/>
        </w:rPr>
        <w:t>暂估价一览表》</w:t>
      </w:r>
      <w:r>
        <w:rPr>
          <w:rFonts w:hint="eastAsia" w:ascii="宋体" w:hAnsi="宋体" w:cs="宋体"/>
          <w:kern w:val="0"/>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10.7.1 依法必须招标的暂估价项目</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对于依法必须招标的暂估价项目的确认和批准采取第</w:t>
      </w:r>
      <w:r>
        <w:rPr>
          <w:rFonts w:hint="eastAsia" w:ascii="宋体" w:hAnsi="宋体" w:cs="宋体"/>
          <w:sz w:val="24"/>
          <w:szCs w:val="24"/>
          <w:highlight w:val="none"/>
          <w:u w:val="single"/>
        </w:rPr>
        <w:t>2</w:t>
      </w:r>
      <w:r>
        <w:rPr>
          <w:rFonts w:hint="eastAsia" w:ascii="宋体" w:hAnsi="宋体" w:cs="宋体"/>
          <w:sz w:val="24"/>
          <w:szCs w:val="24"/>
          <w:highlight w:val="none"/>
        </w:rPr>
        <w:t>种方式确定。</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10.7.2 不属于依法必须招标的暂估价项目</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对于不属于依法必须招标的暂估价项目的确认和批准采取第</w:t>
      </w:r>
      <w:r>
        <w:rPr>
          <w:rFonts w:hint="eastAsia" w:ascii="宋体" w:hAnsi="宋体" w:cs="宋体"/>
          <w:sz w:val="24"/>
          <w:szCs w:val="24"/>
          <w:highlight w:val="none"/>
          <w:u w:val="single"/>
        </w:rPr>
        <w:t> </w:t>
      </w:r>
      <w:r>
        <w:rPr>
          <w:rFonts w:hint="eastAsia" w:ascii="宋体" w:hAnsi="宋体" w:cs="宋体"/>
          <w:sz w:val="24"/>
          <w:szCs w:val="24"/>
          <w:highlight w:val="none"/>
        </w:rPr>
        <w:t>种方式确定。</w:t>
      </w:r>
    </w:p>
    <w:p>
      <w:pPr>
        <w:spacing w:line="360" w:lineRule="auto"/>
        <w:ind w:firstLine="480" w:firstLineChars="200"/>
        <w:jc w:val="left"/>
        <w:rPr>
          <w:rFonts w:ascii="宋体" w:hAnsi="宋体" w:cs="宋体"/>
          <w:kern w:val="0"/>
          <w:sz w:val="24"/>
          <w:szCs w:val="24"/>
          <w:highlight w:val="none"/>
        </w:rPr>
      </w:pPr>
      <w:r>
        <w:rPr>
          <w:rFonts w:hint="eastAsia" w:ascii="宋体" w:hAnsi="宋体" w:cs="宋体"/>
          <w:sz w:val="24"/>
          <w:szCs w:val="24"/>
          <w:highlight w:val="none"/>
        </w:rPr>
        <w:t>第3种方式：</w:t>
      </w:r>
      <w:r>
        <w:rPr>
          <w:rFonts w:hint="eastAsia" w:ascii="宋体" w:hAnsi="宋体" w:cs="宋体"/>
          <w:kern w:val="0"/>
          <w:sz w:val="24"/>
          <w:szCs w:val="24"/>
          <w:highlight w:val="none"/>
        </w:rPr>
        <w:t>承包人直接实施的暂估价项目</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承包人直接实施的暂估价项目的约定：</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10.8 暂列金额</w:t>
      </w:r>
    </w:p>
    <w:p>
      <w:pPr>
        <w:autoSpaceDE w:val="0"/>
        <w:autoSpaceDN w:val="0"/>
        <w:adjustRightInd w:val="0"/>
        <w:spacing w:line="36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合同当事人关于暂列金额使用的约定：</w:t>
      </w:r>
      <w:r>
        <w:rPr>
          <w:rFonts w:hint="eastAsia" w:ascii="宋体" w:hAnsi="宋体" w:cs="宋体"/>
          <w:sz w:val="24"/>
          <w:szCs w:val="24"/>
          <w:highlight w:val="none"/>
          <w:u w:val="single"/>
        </w:rPr>
        <w:t>暂列金额应按照发包人的要求使用，发包人的要求应通过监理人发出</w:t>
      </w:r>
      <w:r>
        <w:rPr>
          <w:rFonts w:hint="eastAsia" w:ascii="宋体" w:hAnsi="宋体" w:cs="宋体"/>
          <w:kern w:val="0"/>
          <w:sz w:val="24"/>
          <w:szCs w:val="24"/>
          <w:highlight w:val="none"/>
        </w:rPr>
        <w:t>。</w:t>
      </w:r>
    </w:p>
    <w:p>
      <w:pPr>
        <w:keepNext/>
        <w:keepLines/>
        <w:numPr>
          <w:ilvl w:val="3"/>
          <w:numId w:val="7"/>
        </w:numPr>
        <w:spacing w:before="120" w:after="120" w:line="360" w:lineRule="auto"/>
        <w:outlineLvl w:val="3"/>
        <w:rPr>
          <w:rFonts w:ascii="宋体" w:hAnsi="宋体" w:cs="宋体"/>
          <w:bCs/>
          <w:sz w:val="24"/>
          <w:szCs w:val="24"/>
          <w:highlight w:val="none"/>
        </w:rPr>
      </w:pP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11. 价格调整</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11.1 市场价格波动引起的调整</w:t>
      </w:r>
    </w:p>
    <w:p>
      <w:pPr>
        <w:spacing w:line="360" w:lineRule="auto"/>
        <w:ind w:firstLine="480" w:firstLineChars="200"/>
        <w:jc w:val="left"/>
        <w:rPr>
          <w:rFonts w:ascii="宋体" w:hAnsi="宋体" w:cs="宋体"/>
          <w:sz w:val="24"/>
          <w:szCs w:val="24"/>
          <w:highlight w:val="none"/>
        </w:rPr>
      </w:pPr>
      <w:r>
        <w:rPr>
          <w:rFonts w:hint="eastAsia" w:ascii="宋体" w:hAnsi="宋体" w:cs="宋体"/>
          <w:kern w:val="0"/>
          <w:sz w:val="24"/>
          <w:szCs w:val="24"/>
          <w:highlight w:val="none"/>
        </w:rPr>
        <w:t>市场价格波动是否调整合同价格的约定：</w:t>
      </w:r>
      <w:r>
        <w:rPr>
          <w:rFonts w:hint="eastAsia" w:ascii="宋体" w:hAnsi="宋体" w:cs="宋体"/>
          <w:sz w:val="24"/>
          <w:szCs w:val="24"/>
          <w:highlight w:val="none"/>
          <w:u w:val="single"/>
        </w:rPr>
        <w:t>不调整</w:t>
      </w:r>
      <w:r>
        <w:rPr>
          <w:rFonts w:hint="eastAsia" w:ascii="宋体" w:hAnsi="宋体" w:cs="宋体"/>
          <w:sz w:val="24"/>
          <w:szCs w:val="24"/>
          <w:highlight w:val="none"/>
        </w:rPr>
        <w:t>。</w:t>
      </w:r>
    </w:p>
    <w:p>
      <w:pPr>
        <w:keepNext/>
        <w:keepLines/>
        <w:numPr>
          <w:ilvl w:val="3"/>
          <w:numId w:val="7"/>
        </w:numPr>
        <w:spacing w:before="120" w:after="120" w:line="360" w:lineRule="auto"/>
        <w:outlineLvl w:val="3"/>
        <w:rPr>
          <w:rFonts w:ascii="宋体" w:hAnsi="宋体" w:cs="宋体"/>
          <w:bCs/>
          <w:sz w:val="24"/>
          <w:szCs w:val="24"/>
          <w:highlight w:val="none"/>
        </w:rPr>
      </w:pP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12. 合同价格、计量与支付</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12.1 合同价格形式</w:t>
      </w:r>
    </w:p>
    <w:p>
      <w:pPr>
        <w:numPr>
          <w:ilvl w:val="0"/>
          <w:numId w:val="8"/>
        </w:numPr>
        <w:autoSpaceDE w:val="0"/>
        <w:autoSpaceDN w:val="0"/>
        <w:adjustRightInd w:val="0"/>
        <w:spacing w:before="100" w:after="100" w:line="360" w:lineRule="auto"/>
        <w:jc w:val="left"/>
        <w:rPr>
          <w:rFonts w:ascii="宋体" w:hAnsi="宋体" w:cs="宋体"/>
          <w:kern w:val="0"/>
          <w:sz w:val="24"/>
          <w:szCs w:val="24"/>
          <w:highlight w:val="none"/>
        </w:rPr>
      </w:pPr>
      <w:r>
        <w:rPr>
          <w:rFonts w:hint="eastAsia" w:ascii="宋体" w:hAnsi="宋体" w:cs="宋体"/>
          <w:kern w:val="0"/>
          <w:sz w:val="24"/>
          <w:szCs w:val="24"/>
          <w:highlight w:val="none"/>
        </w:rPr>
        <w:t>单价合同。</w:t>
      </w:r>
    </w:p>
    <w:p>
      <w:pPr>
        <w:autoSpaceDE w:val="0"/>
        <w:autoSpaceDN w:val="0"/>
        <w:adjustRightInd w:val="0"/>
        <w:spacing w:before="100" w:after="100" w:line="360" w:lineRule="auto"/>
        <w:ind w:left="250" w:firstLine="405"/>
        <w:rPr>
          <w:rFonts w:ascii="宋体" w:hAnsi="宋体" w:cs="宋体"/>
          <w:sz w:val="24"/>
          <w:szCs w:val="24"/>
          <w:highlight w:val="none"/>
          <w:u w:val="single" w:color="000000"/>
        </w:rPr>
      </w:pPr>
      <w:r>
        <w:rPr>
          <w:rFonts w:hint="eastAsia" w:ascii="宋体" w:hAnsi="宋体" w:cs="宋体"/>
          <w:kern w:val="0"/>
          <w:sz w:val="24"/>
          <w:szCs w:val="24"/>
          <w:highlight w:val="none"/>
        </w:rPr>
        <w:t>综合单价包含的风险范围：</w:t>
      </w:r>
      <w:r>
        <w:rPr>
          <w:rFonts w:hint="eastAsia" w:ascii="宋体"/>
          <w:sz w:val="24"/>
          <w:szCs w:val="24"/>
          <w:highlight w:val="none"/>
          <w:u w:val="single" w:color="000000"/>
        </w:rPr>
        <w:t>施工期间收费的政策性调整风险及主要建筑材料的市场风险</w:t>
      </w:r>
      <w:r>
        <w:rPr>
          <w:rFonts w:ascii="宋体" w:hAnsi="宋体"/>
          <w:sz w:val="24"/>
          <w:szCs w:val="24"/>
          <w:highlight w:val="none"/>
          <w:u w:val="single"/>
        </w:rPr>
        <w:t>。</w:t>
      </w:r>
    </w:p>
    <w:p>
      <w:pPr>
        <w:autoSpaceDE w:val="0"/>
        <w:autoSpaceDN w:val="0"/>
        <w:adjustRightInd w:val="0"/>
        <w:spacing w:before="100" w:after="100" w:line="360" w:lineRule="auto"/>
        <w:ind w:firstLine="720" w:firstLineChars="300"/>
        <w:jc w:val="left"/>
        <w:rPr>
          <w:rFonts w:ascii="宋体" w:hAnsi="宋体" w:cs="宋体"/>
          <w:kern w:val="0"/>
          <w:sz w:val="24"/>
          <w:szCs w:val="24"/>
          <w:highlight w:val="none"/>
          <w:u w:val="single"/>
        </w:rPr>
      </w:pPr>
      <w:r>
        <w:rPr>
          <w:rFonts w:hint="eastAsia" w:ascii="宋体" w:hAnsi="宋体" w:cs="宋体"/>
          <w:kern w:val="0"/>
          <w:sz w:val="24"/>
          <w:szCs w:val="24"/>
          <w:highlight w:val="none"/>
        </w:rPr>
        <w:t>风险费用的计算方法：</w:t>
      </w:r>
      <w:r>
        <w:rPr>
          <w:rFonts w:hint="eastAsia" w:ascii="宋体" w:hAnsi="宋体" w:cs="宋体"/>
          <w:sz w:val="24"/>
          <w:szCs w:val="24"/>
          <w:highlight w:val="none"/>
          <w:u w:val="single"/>
        </w:rPr>
        <w:t>以上风险费用已在投标综合单价中考虑，不再另行计取。</w:t>
      </w:r>
    </w:p>
    <w:p>
      <w:pPr>
        <w:autoSpaceDE w:val="0"/>
        <w:autoSpaceDN w:val="0"/>
        <w:adjustRightInd w:val="0"/>
        <w:spacing w:before="100" w:after="100" w:line="360" w:lineRule="auto"/>
        <w:ind w:left="250" w:firstLine="405"/>
        <w:jc w:val="left"/>
        <w:rPr>
          <w:rFonts w:ascii="宋体" w:hAnsi="宋体" w:cs="宋体"/>
          <w:kern w:val="0"/>
          <w:sz w:val="24"/>
          <w:szCs w:val="24"/>
          <w:highlight w:val="none"/>
        </w:rPr>
      </w:pPr>
      <w:r>
        <w:rPr>
          <w:rFonts w:hint="eastAsia" w:ascii="宋体" w:hAnsi="宋体" w:cs="宋体"/>
          <w:kern w:val="0"/>
          <w:sz w:val="24"/>
          <w:szCs w:val="24"/>
          <w:highlight w:val="none"/>
        </w:rPr>
        <w:t>风险范围以外合同价款调整方法：</w:t>
      </w:r>
    </w:p>
    <w:p>
      <w:pPr>
        <w:snapToGrid w:val="0"/>
        <w:spacing w:line="360" w:lineRule="auto"/>
        <w:ind w:firstLine="720" w:firstLineChars="300"/>
        <w:rPr>
          <w:rFonts w:ascii="宋体" w:hAnsi="宋体" w:cs="宋体"/>
          <w:kern w:val="0"/>
          <w:sz w:val="24"/>
          <w:szCs w:val="24"/>
          <w:highlight w:val="none"/>
          <w:u w:val="single" w:color="000000"/>
        </w:rPr>
      </w:pPr>
      <w:r>
        <w:rPr>
          <w:rFonts w:hint="eastAsia" w:ascii="宋体" w:hAnsi="宋体" w:cs="宋体"/>
          <w:kern w:val="0"/>
          <w:sz w:val="24"/>
          <w:szCs w:val="24"/>
          <w:highlight w:val="none"/>
          <w:u w:val="single" w:color="000000"/>
        </w:rPr>
        <w:t>实际完成的工程量与招标文件中提供的工程量不一致、有效设计变更、有效现场签证。其他原因不再调整结算价。调整原则：（1）结算时调整项目与已标价工程量清单项目相同或相类似的，按照已标价工程量清单中的综合单价执行，若已标价工程量清单相同清单项目综合单价不一致的，按照最低的综合单价执行。（2）已标价工程量清单中无此清单项目的，调整项目按照《建设工程工程量清单计价规范》（GB50500-2013）第9.3条款的规定结算。（3）总价措施投标文件中相应费率调整；单项措施费按项列项费用无论工程量是否发生变化、设计图纸是否发生变更，结算时将不得调整，这些费用在整个工程中包干；其它按清单工程量的变化比例进行调整。(4) 规费和税金按投标文件中相应费率调整（另有规定的按有关规定执行）。</w:t>
      </w:r>
    </w:p>
    <w:p>
      <w:pPr>
        <w:snapToGrid w:val="0"/>
        <w:spacing w:line="360" w:lineRule="auto"/>
        <w:ind w:firstLine="720" w:firstLineChars="300"/>
        <w:rPr>
          <w:rFonts w:ascii="宋体" w:hAnsi="宋体" w:cs="宋体"/>
          <w:kern w:val="0"/>
          <w:sz w:val="24"/>
          <w:szCs w:val="24"/>
          <w:highlight w:val="none"/>
          <w:u w:val="single" w:color="000000"/>
        </w:rPr>
      </w:pPr>
      <w:r>
        <w:rPr>
          <w:rFonts w:hint="eastAsia" w:ascii="宋体" w:hAnsi="宋体" w:cs="宋体"/>
          <w:kern w:val="0"/>
          <w:sz w:val="24"/>
          <w:szCs w:val="24"/>
          <w:highlight w:val="none"/>
          <w:u w:val="single" w:color="000000"/>
        </w:rPr>
        <w:t>新增地材执行施工期间当地指导价，其他材料（特别是饰面材料）由施工单位根据设计单位和业主要求的质量和品牌报价，监理单位、跟踪审计单位根据符合要求现场实际使用材料质量和品牌市场价审核，报业主审定。</w:t>
      </w:r>
    </w:p>
    <w:p>
      <w:pPr>
        <w:spacing w:line="360" w:lineRule="auto"/>
        <w:ind w:firstLine="360" w:firstLineChars="150"/>
        <w:jc w:val="left"/>
        <w:rPr>
          <w:rFonts w:ascii="宋体" w:hAnsi="宋体" w:cs="宋体"/>
          <w:sz w:val="24"/>
          <w:szCs w:val="24"/>
          <w:highlight w:val="none"/>
          <w:u w:val="single"/>
        </w:rPr>
      </w:pPr>
      <w:r>
        <w:rPr>
          <w:rFonts w:hint="eastAsia" w:ascii="宋体" w:hAnsi="宋体" w:cs="宋体"/>
          <w:sz w:val="24"/>
          <w:szCs w:val="24"/>
          <w:highlight w:val="none"/>
          <w:u w:val="single"/>
        </w:rPr>
        <w:t xml:space="preserve">不可抗力事件导致的费用，发、承包双方按以下原则分别承担并调整合同价格： </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u w:val="single"/>
        </w:rPr>
        <w:t xml:space="preserve">a、工程本身的损害、因工程损害导致第三方人员伤亡和财产损失以及运至施工场地用于施工的材料和待安装的设备的损害，由发包人承担； </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u w:val="single"/>
        </w:rPr>
        <w:t xml:space="preserve">b、发包人、承包人人员伤亡由其所在单位负责，并承担相应费用； </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u w:val="single"/>
        </w:rPr>
        <w:t xml:space="preserve">c、承包人的施工机械设备损坏及停工损失，由承包人承担； </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u w:val="single"/>
        </w:rPr>
        <w:t xml:space="preserve">d、停工期间，承包人应发包人要求留在施工场地的必要的管理人员及保卫人员的费用，由发包人承担； </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u w:val="single"/>
        </w:rPr>
        <w:t xml:space="preserve">e、工程所需清理、修复费用，由发包人承担。 </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u w:val="single"/>
        </w:rPr>
        <w:t xml:space="preserve">环境保护税：结算时，按相关部门实际收取的规费调整。 </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u w:val="single"/>
        </w:rPr>
        <w:t>合同价格调整报告应由受益方在工程施工</w:t>
      </w:r>
      <w:r>
        <w:rPr>
          <w:rFonts w:ascii="宋体" w:hAnsi="宋体" w:cs="宋体"/>
          <w:sz w:val="24"/>
          <w:szCs w:val="24"/>
          <w:highlight w:val="none"/>
          <w:u w:val="single"/>
        </w:rPr>
        <w:t>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2、总价合同。</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总价包含的风险范围：</w:t>
      </w:r>
      <w:r>
        <w:rPr>
          <w:rFonts w:hint="eastAsia" w:ascii="宋体" w:hAnsi="宋体" w:cs="宋体"/>
          <w:sz w:val="24"/>
          <w:szCs w:val="24"/>
          <w:highlight w:val="none"/>
          <w:u w:val="single"/>
        </w:rPr>
        <w:t>不采用</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风险费用的计算方法：</w:t>
      </w:r>
      <w:r>
        <w:rPr>
          <w:rFonts w:hint="eastAsia" w:ascii="宋体" w:hAnsi="宋体" w:cs="宋体"/>
          <w:sz w:val="24"/>
          <w:szCs w:val="24"/>
          <w:highlight w:val="none"/>
          <w:u w:val="single"/>
        </w:rPr>
        <w:t>不采用</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风险范围以外合同价格的调整方法：</w:t>
      </w:r>
      <w:r>
        <w:rPr>
          <w:rFonts w:hint="eastAsia" w:ascii="宋体" w:hAnsi="宋体" w:cs="宋体"/>
          <w:sz w:val="24"/>
          <w:szCs w:val="24"/>
          <w:highlight w:val="none"/>
          <w:u w:val="single"/>
        </w:rPr>
        <w:t>不采用</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3、其他价格方式：</w:t>
      </w:r>
      <w:r>
        <w:rPr>
          <w:rFonts w:hint="eastAsia" w:ascii="宋体" w:hAnsi="宋体" w:cs="宋体"/>
          <w:sz w:val="24"/>
          <w:szCs w:val="24"/>
          <w:highlight w:val="none"/>
          <w:u w:val="single"/>
        </w:rPr>
        <w:t>不采用</w:t>
      </w:r>
      <w:r>
        <w:rPr>
          <w:rFonts w:hint="eastAsia" w:ascii="宋体" w:hAnsi="宋体" w:cs="宋体"/>
          <w:sz w:val="24"/>
          <w:szCs w:val="24"/>
          <w:highlight w:val="none"/>
        </w:rPr>
        <w:t>。</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12.2 预付款</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12.2.1 预付款的支付</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rPr>
        <w:t>预付款支付比例或金额：如需申请预付款，由施工单位提交书面付款申请并提供同等金额的预付款担保（现金或金融机构、担保机构、银行出具的保函），申请金额为合同价的30%；</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预付款支付期限：</w:t>
      </w:r>
      <w:r>
        <w:rPr>
          <w:rFonts w:hint="eastAsia" w:ascii="宋体" w:hAnsi="宋体" w:cs="宋体"/>
          <w:sz w:val="24"/>
          <w:szCs w:val="24"/>
          <w:highlight w:val="none"/>
          <w:u w:val="single"/>
        </w:rPr>
        <w:t>最迟应在开工通知载明的开工日期7天前</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预付款扣回的方式：</w:t>
      </w:r>
      <w:r>
        <w:rPr>
          <w:rFonts w:hint="eastAsia" w:ascii="宋体" w:hAnsi="宋体" w:cs="宋体"/>
          <w:sz w:val="24"/>
          <w:szCs w:val="24"/>
          <w:highlight w:val="none"/>
          <w:u w:val="single"/>
        </w:rPr>
        <w:t>付第一次进度款时全部扣回</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12.2.2 预付款担保</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承包人提交预付款担保的期限：</w:t>
      </w:r>
      <w:r>
        <w:rPr>
          <w:rFonts w:hint="eastAsia" w:ascii="宋体" w:hAnsi="宋体" w:cs="宋体"/>
          <w:sz w:val="24"/>
          <w:szCs w:val="24"/>
          <w:highlight w:val="none"/>
          <w:u w:val="single"/>
        </w:rPr>
        <w:t>在承包人递交付款申请时提交</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预付款担保的形式为：</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12.3 计量</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12.3.1 计量原则</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工程量计算规则：</w:t>
      </w:r>
      <w:r>
        <w:rPr>
          <w:rFonts w:hint="eastAsia" w:ascii="宋体" w:hAnsi="宋体" w:cs="宋体"/>
          <w:sz w:val="24"/>
          <w:szCs w:val="24"/>
          <w:highlight w:val="none"/>
          <w:u w:val="single"/>
        </w:rPr>
        <w:t>按苏建价（2014）448号《省住房城乡建设厅关于〈建设工程工程量清单计价规范〉（GB50500-2013）及其9本工程量计算规范的贯彻意见》执行。其中模板工程量的计量以实际接触面积为准。</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12.3.2 计量周期</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关于计量周期的约定：</w:t>
      </w:r>
      <w:r>
        <w:rPr>
          <w:rFonts w:hint="eastAsia" w:ascii="宋体" w:hAnsi="宋体" w:cs="宋体"/>
          <w:sz w:val="24"/>
          <w:szCs w:val="24"/>
          <w:highlight w:val="none"/>
          <w:u w:val="single"/>
        </w:rPr>
        <w:t>工程量的计量按月进行。隐蔽工程工程量的计量与现场签收必须随隐蔽工程验收在覆盖、掩盖前进行。对于发包人要求承包人完成合同以外的零星项目，承包人应在接受发包人书面要求的7天内就用工数量和单价、机械台班数量和单价、使用材料和金额等向监理和发包人提出书面签证，发包人签证后施工。</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12.3.3 单价合同的计量</w:t>
      </w:r>
    </w:p>
    <w:p>
      <w:pPr>
        <w:spacing w:line="360" w:lineRule="auto"/>
        <w:ind w:firstLine="480" w:firstLineChars="200"/>
        <w:jc w:val="left"/>
        <w:rPr>
          <w:rFonts w:ascii="宋体" w:hAnsi="宋体" w:cs="宋体"/>
          <w:color w:val="000000"/>
          <w:sz w:val="24"/>
          <w:szCs w:val="24"/>
          <w:highlight w:val="none"/>
        </w:rPr>
      </w:pPr>
      <w:r>
        <w:rPr>
          <w:rFonts w:hint="eastAsia" w:ascii="宋体" w:hAnsi="宋体" w:cs="宋体"/>
          <w:sz w:val="24"/>
          <w:szCs w:val="24"/>
          <w:highlight w:val="none"/>
        </w:rPr>
        <w:t>关于单价合同计量的约定：</w:t>
      </w:r>
      <w:r>
        <w:rPr>
          <w:rFonts w:hint="eastAsia" w:ascii="宋体" w:hAnsi="宋体" w:cs="宋体"/>
          <w:color w:val="000000"/>
          <w:sz w:val="24"/>
          <w:szCs w:val="24"/>
          <w:highlight w:val="none"/>
          <w:u w:val="single"/>
        </w:rPr>
        <w:t>（1）承包人应于每月25日向监理人报送上月20日至当月19日已完成的工程量报告，并附具进度付款申请单、已完成工程量报表和有关资料。 （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 （3）监理人未在收到承包人提交的工程量报表后的7天内完成审核的，承包人报送的工程量报告中的工程量视为承包人实际完成的工程量，据此计算工程价款。</w:t>
      </w:r>
      <w:r>
        <w:rPr>
          <w:rFonts w:hint="eastAsia" w:ascii="宋体" w:hAnsi="宋体" w:cs="宋体"/>
          <w:color w:val="000000"/>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12.3.4 总价合同的计量</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关于总价合同计量的约定：</w:t>
      </w:r>
      <w:r>
        <w:rPr>
          <w:rFonts w:hint="eastAsia" w:ascii="宋体" w:hAnsi="宋体" w:cs="宋体"/>
          <w:sz w:val="24"/>
          <w:szCs w:val="24"/>
          <w:highlight w:val="none"/>
          <w:u w:val="single"/>
        </w:rPr>
        <w:t>不采用</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12.3.5总价合同采用支付分解表计量支付的，是否适用第</w:t>
      </w:r>
      <w:r>
        <w:rPr>
          <w:rFonts w:hint="eastAsia" w:ascii="宋体" w:hAnsi="宋体" w:cs="宋体"/>
          <w:kern w:val="0"/>
          <w:sz w:val="24"/>
          <w:szCs w:val="24"/>
          <w:highlight w:val="none"/>
        </w:rPr>
        <w:t xml:space="preserve">12.3.4 </w:t>
      </w:r>
      <w:r>
        <w:rPr>
          <w:rFonts w:hint="eastAsia" w:ascii="宋体" w:hAnsi="宋体" w:cs="宋体"/>
          <w:sz w:val="24"/>
          <w:szCs w:val="24"/>
          <w:highlight w:val="none"/>
        </w:rPr>
        <w:t>项</w:t>
      </w:r>
      <w:r>
        <w:rPr>
          <w:rFonts w:hint="eastAsia" w:ascii="宋体" w:hAnsi="宋体" w:cs="宋体"/>
          <w:kern w:val="0"/>
          <w:sz w:val="24"/>
          <w:szCs w:val="24"/>
          <w:highlight w:val="none"/>
        </w:rPr>
        <w:t>〔总价合同的计量〕</w:t>
      </w:r>
      <w:r>
        <w:rPr>
          <w:rFonts w:hint="eastAsia" w:ascii="宋体" w:hAnsi="宋体" w:cs="宋体"/>
          <w:sz w:val="24"/>
          <w:szCs w:val="24"/>
          <w:highlight w:val="none"/>
        </w:rPr>
        <w:t>约定进行计量：</w:t>
      </w:r>
      <w:r>
        <w:rPr>
          <w:rFonts w:hint="eastAsia" w:ascii="宋体" w:hAnsi="宋体" w:cs="宋体"/>
          <w:sz w:val="24"/>
          <w:szCs w:val="24"/>
          <w:highlight w:val="none"/>
          <w:u w:val="single"/>
        </w:rPr>
        <w:t>不采用</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12.3.6 其他价格形式合同的计量</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其他价格形式的计量方式和程序：</w:t>
      </w:r>
      <w:r>
        <w:rPr>
          <w:rFonts w:hint="eastAsia" w:ascii="宋体" w:hAnsi="宋体" w:cs="宋体"/>
          <w:sz w:val="24"/>
          <w:szCs w:val="24"/>
          <w:highlight w:val="none"/>
          <w:u w:val="single"/>
        </w:rPr>
        <w:t>不采用</w:t>
      </w:r>
      <w:r>
        <w:rPr>
          <w:rFonts w:hint="eastAsia" w:ascii="宋体" w:hAnsi="宋体" w:cs="宋体"/>
          <w:sz w:val="24"/>
          <w:szCs w:val="24"/>
          <w:highlight w:val="none"/>
        </w:rPr>
        <w:t>。</w:t>
      </w:r>
    </w:p>
    <w:bookmarkEnd w:id="44"/>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12.4 工程进度款支付</w:t>
      </w:r>
    </w:p>
    <w:p>
      <w:pPr>
        <w:spacing w:line="360" w:lineRule="auto"/>
        <w:ind w:firstLine="480" w:firstLineChars="200"/>
        <w:jc w:val="left"/>
        <w:rPr>
          <w:rFonts w:ascii="宋体" w:hAnsi="宋体" w:cs="宋体"/>
          <w:sz w:val="24"/>
          <w:szCs w:val="24"/>
          <w:highlight w:val="none"/>
        </w:rPr>
      </w:pPr>
      <w:bookmarkStart w:id="45" w:name="_Toc296891251"/>
      <w:bookmarkStart w:id="46" w:name="_Toc296891039"/>
      <w:bookmarkStart w:id="47" w:name="_Toc297120511"/>
      <w:bookmarkStart w:id="48" w:name="_Toc292559921"/>
      <w:bookmarkStart w:id="49" w:name="_Toc300935006"/>
      <w:bookmarkStart w:id="50" w:name="_Toc296944550"/>
      <w:bookmarkStart w:id="51" w:name="_Toc296347210"/>
      <w:bookmarkStart w:id="52" w:name="_Toc296346712"/>
      <w:bookmarkStart w:id="53" w:name="_Toc297216215"/>
      <w:bookmarkStart w:id="54" w:name="_Toc296503211"/>
      <w:bookmarkStart w:id="55" w:name="_Toc297123556"/>
      <w:bookmarkStart w:id="56" w:name="_Toc303539163"/>
      <w:bookmarkStart w:id="57" w:name="_Toc292559416"/>
      <w:bookmarkStart w:id="58" w:name="_Toc297048397"/>
      <w:r>
        <w:rPr>
          <w:rFonts w:hint="eastAsia" w:ascii="宋体" w:hAnsi="宋体" w:cs="宋体"/>
          <w:sz w:val="24"/>
          <w:szCs w:val="24"/>
          <w:highlight w:val="none"/>
        </w:rPr>
        <w:t>12.4.1 付款周期</w:t>
      </w:r>
    </w:p>
    <w:p>
      <w:pPr>
        <w:snapToGrid w:val="0"/>
        <w:spacing w:line="360" w:lineRule="auto"/>
        <w:ind w:firstLine="720" w:firstLineChars="300"/>
        <w:rPr>
          <w:rFonts w:ascii="宋体" w:hAnsi="宋体" w:cs="宋体"/>
          <w:sz w:val="24"/>
          <w:szCs w:val="24"/>
          <w:highlight w:val="none"/>
        </w:rPr>
      </w:pPr>
      <w:r>
        <w:rPr>
          <w:rFonts w:hint="eastAsia" w:ascii="宋体" w:hAnsi="宋体" w:cs="宋体"/>
          <w:sz w:val="24"/>
          <w:szCs w:val="24"/>
          <w:highlight w:val="none"/>
        </w:rPr>
        <w:t xml:space="preserve">关于付款周期的约定： </w:t>
      </w:r>
    </w:p>
    <w:p>
      <w:pPr>
        <w:snapToGrid w:val="0"/>
        <w:spacing w:line="360" w:lineRule="auto"/>
        <w:ind w:firstLine="720" w:firstLineChars="300"/>
        <w:rPr>
          <w:rFonts w:ascii="宋体" w:hAnsi="宋体" w:cs="宋体"/>
          <w:sz w:val="24"/>
          <w:szCs w:val="24"/>
          <w:highlight w:val="none"/>
        </w:rPr>
      </w:pPr>
      <w:r>
        <w:rPr>
          <w:rFonts w:hint="eastAsia" w:ascii="宋体" w:hAnsi="宋体" w:cs="宋体"/>
          <w:sz w:val="24"/>
          <w:szCs w:val="24"/>
          <w:highlight w:val="none"/>
        </w:rPr>
        <w:t>A、 如需申请预付款，由施工单位提交书面付款申请并提供同等金额的预付款担保（现金或金融机构、担保机构、银行出具的保函），申请金额为合同价的30%；</w:t>
      </w:r>
    </w:p>
    <w:p>
      <w:pPr>
        <w:autoSpaceDE w:val="0"/>
        <w:autoSpaceDN w:val="0"/>
        <w:adjustRightIn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B、工程完成70%后，付至合同价款（扣回甲供材料价款、专业工程暂估价、暂列金额后）的</w:t>
      </w:r>
      <w:r>
        <w:rPr>
          <w:rFonts w:hint="eastAsia" w:ascii="宋体" w:hAnsi="宋体" w:cs="宋体"/>
          <w:sz w:val="24"/>
          <w:szCs w:val="24"/>
          <w:highlight w:val="none"/>
          <w:lang w:val="en-US" w:eastAsia="zh-CN"/>
        </w:rPr>
        <w:t>5</w:t>
      </w:r>
      <w:r>
        <w:rPr>
          <w:rFonts w:hint="eastAsia" w:ascii="宋体" w:hAnsi="宋体" w:cs="宋体"/>
          <w:sz w:val="24"/>
          <w:szCs w:val="24"/>
          <w:highlight w:val="none"/>
        </w:rPr>
        <w:t>0%；</w:t>
      </w:r>
    </w:p>
    <w:p>
      <w:pPr>
        <w:autoSpaceDE w:val="0"/>
        <w:autoSpaceDN w:val="0"/>
        <w:adjustRightIn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C、工程竣工验收合格后，付至合同价款（扣回甲供材料价款、专业工程暂估价、暂列金额后）的70%；</w:t>
      </w:r>
    </w:p>
    <w:p>
      <w:pPr>
        <w:autoSpaceDE w:val="0"/>
        <w:autoSpaceDN w:val="0"/>
        <w:adjustRightInd w:val="0"/>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D、竣工结算经审计部门审计结束，</w:t>
      </w:r>
      <w:r>
        <w:rPr>
          <w:rFonts w:hint="eastAsia" w:ascii="宋体" w:hAnsi="宋体" w:cs="宋体"/>
          <w:sz w:val="24"/>
          <w:szCs w:val="24"/>
          <w:highlight w:val="none"/>
          <w:lang w:eastAsia="zh-CN"/>
        </w:rPr>
        <w:t>承包人</w:t>
      </w:r>
      <w:r>
        <w:rPr>
          <w:rFonts w:hint="eastAsia" w:ascii="宋体" w:hAnsi="宋体" w:cs="宋体"/>
          <w:sz w:val="24"/>
          <w:szCs w:val="24"/>
          <w:highlight w:val="none"/>
        </w:rPr>
        <w:t>提交审计价款的3%至</w:t>
      </w:r>
      <w:r>
        <w:rPr>
          <w:rFonts w:hint="eastAsia" w:ascii="宋体" w:hAnsi="宋体" w:cs="宋体"/>
          <w:sz w:val="24"/>
          <w:szCs w:val="24"/>
          <w:highlight w:val="none"/>
          <w:lang w:eastAsia="zh-CN"/>
        </w:rPr>
        <w:t>发包人</w:t>
      </w:r>
      <w:r>
        <w:rPr>
          <w:rFonts w:hint="eastAsia" w:ascii="宋体" w:hAnsi="宋体" w:cs="宋体"/>
          <w:sz w:val="24"/>
          <w:szCs w:val="24"/>
          <w:highlight w:val="none"/>
        </w:rPr>
        <w:t>账户作为质保金，并按照要求提交所有竣工资料后，付至工程结算审定价款（扣回甲供材料价款、专业工程暂估价、暂列金额、水电费等应该扣除的费用后）的100%（</w:t>
      </w:r>
      <w:r>
        <w:rPr>
          <w:rFonts w:hint="eastAsia" w:ascii="宋体" w:hAnsi="宋体" w:cs="宋体"/>
          <w:sz w:val="24"/>
          <w:szCs w:val="24"/>
          <w:highlight w:val="none"/>
          <w:lang w:eastAsia="zh-CN"/>
        </w:rPr>
        <w:t>承包人</w:t>
      </w:r>
      <w:r>
        <w:rPr>
          <w:rFonts w:hint="eastAsia" w:ascii="宋体" w:hAnsi="宋体" w:cs="宋体"/>
          <w:sz w:val="24"/>
          <w:szCs w:val="24"/>
          <w:highlight w:val="none"/>
        </w:rPr>
        <w:t>需开具审定价的全额发票）；</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E、所有合同外增加的工作内容施工项目，一律不得作为进度款支付的计算基数，待竣工结算审计后方可进行价款结算。</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12.4.2 进度付款申请单的编制</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rPr>
        <w:t>关于进度付款申请单编制的约定：</w:t>
      </w:r>
      <w:r>
        <w:rPr>
          <w:rFonts w:hint="eastAsia" w:ascii="宋体" w:hAnsi="宋体" w:cs="宋体"/>
          <w:sz w:val="24"/>
          <w:szCs w:val="24"/>
          <w:highlight w:val="none"/>
          <w:u w:val="single"/>
        </w:rPr>
        <w:t xml:space="preserve">（1）截至本次付款周期已完成工作对应的金额； </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u w:val="single"/>
        </w:rPr>
        <w:t xml:space="preserve">（2）变更应增加和扣减的变更金额； </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u w:val="single"/>
        </w:rPr>
        <w:t xml:space="preserve">（3）预付款约定应支付的预付款和扣减的返还预付款； </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u w:val="single"/>
        </w:rPr>
        <w:t xml:space="preserve">（4）索赔应增加和扣减的索赔金额； </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u w:val="single"/>
        </w:rPr>
        <w:t xml:space="preserve">（5）对已签发的进度款支付证书中出现错误的修正，应在本次进度付款中支付或扣除的金额； </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u w:val="single"/>
        </w:rPr>
        <w:t>（6）根据合同约定应增加和扣减的其他金额。</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w:t>
      </w:r>
      <w:bookmarkEnd w:id="45"/>
      <w:bookmarkEnd w:id="46"/>
      <w:bookmarkEnd w:id="47"/>
      <w:bookmarkEnd w:id="48"/>
      <w:bookmarkEnd w:id="49"/>
      <w:bookmarkEnd w:id="50"/>
      <w:bookmarkEnd w:id="51"/>
      <w:bookmarkEnd w:id="52"/>
      <w:bookmarkEnd w:id="53"/>
      <w:bookmarkEnd w:id="54"/>
      <w:bookmarkEnd w:id="55"/>
      <w:bookmarkEnd w:id="56"/>
      <w:bookmarkEnd w:id="57"/>
      <w:bookmarkEnd w:id="58"/>
      <w:r>
        <w:rPr>
          <w:rFonts w:hint="eastAsia" w:ascii="宋体" w:hAnsi="宋体" w:cs="宋体"/>
          <w:sz w:val="24"/>
          <w:szCs w:val="24"/>
          <w:highlight w:val="none"/>
        </w:rPr>
        <w:t>2.4.3 进度付款申请单的提交</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（1）单价合同进度付款申请单提交的约定：</w:t>
      </w:r>
      <w:r>
        <w:rPr>
          <w:rFonts w:hint="eastAsia" w:ascii="宋体" w:hAnsi="宋体" w:cs="宋体"/>
          <w:sz w:val="24"/>
          <w:szCs w:val="24"/>
          <w:highlight w:val="none"/>
          <w:u w:val="single"/>
        </w:rPr>
        <w:t>按月向监理人提交，并附上已完成工程量报表和有关资料。</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（2）总价合同进度付款申请单提交的约定：</w:t>
      </w:r>
      <w:r>
        <w:rPr>
          <w:rFonts w:hint="eastAsia" w:ascii="宋体" w:hAnsi="宋体" w:cs="宋体"/>
          <w:sz w:val="24"/>
          <w:szCs w:val="24"/>
          <w:highlight w:val="none"/>
          <w:u w:val="single"/>
        </w:rPr>
        <w:t>不采用</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（3）其他价格形式合同进度付款申请单提交的约定：</w:t>
      </w:r>
      <w:r>
        <w:rPr>
          <w:rFonts w:hint="eastAsia" w:ascii="宋体" w:hAnsi="宋体" w:cs="宋体"/>
          <w:sz w:val="24"/>
          <w:szCs w:val="24"/>
          <w:highlight w:val="none"/>
          <w:u w:val="single"/>
        </w:rPr>
        <w:t>不采用</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12.4.4 进度款审核和支付</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rPr>
        <w:t>（1）监理人审查并报送发包人的期限：</w:t>
      </w:r>
      <w:r>
        <w:rPr>
          <w:rFonts w:hint="eastAsia" w:ascii="宋体" w:hAnsi="宋体" w:cs="宋体"/>
          <w:sz w:val="24"/>
          <w:szCs w:val="24"/>
          <w:highlight w:val="none"/>
          <w:u w:val="single"/>
        </w:rPr>
        <w:t>监理人应在收到承包人进度付款申请单以及相关资料后7天内完成审查并报送发包人。</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发包人完成审批并签发进度款支付证书的期限：</w:t>
      </w:r>
      <w:r>
        <w:rPr>
          <w:rFonts w:hint="eastAsia" w:ascii="宋体" w:hAnsi="宋体" w:cs="宋体"/>
          <w:sz w:val="24"/>
          <w:szCs w:val="24"/>
          <w:highlight w:val="none"/>
          <w:u w:val="single"/>
        </w:rPr>
        <w:t>发包人应在收到后7天内完成审批并签发进度款支付证书。</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（2）发包人支付进度款的期限：</w:t>
      </w:r>
      <w:r>
        <w:rPr>
          <w:rFonts w:hint="eastAsia" w:ascii="宋体" w:hAnsi="宋体" w:cs="宋体"/>
          <w:sz w:val="24"/>
          <w:szCs w:val="24"/>
          <w:highlight w:val="none"/>
          <w:u w:val="single"/>
        </w:rPr>
        <w:t>发包人应在进度款支付证书签发后14天内完成支付。</w:t>
      </w:r>
      <w:r>
        <w:rPr>
          <w:rFonts w:hint="eastAsia" w:ascii="宋体" w:hAnsi="宋体" w:cs="宋体"/>
          <w:sz w:val="24"/>
          <w:szCs w:val="24"/>
          <w:highlight w:val="none"/>
        </w:rPr>
        <w:t>。</w:t>
      </w:r>
    </w:p>
    <w:p>
      <w:pPr>
        <w:spacing w:line="360" w:lineRule="auto"/>
        <w:ind w:firstLine="600" w:firstLineChars="250"/>
        <w:jc w:val="left"/>
        <w:rPr>
          <w:rFonts w:ascii="宋体" w:hAnsi="宋体" w:cs="宋体"/>
          <w:sz w:val="24"/>
          <w:szCs w:val="24"/>
          <w:highlight w:val="none"/>
        </w:rPr>
      </w:pPr>
      <w:r>
        <w:rPr>
          <w:rFonts w:hint="eastAsia" w:ascii="宋体" w:hAnsi="宋体" w:cs="宋体"/>
          <w:sz w:val="24"/>
          <w:szCs w:val="24"/>
          <w:highlight w:val="none"/>
        </w:rPr>
        <w:t>发包人逾期支付进度款的违约金的计算方式：</w:t>
      </w:r>
      <w:r>
        <w:rPr>
          <w:rFonts w:hint="eastAsia" w:ascii="宋体" w:hAnsi="宋体" w:cs="宋体"/>
          <w:sz w:val="24"/>
          <w:szCs w:val="24"/>
          <w:highlight w:val="none"/>
          <w:u w:val="single"/>
        </w:rPr>
        <w:t>按照中国人民银行同期同类贷款基准利率计算。</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12.4.6 支付分解表的编制</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2、总价合同支付分解表的编制与审批：</w:t>
      </w:r>
      <w:r>
        <w:rPr>
          <w:rFonts w:hint="eastAsia" w:ascii="宋体" w:hAnsi="宋体" w:cs="宋体"/>
          <w:sz w:val="24"/>
          <w:szCs w:val="24"/>
          <w:highlight w:val="none"/>
          <w:u w:val="single"/>
        </w:rPr>
        <w:t>不采用</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3、单价合同的总价项目支付分解表的编制与审批：</w:t>
      </w:r>
      <w:r>
        <w:rPr>
          <w:rFonts w:hint="eastAsia" w:ascii="宋体" w:hAnsi="宋体" w:cs="宋体"/>
          <w:sz w:val="24"/>
          <w:szCs w:val="24"/>
          <w:highlight w:val="none"/>
          <w:u w:val="single"/>
        </w:rPr>
        <w:t>单价合同中的总价项目按月进行支付分解，并汇总列入当期进度付款申请单。</w:t>
      </w:r>
      <w:r>
        <w:rPr>
          <w:rFonts w:hint="eastAsia" w:ascii="宋体" w:hAnsi="宋体" w:cs="宋体"/>
          <w:sz w:val="24"/>
          <w:szCs w:val="24"/>
          <w:highlight w:val="none"/>
        </w:rPr>
        <w:t>。</w:t>
      </w:r>
    </w:p>
    <w:p>
      <w:pPr>
        <w:pStyle w:val="14"/>
        <w:spacing w:before="120" w:after="120" w:line="360" w:lineRule="auto"/>
        <w:ind w:firstLine="480" w:firstLineChars="200"/>
        <w:rPr>
          <w:rFonts w:ascii="宋体" w:hAnsi="宋体" w:eastAsia="宋体" w:cs="宋体"/>
          <w:b w:val="0"/>
          <w:sz w:val="24"/>
          <w:szCs w:val="24"/>
          <w:highlight w:val="none"/>
        </w:rPr>
      </w:pPr>
      <w:bookmarkStart w:id="59" w:name="_Toc351203645"/>
      <w:bookmarkStart w:id="60" w:name="_Toc297216223"/>
      <w:bookmarkStart w:id="61" w:name="_Toc303539172"/>
      <w:bookmarkStart w:id="62" w:name="_Toc296944558"/>
      <w:bookmarkStart w:id="63" w:name="_Toc297120519"/>
      <w:bookmarkStart w:id="64" w:name="_Toc296503219"/>
      <w:bookmarkStart w:id="65" w:name="_Toc296891047"/>
      <w:bookmarkStart w:id="66" w:name="_Toc296347218"/>
      <w:bookmarkStart w:id="67" w:name="_Toc300935015"/>
      <w:bookmarkStart w:id="68" w:name="_Toc296346720"/>
      <w:bookmarkStart w:id="69" w:name="_Toc312678053"/>
      <w:bookmarkStart w:id="70" w:name="_Toc297048405"/>
      <w:bookmarkStart w:id="71" w:name="_Toc296891259"/>
      <w:bookmarkStart w:id="72" w:name="_Toc292559929"/>
      <w:bookmarkStart w:id="73" w:name="_Toc292559424"/>
      <w:bookmarkStart w:id="74" w:name="_Toc297123564"/>
      <w:bookmarkStart w:id="75" w:name="_Toc304295593"/>
      <w:r>
        <w:rPr>
          <w:rFonts w:hint="eastAsia" w:ascii="宋体" w:hAnsi="宋体" w:eastAsia="宋体" w:cs="宋体"/>
          <w:b w:val="0"/>
          <w:sz w:val="24"/>
          <w:szCs w:val="24"/>
          <w:highlight w:val="none"/>
        </w:rPr>
        <w:t>13. 验收和工程试车</w:t>
      </w:r>
      <w:bookmarkEnd w:id="59"/>
    </w:p>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13.1 分部分项工程验收</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13.1.2监理人不能按时进行验收时，应提前</w:t>
      </w:r>
      <w:r>
        <w:rPr>
          <w:rFonts w:hint="eastAsia" w:ascii="宋体" w:hAnsi="宋体" w:cs="宋体"/>
          <w:sz w:val="24"/>
          <w:szCs w:val="24"/>
          <w:highlight w:val="none"/>
          <w:u w:val="single"/>
        </w:rPr>
        <w:t>24</w:t>
      </w:r>
      <w:r>
        <w:rPr>
          <w:rFonts w:hint="eastAsia" w:ascii="宋体" w:hAnsi="宋体" w:cs="宋体"/>
          <w:sz w:val="24"/>
          <w:szCs w:val="24"/>
          <w:highlight w:val="none"/>
        </w:rPr>
        <w:t>小时提交书面延期要求。</w:t>
      </w:r>
    </w:p>
    <w:p>
      <w:pPr>
        <w:spacing w:line="360" w:lineRule="auto"/>
        <w:ind w:firstLine="480" w:firstLineChars="200"/>
        <w:jc w:val="left"/>
        <w:rPr>
          <w:rFonts w:ascii="宋体" w:hAnsi="宋体" w:cs="宋体"/>
          <w:b/>
          <w:sz w:val="24"/>
          <w:szCs w:val="24"/>
          <w:highlight w:val="none"/>
        </w:rPr>
      </w:pPr>
      <w:r>
        <w:rPr>
          <w:rFonts w:hint="eastAsia" w:ascii="宋体" w:hAnsi="宋体" w:cs="宋体"/>
          <w:sz w:val="24"/>
          <w:szCs w:val="24"/>
          <w:highlight w:val="none"/>
        </w:rPr>
        <w:t>关于延期最长不得超过：</w:t>
      </w:r>
      <w:r>
        <w:rPr>
          <w:rFonts w:hint="eastAsia" w:ascii="宋体" w:hAnsi="宋体" w:cs="宋体"/>
          <w:sz w:val="24"/>
          <w:szCs w:val="24"/>
          <w:highlight w:val="none"/>
          <w:u w:val="single"/>
        </w:rPr>
        <w:t>48</w:t>
      </w:r>
      <w:r>
        <w:rPr>
          <w:rFonts w:hint="eastAsia" w:ascii="宋体" w:hAnsi="宋体" w:cs="宋体"/>
          <w:sz w:val="24"/>
          <w:szCs w:val="24"/>
          <w:highlight w:val="none"/>
        </w:rPr>
        <w:t>小时。</w:t>
      </w:r>
    </w:p>
    <w:p>
      <w:pPr>
        <w:spacing w:after="120" w:line="360" w:lineRule="auto"/>
        <w:ind w:firstLine="480" w:firstLineChars="200"/>
        <w:rPr>
          <w:rFonts w:ascii="宋体" w:hAnsi="宋体" w:cs="宋体"/>
          <w:sz w:val="24"/>
          <w:szCs w:val="24"/>
          <w:highlight w:val="none"/>
        </w:rPr>
      </w:pPr>
      <w:bookmarkStart w:id="76" w:name="_Toc297048409"/>
      <w:bookmarkStart w:id="77" w:name="_Toc304295596"/>
      <w:bookmarkStart w:id="78" w:name="_Toc297123565"/>
      <w:bookmarkStart w:id="79" w:name="_Toc292559428"/>
      <w:bookmarkStart w:id="80" w:name="_Toc297216224"/>
      <w:bookmarkStart w:id="81" w:name="_Toc296503223"/>
      <w:bookmarkStart w:id="82" w:name="_Toc312678056"/>
      <w:bookmarkStart w:id="83" w:name="_Toc300935016"/>
      <w:bookmarkStart w:id="84" w:name="_Toc303539173"/>
      <w:bookmarkStart w:id="85" w:name="_Toc292559933"/>
      <w:bookmarkStart w:id="86" w:name="_Toc296346724"/>
      <w:bookmarkStart w:id="87" w:name="_Toc296891051"/>
      <w:bookmarkStart w:id="88" w:name="_Toc297120523"/>
      <w:bookmarkStart w:id="89" w:name="_Toc296891263"/>
      <w:bookmarkStart w:id="90" w:name="_Toc296347222"/>
      <w:bookmarkStart w:id="91" w:name="_Toc296944562"/>
      <w:bookmarkStart w:id="92" w:name="_Toc267251476"/>
      <w:bookmarkStart w:id="93" w:name="_Toc267251475"/>
      <w:bookmarkStart w:id="94" w:name="_Toc267251470"/>
      <w:bookmarkStart w:id="95" w:name="_Toc267251471"/>
      <w:bookmarkStart w:id="96" w:name="_Toc267251472"/>
      <w:bookmarkStart w:id="97" w:name="_Toc267251474"/>
      <w:bookmarkStart w:id="98" w:name="_Toc267251473"/>
      <w:r>
        <w:rPr>
          <w:rFonts w:hint="eastAsia" w:ascii="宋体" w:hAnsi="宋体" w:cs="宋体"/>
          <w:sz w:val="24"/>
          <w:szCs w:val="24"/>
          <w:highlight w:val="none"/>
        </w:rPr>
        <w:t>13.2 竣工验收</w:t>
      </w:r>
    </w:p>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Pr>
        <w:spacing w:line="360" w:lineRule="auto"/>
        <w:ind w:firstLine="480" w:firstLineChars="200"/>
        <w:jc w:val="left"/>
        <w:rPr>
          <w:rFonts w:ascii="宋体" w:hAnsi="宋体" w:cs="宋体"/>
          <w:sz w:val="24"/>
          <w:szCs w:val="24"/>
          <w:highlight w:val="none"/>
        </w:rPr>
      </w:pPr>
      <w:bookmarkStart w:id="99" w:name="_Toc280868704"/>
      <w:bookmarkStart w:id="100" w:name="_Toc280868705"/>
      <w:bookmarkStart w:id="101" w:name="_Toc280868706"/>
      <w:bookmarkStart w:id="102" w:name="_Toc280868707"/>
      <w:bookmarkStart w:id="103" w:name="_Toc280868708"/>
      <w:bookmarkStart w:id="104" w:name="_Toc280868709"/>
      <w:r>
        <w:rPr>
          <w:rFonts w:hint="eastAsia" w:ascii="宋体" w:hAnsi="宋体" w:cs="宋体"/>
          <w:sz w:val="24"/>
          <w:szCs w:val="24"/>
          <w:highlight w:val="none"/>
        </w:rPr>
        <w:t>13.2.2竣工验收程序</w:t>
      </w:r>
    </w:p>
    <w:bookmarkEnd w:id="99"/>
    <w:p>
      <w:pPr>
        <w:spacing w:line="360" w:lineRule="auto"/>
        <w:ind w:firstLine="480" w:firstLineChars="200"/>
        <w:jc w:val="left"/>
        <w:rPr>
          <w:rFonts w:ascii="宋体" w:hAnsi="宋体" w:cs="宋体"/>
          <w:sz w:val="24"/>
          <w:szCs w:val="24"/>
          <w:highlight w:val="none"/>
          <w:u w:val="single"/>
        </w:rPr>
      </w:pPr>
      <w:r>
        <w:rPr>
          <w:rFonts w:hint="eastAsia" w:ascii="宋体" w:hAnsi="宋体" w:cs="宋体"/>
          <w:kern w:val="0"/>
          <w:sz w:val="24"/>
          <w:szCs w:val="24"/>
          <w:highlight w:val="none"/>
        </w:rPr>
        <w:t>关于竣工验收程序的约定：</w:t>
      </w:r>
      <w:r>
        <w:rPr>
          <w:rFonts w:hint="eastAsia" w:ascii="宋体" w:hAnsi="宋体" w:cs="宋体"/>
          <w:sz w:val="24"/>
          <w:szCs w:val="24"/>
          <w:highlight w:val="none"/>
          <w:u w:val="singl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 </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u w:val="single"/>
        </w:rPr>
        <w:t xml:space="preserve">（2）监理人审查后认为已具备竣工验收条件的，应将竣工验收申请报告提交发包人，发包人应在收到经监理人审核的竣工验收申请报告后28天内审批完毕并组织监理人、承包人、勘察、设计人等相关单位完成竣工验收。 </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u w:val="single"/>
        </w:rPr>
        <w:t xml:space="preserve">（3）竣工验收合格的，发包人应在验收合格后14天内向承包人签发工程接收证书。发包人无正当理由逾期不颁发工程接收证书的，自验收合格后第15天起视为已颁发工程接收证书。 </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u w:val="single"/>
        </w:rPr>
        <w:t xml:space="preserve">（4）竣工验收不合格的，监理人应按照验收意见发出指示，要求承包人对不合格工程返工、修复或采取其他补救措施，由此增加的费用和延误的工期由承包人承担。承包人在完成不合格工程的返工、修复或采取其他补救措施后，应重新提交竣工验收申请报告，并按本项约定的程序重新进行验收。 </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u w:val="single"/>
        </w:rPr>
        <w:t>（5）工程未经验收或验收不合格，发包人擅自使用的，应在转移占有工程后7天内向承包人颁发工程接收证书；发包人无正当理由逾期不颁发工程接收证书的，自转移占有后第15天起视为已颁发工程接收证书。。</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kern w:val="0"/>
          <w:sz w:val="24"/>
          <w:szCs w:val="24"/>
          <w:highlight w:val="none"/>
        </w:rPr>
        <w:t>发包人不按照本项约定组织竣工验收、颁发工程接收证书的违约金的计算方法：</w:t>
      </w:r>
      <w:r>
        <w:rPr>
          <w:rFonts w:hint="eastAsia" w:ascii="宋体" w:hAnsi="宋体" w:cs="宋体"/>
          <w:sz w:val="24"/>
          <w:szCs w:val="24"/>
          <w:highlight w:val="none"/>
          <w:u w:val="single"/>
        </w:rPr>
        <w:t>每逾期一天，应以签约合同价为基数，按照中国人民银行发布的同期同类贷款基准利率支付违约金。。</w:t>
      </w:r>
    </w:p>
    <w:bookmarkEnd w:id="100"/>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13.2.5移交、接收全部与部分工程</w:t>
      </w:r>
    </w:p>
    <w:bookmarkEnd w:id="101"/>
    <w:p>
      <w:pPr>
        <w:spacing w:line="36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承包人向发包人移交工程的期限：</w:t>
      </w:r>
      <w:r>
        <w:rPr>
          <w:rFonts w:hint="eastAsia" w:ascii="宋体" w:hAnsi="宋体" w:cs="宋体"/>
          <w:sz w:val="24"/>
          <w:szCs w:val="24"/>
          <w:highlight w:val="none"/>
          <w:u w:val="single"/>
        </w:rPr>
        <w:t>自竣工验收合格之日起20天内。</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kern w:val="0"/>
          <w:sz w:val="24"/>
          <w:szCs w:val="24"/>
          <w:highlight w:val="none"/>
        </w:rPr>
        <w:t>发包人未按本合同约定接收全部或部分工程的，违约金的计算方法为：</w:t>
      </w:r>
      <w:r>
        <w:rPr>
          <w:rFonts w:hint="eastAsia" w:ascii="宋体" w:hAnsi="宋体" w:cs="宋体"/>
          <w:sz w:val="24"/>
          <w:szCs w:val="24"/>
          <w:highlight w:val="none"/>
          <w:u w:val="single"/>
        </w:rPr>
        <w:t>按照中国人民银行发布的同期同类贷款基准利率支付违约金。</w:t>
      </w:r>
      <w:r>
        <w:rPr>
          <w:rFonts w:hint="eastAsia" w:ascii="宋体" w:hAnsi="宋体" w:cs="宋体"/>
          <w:sz w:val="24"/>
          <w:szCs w:val="24"/>
          <w:highlight w:val="none"/>
        </w:rPr>
        <w:t>。</w:t>
      </w:r>
    </w:p>
    <w:bookmarkEnd w:id="102"/>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承包人未按时移交工程的，违约金的计算方法为：</w:t>
      </w:r>
      <w:r>
        <w:rPr>
          <w:rFonts w:hint="eastAsia" w:ascii="宋体" w:hAnsi="宋体" w:cs="宋体"/>
          <w:sz w:val="24"/>
          <w:szCs w:val="24"/>
          <w:highlight w:val="none"/>
          <w:u w:val="single"/>
        </w:rPr>
        <w:t>：如承包人不能及时拆除或清理，对于占用的范围发包人将收取100元/平方米·天的租金，发包人有权派人强行拆除并清理，造成的费用和损失由承包人承担。</w:t>
      </w:r>
      <w:r>
        <w:rPr>
          <w:rFonts w:hint="eastAsia" w:ascii="宋体" w:hAnsi="宋体" w:cs="宋体"/>
          <w:sz w:val="24"/>
          <w:szCs w:val="24"/>
          <w:highlight w:val="none"/>
        </w:rPr>
        <w:t>。</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13.3 工程试车</w:t>
      </w:r>
    </w:p>
    <w:bookmarkEnd w:id="103"/>
    <w:p>
      <w:pPr>
        <w:spacing w:line="36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13.3.1 试车程序</w:t>
      </w:r>
    </w:p>
    <w:p>
      <w:pPr>
        <w:spacing w:line="36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工程试车内容：</w:t>
      </w:r>
      <w:r>
        <w:rPr>
          <w:rFonts w:hint="eastAsia" w:ascii="宋体" w:hAnsi="宋体" w:cs="宋体"/>
          <w:sz w:val="24"/>
          <w:szCs w:val="24"/>
          <w:highlight w:val="none"/>
          <w:u w:val="single"/>
        </w:rPr>
        <w:t> </w:t>
      </w:r>
      <w:r>
        <w:rPr>
          <w:rFonts w:hint="eastAsia" w:ascii="宋体" w:hAnsi="宋体" w:cs="宋体"/>
          <w:sz w:val="24"/>
          <w:szCs w:val="24"/>
          <w:highlight w:val="none"/>
        </w:rPr>
        <w:t>。</w:t>
      </w:r>
    </w:p>
    <w:p>
      <w:pPr>
        <w:spacing w:line="36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（1）单机无负荷试车费用由</w:t>
      </w:r>
      <w:r>
        <w:rPr>
          <w:rFonts w:hint="eastAsia" w:ascii="宋体" w:hAnsi="宋体" w:cs="宋体"/>
          <w:sz w:val="24"/>
          <w:szCs w:val="24"/>
          <w:highlight w:val="none"/>
          <w:u w:val="single"/>
        </w:rPr>
        <w:t> </w:t>
      </w:r>
      <w:r>
        <w:rPr>
          <w:rFonts w:hint="eastAsia" w:ascii="宋体" w:hAnsi="宋体" w:cs="宋体"/>
          <w:kern w:val="0"/>
          <w:sz w:val="24"/>
          <w:szCs w:val="24"/>
          <w:highlight w:val="none"/>
        </w:rPr>
        <w:t>承担；</w:t>
      </w:r>
    </w:p>
    <w:p>
      <w:pPr>
        <w:spacing w:line="36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（2）无负荷联动试车费用由</w:t>
      </w:r>
      <w:r>
        <w:rPr>
          <w:rFonts w:hint="eastAsia" w:ascii="宋体" w:hAnsi="宋体" w:cs="宋体"/>
          <w:sz w:val="24"/>
          <w:szCs w:val="24"/>
          <w:highlight w:val="none"/>
          <w:u w:val="single"/>
        </w:rPr>
        <w:t> </w:t>
      </w:r>
      <w:r>
        <w:rPr>
          <w:rFonts w:hint="eastAsia" w:ascii="宋体" w:hAnsi="宋体" w:cs="宋体"/>
          <w:kern w:val="0"/>
          <w:sz w:val="24"/>
          <w:szCs w:val="24"/>
          <w:highlight w:val="none"/>
        </w:rPr>
        <w:t>承担。</w:t>
      </w:r>
    </w:p>
    <w:p>
      <w:pPr>
        <w:spacing w:line="36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13.3.3 投料试车</w:t>
      </w:r>
    </w:p>
    <w:p>
      <w:pPr>
        <w:spacing w:line="36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关于投料试车相关事项的约定：</w:t>
      </w:r>
      <w:r>
        <w:rPr>
          <w:rFonts w:hint="eastAsia" w:ascii="宋体" w:hAnsi="宋体" w:cs="宋体"/>
          <w:sz w:val="24"/>
          <w:szCs w:val="24"/>
          <w:highlight w:val="none"/>
          <w:u w:val="single"/>
        </w:rPr>
        <w:t>不采用</w:t>
      </w:r>
      <w:r>
        <w:rPr>
          <w:rFonts w:hint="eastAsia" w:ascii="宋体" w:hAnsi="宋体" w:cs="宋体"/>
          <w:sz w:val="24"/>
          <w:szCs w:val="24"/>
          <w:highlight w:val="none"/>
        </w:rPr>
        <w:t>。</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13.6 竣工退场</w:t>
      </w:r>
    </w:p>
    <w:p>
      <w:pPr>
        <w:spacing w:line="36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13.6.1 竣工退场</w:t>
      </w:r>
    </w:p>
    <w:p>
      <w:pPr>
        <w:spacing w:line="36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承包人完成竣工退场的期限：</w:t>
      </w:r>
      <w:r>
        <w:rPr>
          <w:rFonts w:hint="eastAsia" w:ascii="宋体" w:hAnsi="宋体" w:cs="宋体"/>
          <w:sz w:val="24"/>
          <w:szCs w:val="24"/>
          <w:highlight w:val="none"/>
          <w:u w:val="single"/>
        </w:rPr>
        <w:t>自验收结束之日起20天内承包人将工程移交给发包人，撤出全部临建、施工人员、施工机械和剩余材料，并将施工现场及临时占地范围内的所有场地清理干净。</w:t>
      </w:r>
      <w:r>
        <w:rPr>
          <w:rFonts w:hint="eastAsia" w:ascii="宋体" w:hAnsi="宋体" w:cs="宋体"/>
          <w:kern w:val="0"/>
          <w:sz w:val="24"/>
          <w:szCs w:val="24"/>
          <w:highlight w:val="none"/>
        </w:rPr>
        <w:t>。</w:t>
      </w:r>
    </w:p>
    <w:p>
      <w:pPr>
        <w:pStyle w:val="14"/>
        <w:spacing w:before="120" w:after="120" w:line="360" w:lineRule="auto"/>
        <w:ind w:firstLine="480" w:firstLineChars="200"/>
        <w:rPr>
          <w:rFonts w:ascii="宋体" w:hAnsi="宋体" w:eastAsia="宋体" w:cs="宋体"/>
          <w:b w:val="0"/>
          <w:sz w:val="24"/>
          <w:szCs w:val="24"/>
          <w:highlight w:val="none"/>
        </w:rPr>
      </w:pPr>
      <w:bookmarkStart w:id="105" w:name="_Toc351203646"/>
      <w:r>
        <w:rPr>
          <w:rFonts w:hint="eastAsia" w:ascii="宋体" w:hAnsi="宋体" w:eastAsia="宋体" w:cs="宋体"/>
          <w:b w:val="0"/>
          <w:sz w:val="24"/>
          <w:szCs w:val="24"/>
          <w:highlight w:val="none"/>
        </w:rPr>
        <w:t>14. 竣工结算</w:t>
      </w:r>
      <w:bookmarkEnd w:id="105"/>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14.1 竣工付款申请</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承包人提交竣工付款申请单的期限：</w:t>
      </w:r>
      <w:r>
        <w:rPr>
          <w:rFonts w:hint="eastAsia" w:ascii="宋体" w:hAnsi="宋体" w:cs="宋体"/>
          <w:sz w:val="24"/>
          <w:szCs w:val="24"/>
          <w:highlight w:val="none"/>
          <w:u w:val="single"/>
        </w:rPr>
        <w:t>承包人应在工程竣工验收合格后28天内向发包人和监理人提交竣工结算申请单，并提交完整的结算资料。</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rPr>
        <w:t>竣工付款申请单应包括的内容：</w:t>
      </w:r>
      <w:r>
        <w:rPr>
          <w:rFonts w:hint="eastAsia" w:ascii="宋体" w:hAnsi="宋体" w:cs="宋体"/>
          <w:sz w:val="24"/>
          <w:szCs w:val="24"/>
          <w:highlight w:val="none"/>
          <w:u w:val="single"/>
        </w:rPr>
        <w:t>竣工结算总价、已支付的工程价款、应扣回的质量保证金、应支付的竣工付款金额等。如有其它需要，另行协商。承包人应保证竣工结算的准确性，如施工单位所报结算经审计后，若审减额（送审额与审定额之差）超过5%（含5%）时（包括图纸变更、材料核价等一切中途变更审计内容），审计费用全部由承包人支付，审计费的计取标准按照苏价服2014（383）号文件中工程结算审核的计费标准计取。</w:t>
      </w:r>
    </w:p>
    <w:p>
      <w:pPr>
        <w:spacing w:line="360" w:lineRule="auto"/>
        <w:ind w:firstLine="480" w:firstLineChars="200"/>
        <w:jc w:val="left"/>
        <w:rPr>
          <w:rFonts w:ascii="宋体" w:hAnsi="宋体" w:cs="宋体"/>
          <w:sz w:val="24"/>
          <w:szCs w:val="24"/>
          <w:highlight w:val="none"/>
        </w:rPr>
      </w:pP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14.2 竣工结算审核</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rPr>
        <w:t>发包人审批竣工付款申请单的期限：</w:t>
      </w:r>
      <w:r>
        <w:rPr>
          <w:rFonts w:hint="eastAsia" w:ascii="宋体" w:hAnsi="宋体" w:cs="宋体"/>
          <w:sz w:val="24"/>
          <w:szCs w:val="24"/>
          <w:highlight w:val="none"/>
          <w:u w:val="single"/>
        </w:rPr>
        <w:t xml:space="preserve">合同工程完工后，承包人应在竣工验收合格之日起28天内向发包人提交竣工结算资料。发包人应在收到承包人提交的竣工结算资料后28天（最迟56天）内进行审核（或委托审核）。发包人经审核，认为承包入应进一步补充资料和修改结算，应在上述时限内向承包人提出审核意见，承包人在收到审核意见后28天内应按照发包人提出的合理要求补充资料，修改竣工结算，并再次提交给发包人复核。 发包人（或委托审核人）应在收到承包人再次提交的竣工结算文件后的28天内予以复核，并将复核结果通知承包人。双方遵守下列规定： </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u w:val="single"/>
        </w:rPr>
        <w:t xml:space="preserve">1) 发包人、承包人对复核结果无异议的，应在7天内在竣工结算文件上签字确认，竣工结算办理完毕； </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u w:val="single"/>
        </w:rPr>
        <w:t xml:space="preserve">2) 发包人或承包人对复核结果有异议的，无异议部分可按照前款规定办理不完全竣工结算，有异议部分由发承包双方协商解决；协商不成的，按照合同约定的争议解决方式处理。 </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sz w:val="24"/>
          <w:szCs w:val="24"/>
          <w:highlight w:val="none"/>
          <w:u w:val="single"/>
        </w:rPr>
        <w:t>3）如承包人自收到复核结果通知后14天内拒不在竣工结算文件上签署确认，也不能提出具体、详细的不同意见，视同承包人无异议。发包人要求办理竣工验收备案的，承包人不得拒绝提供竣工验收资料，否则，由此造成的损失，承包人承担相应责任。</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u w:val="single"/>
        </w:rPr>
        <w:t>发包人、承包人对竣工结算审核审计结果无异议的，发包人应在双方签认后14天内，向承包人出具竣工付款证书。</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发包人完成竣工付款的期限：</w:t>
      </w:r>
      <w:r>
        <w:rPr>
          <w:rFonts w:hint="eastAsia" w:ascii="宋体" w:hAnsi="宋体" w:cs="宋体"/>
          <w:sz w:val="24"/>
          <w:szCs w:val="24"/>
          <w:highlight w:val="none"/>
          <w:u w:val="single"/>
        </w:rPr>
        <w:t>发包人应在签发竣工付款证书后的14 天内，完成对承包人的竣工付款。发包人逾期支付的，按照中国人民银行发布的同期同类贷款基准利率支付违约金。</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关于竣工付款证书异议部分复核的方式和程序：</w:t>
      </w:r>
      <w:r>
        <w:rPr>
          <w:rFonts w:hint="eastAsia" w:ascii="宋体" w:hAnsi="宋体" w:cs="宋体"/>
          <w:sz w:val="24"/>
          <w:szCs w:val="24"/>
          <w:highlight w:val="none"/>
          <w:u w:val="single"/>
        </w:rPr>
        <w:t>对于有异议部分应在收到发包人签认的竣工付款证书后7天内提出异议，并共同委托给第三方或建设工程造价管理部门鉴证，或按照第20条（争议解决）约定处理。</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14.4 最终结清</w:t>
      </w:r>
    </w:p>
    <w:p>
      <w:pPr>
        <w:spacing w:line="36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14.4.1 最终结清申请单</w:t>
      </w:r>
    </w:p>
    <w:p>
      <w:pPr>
        <w:spacing w:line="36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承包人提交最终结清申请单的份数：</w:t>
      </w:r>
      <w:r>
        <w:rPr>
          <w:rFonts w:hint="eastAsia" w:ascii="宋体" w:hAnsi="宋体" w:cs="宋体"/>
          <w:sz w:val="24"/>
          <w:szCs w:val="24"/>
          <w:highlight w:val="none"/>
          <w:u w:val="single"/>
        </w:rPr>
        <w:t>5份</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u w:val="single"/>
        </w:rPr>
      </w:pPr>
      <w:r>
        <w:rPr>
          <w:rFonts w:hint="eastAsia" w:ascii="宋体" w:hAnsi="宋体" w:cs="宋体"/>
          <w:kern w:val="0"/>
          <w:sz w:val="24"/>
          <w:szCs w:val="24"/>
          <w:highlight w:val="none"/>
        </w:rPr>
        <w:t>承包人提交最终结算申请单的期限：</w:t>
      </w:r>
      <w:r>
        <w:rPr>
          <w:rFonts w:hint="eastAsia" w:ascii="宋体" w:hAnsi="宋体" w:cs="宋体"/>
          <w:sz w:val="24"/>
          <w:szCs w:val="24"/>
          <w:highlight w:val="none"/>
          <w:u w:val="single"/>
        </w:rPr>
        <w:t>承包人应在缺陷责任期终止证书颁发后7天内。</w:t>
      </w:r>
    </w:p>
    <w:p>
      <w:pPr>
        <w:spacing w:line="360" w:lineRule="auto"/>
        <w:ind w:firstLine="480" w:firstLineChars="200"/>
        <w:jc w:val="left"/>
        <w:rPr>
          <w:rFonts w:ascii="宋体" w:hAnsi="宋体" w:cs="宋体"/>
          <w:sz w:val="24"/>
          <w:szCs w:val="24"/>
          <w:highlight w:val="none"/>
        </w:rPr>
      </w:pP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14.4.2 最终结清证书和支付</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（1）发包人完成最终结清申请单的审批并颁发最终结清证书的期限：</w:t>
      </w:r>
      <w:r>
        <w:rPr>
          <w:rFonts w:hint="eastAsia" w:ascii="宋体" w:hAnsi="宋体" w:cs="宋体"/>
          <w:sz w:val="24"/>
          <w:szCs w:val="24"/>
          <w:highlight w:val="none"/>
          <w:u w:val="single"/>
        </w:rPr>
        <w:t>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hint="eastAsia" w:ascii="宋体" w:hAnsi="宋体" w:cs="宋体"/>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（2）发包人完成支付的期限：</w:t>
      </w:r>
      <w:r>
        <w:rPr>
          <w:rFonts w:hint="eastAsia" w:ascii="宋体" w:hAnsi="宋体" w:cs="宋体"/>
          <w:sz w:val="24"/>
          <w:szCs w:val="24"/>
          <w:highlight w:val="none"/>
          <w:u w:val="single"/>
        </w:rPr>
        <w:t>发包人应在颁发最终结清证书后7天内完成支付。发包人逾期支付的，按照中国人民银行发布的同期同类贷款基准利率支付违约金。</w:t>
      </w:r>
    </w:p>
    <w:bookmarkEnd w:id="92"/>
    <w:bookmarkEnd w:id="93"/>
    <w:bookmarkEnd w:id="94"/>
    <w:bookmarkEnd w:id="95"/>
    <w:bookmarkEnd w:id="96"/>
    <w:bookmarkEnd w:id="97"/>
    <w:bookmarkEnd w:id="98"/>
    <w:bookmarkEnd w:id="104"/>
    <w:p>
      <w:pPr>
        <w:pStyle w:val="14"/>
        <w:spacing w:before="120" w:after="120" w:line="360" w:lineRule="auto"/>
        <w:ind w:firstLine="480" w:firstLineChars="200"/>
        <w:rPr>
          <w:rFonts w:ascii="宋体" w:hAnsi="宋体" w:eastAsia="宋体" w:cs="宋体"/>
          <w:b w:val="0"/>
          <w:sz w:val="24"/>
          <w:szCs w:val="24"/>
          <w:highlight w:val="none"/>
        </w:rPr>
      </w:pPr>
      <w:bookmarkStart w:id="106" w:name="_Toc351203647"/>
      <w:bookmarkStart w:id="107" w:name="_Toc267251483"/>
      <w:bookmarkStart w:id="108" w:name="_Toc267251484"/>
      <w:bookmarkStart w:id="109" w:name="_Toc267251482"/>
      <w:bookmarkStart w:id="110" w:name="_Toc267251485"/>
      <w:bookmarkStart w:id="111" w:name="_Toc267251486"/>
      <w:bookmarkStart w:id="112" w:name="_Toc267251488"/>
      <w:bookmarkStart w:id="113" w:name="_Toc267251489"/>
      <w:bookmarkStart w:id="114" w:name="_Toc267251490"/>
      <w:bookmarkStart w:id="115" w:name="_Toc267251497"/>
      <w:bookmarkStart w:id="116" w:name="_Toc267251496"/>
      <w:bookmarkStart w:id="117" w:name="_Toc267251498"/>
      <w:bookmarkStart w:id="118" w:name="_Toc267251495"/>
      <w:bookmarkStart w:id="119" w:name="_Toc267251493"/>
      <w:bookmarkStart w:id="120" w:name="_Toc267251494"/>
      <w:bookmarkStart w:id="121" w:name="_Toc267251503"/>
      <w:bookmarkStart w:id="122" w:name="_Toc267251502"/>
      <w:bookmarkStart w:id="123" w:name="_Toc267251499"/>
      <w:bookmarkStart w:id="124" w:name="_Toc267251492"/>
      <w:bookmarkStart w:id="125" w:name="_Toc267251501"/>
      <w:bookmarkStart w:id="126" w:name="_Toc267251491"/>
      <w:bookmarkStart w:id="127" w:name="_Toc267251504"/>
      <w:bookmarkStart w:id="128" w:name="_Toc267251506"/>
      <w:bookmarkStart w:id="129" w:name="_Toc267251507"/>
      <w:bookmarkStart w:id="130" w:name="_Toc267251508"/>
      <w:bookmarkStart w:id="131" w:name="_Toc267251514"/>
      <w:bookmarkStart w:id="132" w:name="_Toc267251510"/>
      <w:bookmarkStart w:id="133" w:name="_Toc267251515"/>
      <w:bookmarkStart w:id="134" w:name="_Toc267251509"/>
      <w:bookmarkStart w:id="135" w:name="_Toc267251511"/>
      <w:bookmarkStart w:id="136" w:name="_Toc267251513"/>
      <w:r>
        <w:rPr>
          <w:rFonts w:hint="eastAsia" w:ascii="宋体" w:hAnsi="宋体" w:eastAsia="宋体" w:cs="宋体"/>
          <w:b w:val="0"/>
          <w:sz w:val="24"/>
          <w:szCs w:val="24"/>
          <w:highlight w:val="none"/>
        </w:rPr>
        <w:t>15. 缺陷责任期与保修</w:t>
      </w:r>
      <w:bookmarkEnd w:id="106"/>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15.2缺陷责任期</w:t>
      </w:r>
      <w:bookmarkEnd w:id="107"/>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缺陷责任期的具体期限：</w:t>
      </w:r>
      <w:r>
        <w:rPr>
          <w:rFonts w:hint="eastAsia" w:ascii="宋体" w:hAnsi="宋体" w:cs="宋体"/>
          <w:sz w:val="24"/>
          <w:szCs w:val="24"/>
          <w:highlight w:val="none"/>
          <w:u w:val="single"/>
        </w:rPr>
        <w:t>自实际竣工日后24个月</w:t>
      </w:r>
      <w:r>
        <w:rPr>
          <w:rFonts w:hint="eastAsia" w:ascii="宋体" w:hAnsi="宋体" w:cs="宋体"/>
          <w:sz w:val="24"/>
          <w:szCs w:val="24"/>
          <w:highlight w:val="none"/>
        </w:rPr>
        <w:t>。</w:t>
      </w:r>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15.3 质量保证金</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关于是否扣留质量保证金的约定：</w:t>
      </w:r>
      <w:r>
        <w:rPr>
          <w:rFonts w:hint="eastAsia" w:ascii="宋体" w:hAnsi="宋体" w:cs="宋体"/>
          <w:sz w:val="24"/>
          <w:szCs w:val="24"/>
          <w:highlight w:val="none"/>
          <w:u w:val="single"/>
        </w:rPr>
        <w:t>竣工结算经审计部门审计结束后，</w:t>
      </w:r>
      <w:r>
        <w:rPr>
          <w:rFonts w:hint="eastAsia" w:ascii="宋体" w:hAnsi="宋体" w:cs="宋体"/>
          <w:sz w:val="24"/>
          <w:szCs w:val="24"/>
          <w:highlight w:val="none"/>
          <w:u w:val="single"/>
          <w:lang w:eastAsia="zh-CN"/>
        </w:rPr>
        <w:t>承包人</w:t>
      </w:r>
      <w:r>
        <w:rPr>
          <w:rFonts w:hint="eastAsia" w:ascii="宋体" w:hAnsi="宋体" w:cs="宋体"/>
          <w:sz w:val="24"/>
          <w:szCs w:val="24"/>
          <w:highlight w:val="none"/>
          <w:u w:val="single"/>
        </w:rPr>
        <w:t>提交审计价款的3%至</w:t>
      </w:r>
      <w:r>
        <w:rPr>
          <w:rFonts w:hint="eastAsia" w:ascii="宋体" w:hAnsi="宋体" w:cs="宋体"/>
          <w:sz w:val="24"/>
          <w:szCs w:val="24"/>
          <w:highlight w:val="none"/>
          <w:u w:val="single"/>
          <w:lang w:eastAsia="zh-CN"/>
        </w:rPr>
        <w:t>发包人</w:t>
      </w:r>
      <w:r>
        <w:rPr>
          <w:rFonts w:hint="eastAsia" w:ascii="宋体" w:hAnsi="宋体" w:cs="宋体"/>
          <w:sz w:val="24"/>
          <w:szCs w:val="24"/>
          <w:highlight w:val="none"/>
          <w:u w:val="single"/>
        </w:rPr>
        <w:t>账户作为质保金。</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15.3.1 承包人提供质量保证金的方式</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质量保证金采用以下第</w:t>
      </w:r>
      <w:r>
        <w:rPr>
          <w:rFonts w:hint="eastAsia" w:ascii="宋体" w:hAnsi="宋体" w:cs="宋体"/>
          <w:sz w:val="24"/>
          <w:szCs w:val="24"/>
          <w:highlight w:val="none"/>
          <w:u w:val="single"/>
        </w:rPr>
        <w:t>（2）</w:t>
      </w:r>
      <w:r>
        <w:rPr>
          <w:rFonts w:hint="eastAsia" w:ascii="宋体" w:hAnsi="宋体" w:cs="宋体"/>
          <w:sz w:val="24"/>
          <w:szCs w:val="24"/>
          <w:highlight w:val="none"/>
        </w:rPr>
        <w:t>种方式：</w:t>
      </w:r>
    </w:p>
    <w:p>
      <w:pPr>
        <w:autoSpaceDE w:val="0"/>
        <w:autoSpaceDN w:val="0"/>
        <w:adjustRightInd w:val="0"/>
        <w:spacing w:line="36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（1）质量保证金保函，保证金额为：</w:t>
      </w:r>
      <w:r>
        <w:rPr>
          <w:rFonts w:hint="eastAsia" w:ascii="宋体" w:hAnsi="宋体" w:cs="宋体"/>
          <w:sz w:val="24"/>
          <w:szCs w:val="24"/>
          <w:highlight w:val="none"/>
          <w:u w:val="single"/>
        </w:rPr>
        <w:t>不采用</w:t>
      </w:r>
      <w:r>
        <w:rPr>
          <w:rFonts w:hint="eastAsia" w:ascii="宋体" w:hAnsi="宋体" w:cs="宋体"/>
          <w:kern w:val="0"/>
          <w:sz w:val="24"/>
          <w:szCs w:val="24"/>
          <w:highlight w:val="none"/>
        </w:rPr>
        <w:t xml:space="preserve">； </w:t>
      </w:r>
    </w:p>
    <w:p>
      <w:pPr>
        <w:autoSpaceDE w:val="0"/>
        <w:autoSpaceDN w:val="0"/>
        <w:adjustRightInd w:val="0"/>
        <w:spacing w:line="36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（2）</w:t>
      </w:r>
      <w:r>
        <w:rPr>
          <w:rFonts w:hint="eastAsia" w:ascii="宋体" w:hAnsi="宋体" w:cs="宋体"/>
          <w:sz w:val="24"/>
          <w:szCs w:val="24"/>
          <w:highlight w:val="none"/>
          <w:u w:val="single"/>
        </w:rPr>
        <w:t>3</w:t>
      </w:r>
      <w:r>
        <w:rPr>
          <w:rFonts w:hint="eastAsia" w:ascii="宋体" w:hAnsi="宋体" w:cs="宋体"/>
          <w:kern w:val="0"/>
          <w:sz w:val="24"/>
          <w:szCs w:val="24"/>
          <w:highlight w:val="none"/>
        </w:rPr>
        <w:t>%的工程款；</w:t>
      </w:r>
    </w:p>
    <w:p>
      <w:pPr>
        <w:autoSpaceDE w:val="0"/>
        <w:autoSpaceDN w:val="0"/>
        <w:adjustRightInd w:val="0"/>
        <w:spacing w:line="36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（3）其他方式:</w:t>
      </w:r>
      <w:r>
        <w:rPr>
          <w:rFonts w:hint="eastAsia" w:ascii="宋体" w:hAnsi="宋体" w:cs="宋体"/>
          <w:sz w:val="24"/>
          <w:szCs w:val="24"/>
          <w:highlight w:val="none"/>
          <w:u w:val="single"/>
        </w:rPr>
        <w:t xml:space="preserve"> 不采用</w:t>
      </w:r>
      <w:r>
        <w:rPr>
          <w:rFonts w:hint="eastAsia" w:ascii="宋体" w:hAnsi="宋体" w:cs="宋体"/>
          <w:kern w:val="0"/>
          <w:sz w:val="24"/>
          <w:szCs w:val="24"/>
          <w:highlight w:val="none"/>
        </w:rPr>
        <w:t>。</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 xml:space="preserve">15.3.2 质量保证金的扣留 </w:t>
      </w:r>
    </w:p>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质量保证金的扣留采取以下第</w:t>
      </w:r>
      <w:r>
        <w:rPr>
          <w:rFonts w:hint="eastAsia" w:ascii="宋体" w:hAnsi="宋体" w:cs="宋体"/>
          <w:sz w:val="24"/>
          <w:szCs w:val="24"/>
          <w:highlight w:val="none"/>
          <w:u w:val="single"/>
        </w:rPr>
        <w:t>（3）</w:t>
      </w:r>
      <w:r>
        <w:rPr>
          <w:rFonts w:hint="eastAsia" w:ascii="宋体" w:hAnsi="宋体" w:cs="宋体"/>
          <w:sz w:val="24"/>
          <w:szCs w:val="24"/>
          <w:highlight w:val="none"/>
        </w:rPr>
        <w:t>种方式：</w:t>
      </w:r>
    </w:p>
    <w:p>
      <w:pPr>
        <w:autoSpaceDE w:val="0"/>
        <w:autoSpaceDN w:val="0"/>
        <w:adjustRightInd w:val="0"/>
        <w:spacing w:line="36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（1）在支付工程进度款时逐次扣留，在此情形下，质量保证金的计算基数不包括预付款的支付、扣回以及价格调整的金额；</w:t>
      </w:r>
    </w:p>
    <w:p>
      <w:pPr>
        <w:autoSpaceDE w:val="0"/>
        <w:autoSpaceDN w:val="0"/>
        <w:adjustRightInd w:val="0"/>
        <w:spacing w:line="36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（2）工程竣工结算时一次性扣留质量保证金；</w:t>
      </w:r>
    </w:p>
    <w:p>
      <w:pPr>
        <w:spacing w:line="360" w:lineRule="auto"/>
        <w:ind w:firstLine="480" w:firstLineChars="200"/>
        <w:jc w:val="left"/>
        <w:rPr>
          <w:rFonts w:ascii="宋体" w:hAnsi="宋体" w:cs="宋体"/>
          <w:sz w:val="24"/>
          <w:szCs w:val="24"/>
          <w:highlight w:val="none"/>
        </w:rPr>
      </w:pPr>
      <w:r>
        <w:rPr>
          <w:rFonts w:hint="eastAsia" w:ascii="宋体" w:hAnsi="宋体" w:cs="宋体"/>
          <w:kern w:val="0"/>
          <w:sz w:val="24"/>
          <w:szCs w:val="24"/>
          <w:highlight w:val="none"/>
        </w:rPr>
        <w:t>（3）其他扣留方式:</w:t>
      </w:r>
      <w:r>
        <w:rPr>
          <w:rFonts w:hint="eastAsia" w:ascii="宋体" w:hAnsi="宋体" w:cs="宋体"/>
          <w:sz w:val="24"/>
          <w:szCs w:val="24"/>
          <w:highlight w:val="none"/>
          <w:u w:val="single"/>
        </w:rPr>
        <w:t>竣工结算经审计部门审计结束后，</w:t>
      </w:r>
      <w:r>
        <w:rPr>
          <w:rFonts w:hint="eastAsia" w:ascii="宋体" w:hAnsi="宋体" w:cs="宋体"/>
          <w:sz w:val="24"/>
          <w:szCs w:val="24"/>
          <w:highlight w:val="none"/>
          <w:u w:val="single"/>
          <w:lang w:eastAsia="zh-CN"/>
        </w:rPr>
        <w:t>承包人</w:t>
      </w:r>
      <w:r>
        <w:rPr>
          <w:rFonts w:hint="eastAsia" w:ascii="宋体" w:hAnsi="宋体" w:cs="宋体"/>
          <w:sz w:val="24"/>
          <w:szCs w:val="24"/>
          <w:highlight w:val="none"/>
          <w:u w:val="single"/>
        </w:rPr>
        <w:t>提交审计价款的3%至</w:t>
      </w:r>
      <w:r>
        <w:rPr>
          <w:rFonts w:hint="eastAsia" w:ascii="宋体" w:hAnsi="宋体" w:cs="宋体"/>
          <w:sz w:val="24"/>
          <w:szCs w:val="24"/>
          <w:highlight w:val="none"/>
          <w:u w:val="single"/>
          <w:lang w:eastAsia="zh-CN"/>
        </w:rPr>
        <w:t>发包人</w:t>
      </w:r>
      <w:r>
        <w:rPr>
          <w:rFonts w:hint="eastAsia" w:ascii="宋体" w:hAnsi="宋体" w:cs="宋体"/>
          <w:sz w:val="24"/>
          <w:szCs w:val="24"/>
          <w:highlight w:val="none"/>
          <w:u w:val="single"/>
        </w:rPr>
        <w:t>账户作为质保金。</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关于质量保证金的补充约定</w:t>
      </w:r>
      <w:r>
        <w:rPr>
          <w:rFonts w:hint="eastAsia" w:ascii="宋体" w:hAnsi="宋体" w:cs="宋体"/>
          <w:kern w:val="0"/>
          <w:sz w:val="24"/>
          <w:szCs w:val="24"/>
          <w:highlight w:val="none"/>
        </w:rPr>
        <w:t>:</w:t>
      </w:r>
      <w:r>
        <w:rPr>
          <w:rFonts w:hint="eastAsia" w:ascii="宋体" w:hAnsi="宋体" w:eastAsia="宋体" w:cs="宋体"/>
          <w:color w:val="000000"/>
          <w:sz w:val="24"/>
          <w:szCs w:val="24"/>
          <w:highlight w:val="none"/>
          <w:u w:val="single"/>
        </w:rPr>
        <w:t>缺陷责任期终止后，发包人应退还剩余的质量保证金</w:t>
      </w:r>
      <w:r>
        <w:rPr>
          <w:rFonts w:hint="eastAsia" w:ascii="宋体" w:hAnsi="宋体" w:cs="宋体"/>
          <w:color w:val="0000FF"/>
          <w:sz w:val="24"/>
          <w:szCs w:val="24"/>
          <w:highlight w:val="none"/>
          <w:u w:val="single"/>
        </w:rPr>
        <w:t>。</w:t>
      </w:r>
    </w:p>
    <w:bookmarkEnd w:id="108"/>
    <w:bookmarkEnd w:id="109"/>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15.4保修</w:t>
      </w:r>
    </w:p>
    <w:bookmarkEnd w:id="110"/>
    <w:p>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15.4.1 保修责任</w:t>
      </w:r>
    </w:p>
    <w:p>
      <w:pPr>
        <w:spacing w:line="360" w:lineRule="auto"/>
        <w:ind w:firstLine="468" w:firstLineChars="195"/>
        <w:jc w:val="left"/>
        <w:rPr>
          <w:rFonts w:ascii="宋体" w:hAnsi="宋体" w:cs="宋体"/>
          <w:color w:val="000000"/>
          <w:kern w:val="0"/>
          <w:sz w:val="24"/>
          <w:szCs w:val="24"/>
          <w:highlight w:val="none"/>
        </w:rPr>
      </w:pPr>
      <w:r>
        <w:rPr>
          <w:rFonts w:hint="eastAsia" w:ascii="宋体" w:hAnsi="宋体" w:cs="宋体"/>
          <w:sz w:val="24"/>
          <w:szCs w:val="24"/>
          <w:highlight w:val="none"/>
        </w:rPr>
        <w:t>工程保修期为</w:t>
      </w:r>
      <w:r>
        <w:rPr>
          <w:rFonts w:hint="eastAsia" w:ascii="宋体" w:hAnsi="宋体" w:cs="宋体"/>
          <w:color w:val="000000"/>
          <w:sz w:val="24"/>
          <w:szCs w:val="24"/>
          <w:highlight w:val="none"/>
        </w:rPr>
        <w:t>：</w:t>
      </w:r>
      <w:r>
        <w:rPr>
          <w:rFonts w:hint="eastAsia" w:ascii="宋体" w:hAnsi="宋体" w:cs="宋体"/>
          <w:color w:val="000000"/>
          <w:sz w:val="24"/>
          <w:szCs w:val="24"/>
          <w:highlight w:val="none"/>
          <w:u w:val="single"/>
        </w:rPr>
        <w:t>详见“附件1：工程质量保修书”。</w:t>
      </w:r>
    </w:p>
    <w:p>
      <w:pPr>
        <w:spacing w:line="360" w:lineRule="auto"/>
        <w:ind w:firstLine="480" w:firstLineChars="200"/>
        <w:jc w:val="left"/>
        <w:rPr>
          <w:rFonts w:ascii="宋体" w:hAnsi="宋体" w:cs="宋体"/>
          <w:color w:val="000000"/>
          <w:sz w:val="24"/>
          <w:szCs w:val="24"/>
          <w:highlight w:val="none"/>
        </w:rPr>
      </w:pPr>
      <w:r>
        <w:rPr>
          <w:rFonts w:hint="eastAsia" w:ascii="宋体" w:hAnsi="宋体" w:cs="宋体"/>
          <w:color w:val="000000"/>
          <w:sz w:val="24"/>
          <w:szCs w:val="24"/>
          <w:highlight w:val="none"/>
        </w:rPr>
        <w:t>15.4.3 修复通知</w:t>
      </w:r>
    </w:p>
    <w:p>
      <w:pPr>
        <w:spacing w:line="360" w:lineRule="auto"/>
        <w:ind w:firstLine="468" w:firstLineChars="195"/>
        <w:jc w:val="left"/>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承包人收到保修通知并到达工程现场的合理时间：</w:t>
      </w:r>
      <w:r>
        <w:rPr>
          <w:rFonts w:hint="eastAsia" w:ascii="宋体" w:hAnsi="宋体" w:cs="宋体"/>
          <w:color w:val="000000"/>
          <w:sz w:val="24"/>
          <w:szCs w:val="24"/>
          <w:highlight w:val="none"/>
          <w:u w:val="single"/>
        </w:rPr>
        <w:t>承包人收到保修通知后24小时内到达工程现场。</w:t>
      </w:r>
      <w:r>
        <w:rPr>
          <w:rFonts w:hint="eastAsia" w:ascii="宋体" w:hAnsi="宋体" w:cs="宋体"/>
          <w:color w:val="000000"/>
          <w:kern w:val="0"/>
          <w:sz w:val="24"/>
          <w:szCs w:val="24"/>
          <w:highlight w:val="none"/>
        </w:rPr>
        <w:t>。</w:t>
      </w:r>
    </w:p>
    <w:bookmarkEnd w:id="111"/>
    <w:bookmarkEnd w:id="112"/>
    <w:bookmarkEnd w:id="113"/>
    <w:bookmarkEnd w:id="114"/>
    <w:p>
      <w:pPr>
        <w:pStyle w:val="14"/>
        <w:spacing w:before="120" w:after="120" w:line="360" w:lineRule="auto"/>
        <w:ind w:firstLine="480" w:firstLineChars="200"/>
        <w:rPr>
          <w:rFonts w:ascii="宋体" w:hAnsi="宋体" w:eastAsia="宋体" w:cs="宋体"/>
          <w:b w:val="0"/>
          <w:color w:val="000000"/>
          <w:sz w:val="24"/>
          <w:szCs w:val="24"/>
          <w:highlight w:val="none"/>
        </w:rPr>
      </w:pPr>
      <w:bookmarkStart w:id="137" w:name="_Toc351203648"/>
      <w:bookmarkStart w:id="138" w:name="_Toc280868717"/>
      <w:bookmarkStart w:id="139" w:name="_Toc280868718"/>
      <w:r>
        <w:rPr>
          <w:rFonts w:hint="eastAsia" w:ascii="宋体" w:hAnsi="宋体" w:eastAsia="宋体" w:cs="宋体"/>
          <w:b w:val="0"/>
          <w:color w:val="000000"/>
          <w:sz w:val="24"/>
          <w:szCs w:val="24"/>
          <w:highlight w:val="none"/>
        </w:rPr>
        <w:t>16. 违约</w:t>
      </w:r>
      <w:bookmarkEnd w:id="137"/>
    </w:p>
    <w:p>
      <w:pPr>
        <w:spacing w:after="120" w:line="360" w:lineRule="auto"/>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16.1 发包人违约</w:t>
      </w:r>
    </w:p>
    <w:p>
      <w:pPr>
        <w:spacing w:line="360" w:lineRule="auto"/>
        <w:ind w:firstLine="480" w:firstLineChars="200"/>
        <w:jc w:val="left"/>
        <w:rPr>
          <w:rFonts w:ascii="宋体" w:hAnsi="宋体" w:cs="宋体"/>
          <w:color w:val="000000"/>
          <w:sz w:val="24"/>
          <w:szCs w:val="24"/>
          <w:highlight w:val="none"/>
        </w:rPr>
      </w:pPr>
      <w:r>
        <w:rPr>
          <w:rFonts w:hint="eastAsia" w:ascii="宋体" w:hAnsi="宋体" w:cs="宋体"/>
          <w:color w:val="000000"/>
          <w:sz w:val="24"/>
          <w:szCs w:val="24"/>
          <w:highlight w:val="none"/>
        </w:rPr>
        <w:t>16.1.1发包人违约的情形</w:t>
      </w:r>
    </w:p>
    <w:p>
      <w:pPr>
        <w:spacing w:line="360" w:lineRule="auto"/>
        <w:ind w:firstLine="480" w:firstLineChars="200"/>
        <w:jc w:val="left"/>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发包人违约的其他情形：</w:t>
      </w:r>
      <w:r>
        <w:rPr>
          <w:rFonts w:hint="eastAsia" w:ascii="宋体" w:hAnsi="宋体" w:cs="宋体"/>
          <w:color w:val="000000"/>
          <w:sz w:val="24"/>
          <w:szCs w:val="24"/>
          <w:highlight w:val="none"/>
          <w:u w:val="single"/>
        </w:rPr>
        <w:t>无</w:t>
      </w:r>
      <w:r>
        <w:rPr>
          <w:rFonts w:hint="eastAsia" w:ascii="宋体" w:hAnsi="宋体" w:cs="宋体"/>
          <w:color w:val="000000"/>
          <w:kern w:val="0"/>
          <w:sz w:val="24"/>
          <w:szCs w:val="24"/>
          <w:highlight w:val="none"/>
        </w:rPr>
        <w:t>。</w:t>
      </w:r>
    </w:p>
    <w:p>
      <w:pPr>
        <w:spacing w:line="360" w:lineRule="auto"/>
        <w:ind w:firstLine="480" w:firstLineChars="200"/>
        <w:jc w:val="left"/>
        <w:rPr>
          <w:rFonts w:ascii="宋体" w:hAnsi="宋体" w:cs="宋体"/>
          <w:color w:val="000000"/>
          <w:sz w:val="24"/>
          <w:szCs w:val="24"/>
          <w:highlight w:val="none"/>
        </w:rPr>
      </w:pPr>
      <w:r>
        <w:rPr>
          <w:rFonts w:hint="eastAsia" w:ascii="宋体" w:hAnsi="宋体" w:cs="宋体"/>
          <w:color w:val="000000"/>
          <w:sz w:val="24"/>
          <w:szCs w:val="24"/>
          <w:highlight w:val="none"/>
        </w:rPr>
        <w:t>16.1.2 发包人违约的责任</w:t>
      </w:r>
    </w:p>
    <w:p>
      <w:pPr>
        <w:spacing w:line="360" w:lineRule="auto"/>
        <w:ind w:firstLine="480" w:firstLineChars="200"/>
        <w:jc w:val="left"/>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发包人违约责任的承担方式和计算方法：</w:t>
      </w:r>
    </w:p>
    <w:p>
      <w:pPr>
        <w:spacing w:line="360" w:lineRule="auto"/>
        <w:ind w:firstLine="480" w:firstLineChars="200"/>
        <w:jc w:val="left"/>
        <w:rPr>
          <w:rFonts w:ascii="宋体" w:hAnsi="宋体" w:cs="宋体"/>
          <w:color w:val="000000"/>
          <w:kern w:val="0"/>
          <w:sz w:val="24"/>
          <w:szCs w:val="24"/>
          <w:highlight w:val="none"/>
          <w:u w:val="single"/>
        </w:rPr>
      </w:pPr>
      <w:r>
        <w:rPr>
          <w:rFonts w:hint="eastAsia" w:ascii="宋体" w:hAnsi="宋体" w:cs="宋体"/>
          <w:color w:val="000000"/>
          <w:kern w:val="0"/>
          <w:sz w:val="24"/>
          <w:szCs w:val="24"/>
          <w:highlight w:val="none"/>
        </w:rPr>
        <w:t>（1）因发包人原因未能在计划开工日期前7天内下达开工通知的违约责任：</w:t>
      </w:r>
      <w:r>
        <w:rPr>
          <w:rFonts w:hint="eastAsia" w:ascii="宋体" w:hAnsi="宋体" w:cs="宋体"/>
          <w:color w:val="000000"/>
          <w:sz w:val="24"/>
          <w:szCs w:val="24"/>
          <w:highlight w:val="none"/>
          <w:u w:val="single"/>
        </w:rPr>
        <w:t>相应工期顺延。</w:t>
      </w:r>
      <w:r>
        <w:rPr>
          <w:rFonts w:hint="eastAsia" w:ascii="宋体" w:hAnsi="宋体" w:cs="宋体"/>
          <w:color w:val="000000"/>
          <w:kern w:val="0"/>
          <w:sz w:val="24"/>
          <w:szCs w:val="24"/>
          <w:highlight w:val="none"/>
        </w:rPr>
        <w:t>。</w:t>
      </w:r>
    </w:p>
    <w:p>
      <w:pPr>
        <w:spacing w:line="360" w:lineRule="auto"/>
        <w:ind w:firstLine="480" w:firstLineChars="200"/>
        <w:jc w:val="left"/>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（2）因发包人原因未能按合同约定支付合同价款的违约责任：</w:t>
      </w:r>
      <w:r>
        <w:rPr>
          <w:rFonts w:hint="eastAsia" w:ascii="宋体" w:hAnsi="宋体" w:cs="宋体"/>
          <w:color w:val="000000"/>
          <w:sz w:val="24"/>
          <w:szCs w:val="24"/>
          <w:highlight w:val="none"/>
          <w:u w:val="single"/>
        </w:rPr>
        <w:t>按照中国人民银行发布的同期同类贷款基准利率支付违约金。</w:t>
      </w:r>
      <w:r>
        <w:rPr>
          <w:rFonts w:hint="eastAsia" w:ascii="宋体" w:hAnsi="宋体" w:cs="宋体"/>
          <w:color w:val="000000"/>
          <w:kern w:val="0"/>
          <w:sz w:val="24"/>
          <w:szCs w:val="24"/>
          <w:highlight w:val="none"/>
        </w:rPr>
        <w:t>。</w:t>
      </w:r>
    </w:p>
    <w:p>
      <w:pPr>
        <w:spacing w:line="360" w:lineRule="auto"/>
        <w:ind w:firstLine="480" w:firstLineChars="200"/>
        <w:jc w:val="left"/>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（3）发包人违反第10.1款〔变更的范围〕第（2）项约定，自行实施被取消的工作或转由他人实施的违约责任:</w:t>
      </w:r>
      <w:r>
        <w:rPr>
          <w:rFonts w:hint="eastAsia" w:ascii="宋体" w:hAnsi="宋体" w:cs="宋体"/>
          <w:color w:val="000000"/>
          <w:sz w:val="24"/>
          <w:szCs w:val="24"/>
          <w:highlight w:val="none"/>
          <w:u w:val="single"/>
        </w:rPr>
        <w:t> </w:t>
      </w:r>
      <w:r>
        <w:rPr>
          <w:rFonts w:hint="eastAsia" w:ascii="宋体" w:hAnsi="宋体" w:cs="宋体"/>
          <w:color w:val="000000"/>
          <w:kern w:val="0"/>
          <w:sz w:val="24"/>
          <w:szCs w:val="24"/>
          <w:highlight w:val="none"/>
        </w:rPr>
        <w:t>。</w:t>
      </w:r>
    </w:p>
    <w:p>
      <w:pPr>
        <w:spacing w:line="360" w:lineRule="auto"/>
        <w:ind w:firstLine="480" w:firstLineChars="200"/>
        <w:jc w:val="left"/>
        <w:rPr>
          <w:rFonts w:ascii="宋体" w:hAnsi="宋体" w:cs="宋体"/>
          <w:color w:val="000000"/>
          <w:sz w:val="24"/>
          <w:szCs w:val="24"/>
          <w:highlight w:val="none"/>
          <w:u w:val="single"/>
        </w:rPr>
      </w:pPr>
      <w:r>
        <w:rPr>
          <w:rFonts w:hint="eastAsia" w:ascii="宋体" w:hAnsi="宋体" w:cs="宋体"/>
          <w:color w:val="000000"/>
          <w:kern w:val="0"/>
          <w:sz w:val="24"/>
          <w:szCs w:val="24"/>
          <w:highlight w:val="none"/>
        </w:rPr>
        <w:t>（4）发包人提供的材料、工程设备的规格、数量或质量不符合合同约定，或因发包人原因导致交货日期延误或交货地点变更等情况的违约责任：</w:t>
      </w:r>
      <w:r>
        <w:rPr>
          <w:rFonts w:hint="eastAsia" w:ascii="宋体" w:hAnsi="宋体" w:cs="宋体"/>
          <w:color w:val="000000"/>
          <w:sz w:val="24"/>
          <w:szCs w:val="24"/>
          <w:highlight w:val="none"/>
          <w:u w:val="single"/>
        </w:rPr>
        <w:t>（1）如造成工期延误的，工期相应顺延并赔偿给承包人造成的直接经济损失。</w:t>
      </w:r>
    </w:p>
    <w:p>
      <w:pPr>
        <w:spacing w:line="360" w:lineRule="auto"/>
        <w:ind w:firstLine="480" w:firstLineChars="200"/>
        <w:jc w:val="left"/>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（2）当发包人与承包人对乙供材的价格、质量等原因发生争议时，发包人保留将乙供材改为甲供的权利。该部分材料的价格按投标价从承包人的合同价款中扣除。</w:t>
      </w:r>
    </w:p>
    <w:p>
      <w:pPr>
        <w:spacing w:line="360" w:lineRule="auto"/>
        <w:ind w:firstLine="480" w:firstLineChars="200"/>
        <w:jc w:val="left"/>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（3）承包人投标报价时必须按清单编制说明中材料品牌要求报品牌，如未按照清单编制说明报价，发包人保留将乙供材改为甲供的权利 ，该部分材料的价格按采购价从承包人的合同价款中扣除。。</w:t>
      </w:r>
    </w:p>
    <w:p>
      <w:pPr>
        <w:spacing w:line="360" w:lineRule="auto"/>
        <w:ind w:firstLine="480" w:firstLineChars="200"/>
        <w:jc w:val="left"/>
        <w:rPr>
          <w:rFonts w:ascii="宋体" w:hAnsi="宋体" w:cs="宋体"/>
          <w:color w:val="000000"/>
          <w:sz w:val="24"/>
          <w:szCs w:val="24"/>
          <w:highlight w:val="none"/>
          <w:u w:val="single"/>
        </w:rPr>
      </w:pPr>
      <w:r>
        <w:rPr>
          <w:rFonts w:hint="eastAsia" w:ascii="宋体" w:hAnsi="宋体" w:cs="宋体"/>
          <w:color w:val="000000"/>
          <w:kern w:val="0"/>
          <w:sz w:val="24"/>
          <w:szCs w:val="24"/>
          <w:highlight w:val="none"/>
        </w:rPr>
        <w:t>（5）因发包人违反合同约定造成暂停施工的违约责任：</w:t>
      </w:r>
      <w:r>
        <w:rPr>
          <w:rFonts w:hint="eastAsia" w:ascii="宋体" w:hAnsi="宋体" w:cs="宋体"/>
          <w:color w:val="000000"/>
          <w:sz w:val="24"/>
          <w:szCs w:val="24"/>
          <w:highlight w:val="none"/>
          <w:u w:val="single"/>
        </w:rPr>
        <w:t>如造成工期延误的，工期相应顺延并赔偿给承包人造成的直接经济损失。。</w:t>
      </w:r>
    </w:p>
    <w:p>
      <w:pPr>
        <w:spacing w:line="360" w:lineRule="auto"/>
        <w:ind w:firstLine="480" w:firstLineChars="200"/>
        <w:jc w:val="left"/>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（6）发包人无正当理由没有在约定期限内发出复工指示，导致承包人无法复工的违约责任：</w:t>
      </w:r>
      <w:r>
        <w:rPr>
          <w:rFonts w:hint="eastAsia" w:ascii="宋体" w:hAnsi="宋体" w:cs="宋体"/>
          <w:color w:val="000000"/>
          <w:sz w:val="24"/>
          <w:szCs w:val="24"/>
          <w:highlight w:val="none"/>
          <w:u w:val="single"/>
        </w:rPr>
        <w:t>如造成工期延误的，工期相应顺延并赔偿给承包人造成的直接经济损失。</w:t>
      </w:r>
      <w:r>
        <w:rPr>
          <w:rFonts w:hint="eastAsia" w:ascii="宋体" w:hAnsi="宋体" w:cs="宋体"/>
          <w:color w:val="000000"/>
          <w:kern w:val="0"/>
          <w:sz w:val="24"/>
          <w:szCs w:val="24"/>
          <w:highlight w:val="none"/>
        </w:rPr>
        <w:t>。</w:t>
      </w:r>
    </w:p>
    <w:p>
      <w:pPr>
        <w:spacing w:line="360" w:lineRule="auto"/>
        <w:ind w:firstLine="480" w:firstLineChars="200"/>
        <w:jc w:val="left"/>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（7）其他：</w:t>
      </w:r>
      <w:r>
        <w:rPr>
          <w:rFonts w:hint="eastAsia" w:ascii="宋体" w:hAnsi="宋体" w:cs="宋体"/>
          <w:color w:val="000000"/>
          <w:sz w:val="24"/>
          <w:szCs w:val="24"/>
          <w:highlight w:val="none"/>
          <w:u w:val="single"/>
        </w:rPr>
        <w:t>无</w:t>
      </w:r>
      <w:r>
        <w:rPr>
          <w:rFonts w:hint="eastAsia" w:ascii="宋体" w:hAnsi="宋体" w:cs="宋体"/>
          <w:color w:val="000000"/>
          <w:kern w:val="0"/>
          <w:sz w:val="24"/>
          <w:szCs w:val="24"/>
          <w:highlight w:val="none"/>
        </w:rPr>
        <w:t>。</w:t>
      </w:r>
    </w:p>
    <w:p>
      <w:pPr>
        <w:spacing w:line="360" w:lineRule="auto"/>
        <w:ind w:firstLine="480" w:firstLineChars="200"/>
        <w:jc w:val="left"/>
        <w:rPr>
          <w:rFonts w:ascii="宋体" w:hAnsi="宋体" w:cs="宋体"/>
          <w:color w:val="000000"/>
          <w:sz w:val="24"/>
          <w:szCs w:val="24"/>
          <w:highlight w:val="none"/>
        </w:rPr>
      </w:pPr>
      <w:r>
        <w:rPr>
          <w:rFonts w:hint="eastAsia" w:ascii="宋体" w:hAnsi="宋体" w:cs="宋体"/>
          <w:color w:val="000000"/>
          <w:sz w:val="24"/>
          <w:szCs w:val="24"/>
          <w:highlight w:val="none"/>
        </w:rPr>
        <w:t>16.1.3 因发包人违约解除合同</w:t>
      </w:r>
    </w:p>
    <w:p>
      <w:pPr>
        <w:autoSpaceDE w:val="0"/>
        <w:autoSpaceDN w:val="0"/>
        <w:adjustRightInd w:val="0"/>
        <w:spacing w:line="360" w:lineRule="auto"/>
        <w:ind w:firstLine="480" w:firstLineChars="200"/>
        <w:jc w:val="left"/>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承包人按16.1.1项〔发包人违约的情形〕约定暂停施工满</w:t>
      </w:r>
      <w:r>
        <w:rPr>
          <w:rFonts w:hint="eastAsia" w:ascii="宋体" w:hAnsi="宋体" w:cs="宋体"/>
          <w:color w:val="000000"/>
          <w:sz w:val="24"/>
          <w:szCs w:val="24"/>
          <w:highlight w:val="none"/>
          <w:u w:val="single"/>
        </w:rPr>
        <w:t>28</w:t>
      </w:r>
      <w:r>
        <w:rPr>
          <w:rFonts w:hint="eastAsia" w:ascii="宋体" w:hAnsi="宋体" w:cs="宋体"/>
          <w:color w:val="000000"/>
          <w:kern w:val="0"/>
          <w:sz w:val="24"/>
          <w:szCs w:val="24"/>
          <w:highlight w:val="none"/>
        </w:rPr>
        <w:t>天后发包人仍不纠正其违约行为并致使合同目的不能实现的，承包人有权解除合同。</w:t>
      </w:r>
    </w:p>
    <w:p>
      <w:pPr>
        <w:spacing w:after="120" w:line="360" w:lineRule="auto"/>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16.2 承包人违约</w:t>
      </w:r>
    </w:p>
    <w:p>
      <w:pPr>
        <w:spacing w:line="360" w:lineRule="auto"/>
        <w:ind w:firstLine="480" w:firstLineChars="200"/>
        <w:jc w:val="left"/>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16.2.1 承包人违约的情形</w:t>
      </w:r>
    </w:p>
    <w:p>
      <w:pPr>
        <w:spacing w:line="360" w:lineRule="auto"/>
        <w:ind w:firstLine="480" w:firstLineChars="200"/>
        <w:jc w:val="left"/>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承包人违约的其他情形：</w:t>
      </w:r>
      <w:r>
        <w:rPr>
          <w:rFonts w:hint="eastAsia" w:ascii="宋体" w:hAnsi="宋体" w:cs="宋体"/>
          <w:color w:val="000000"/>
          <w:sz w:val="24"/>
          <w:szCs w:val="24"/>
          <w:highlight w:val="none"/>
          <w:u w:val="single"/>
        </w:rPr>
        <w:t>无</w:t>
      </w:r>
      <w:r>
        <w:rPr>
          <w:rFonts w:hint="eastAsia" w:ascii="宋体" w:hAnsi="宋体" w:cs="宋体"/>
          <w:color w:val="000000"/>
          <w:kern w:val="0"/>
          <w:sz w:val="24"/>
          <w:szCs w:val="24"/>
          <w:highlight w:val="none"/>
        </w:rPr>
        <w:t>。</w:t>
      </w:r>
    </w:p>
    <w:p>
      <w:pPr>
        <w:spacing w:line="360" w:lineRule="auto"/>
        <w:ind w:firstLine="480" w:firstLineChars="200"/>
        <w:jc w:val="left"/>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16.2.2承包人违约的责任</w:t>
      </w:r>
    </w:p>
    <w:p>
      <w:pPr>
        <w:spacing w:line="360" w:lineRule="auto"/>
        <w:ind w:firstLine="480" w:firstLineChars="200"/>
        <w:rPr>
          <w:rFonts w:ascii="宋体" w:hAnsi="宋体" w:cs="宋体"/>
          <w:color w:val="000000"/>
          <w:sz w:val="24"/>
          <w:szCs w:val="24"/>
          <w:highlight w:val="none"/>
          <w:u w:val="single"/>
        </w:rPr>
      </w:pPr>
      <w:r>
        <w:rPr>
          <w:rFonts w:hint="eastAsia" w:ascii="宋体" w:hAnsi="宋体" w:cs="宋体"/>
          <w:color w:val="000000"/>
          <w:kern w:val="0"/>
          <w:sz w:val="24"/>
          <w:szCs w:val="24"/>
          <w:highlight w:val="none"/>
        </w:rPr>
        <w:t>承包人违约责任的承担方式和计算方法：</w:t>
      </w:r>
      <w:r>
        <w:rPr>
          <w:rFonts w:hint="eastAsia" w:ascii="宋体" w:hAnsi="宋体" w:cs="宋体"/>
          <w:color w:val="000000"/>
          <w:sz w:val="24"/>
          <w:szCs w:val="24"/>
          <w:highlight w:val="none"/>
          <w:u w:val="single"/>
        </w:rPr>
        <w:t xml:space="preserve">如因承包人原因，导致竣工工期滞后于合同工期，按每滞后一天按合同价款的万分之三向发包人支付违约金。总额不超过合同价款的8%。 </w:t>
      </w:r>
    </w:p>
    <w:p>
      <w:pPr>
        <w:spacing w:line="360" w:lineRule="auto"/>
        <w:ind w:firstLine="480" w:firstLineChars="200"/>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双方约定的承包人其他违约责任： 因承包人原因未依据本合同履行义务，完成本工程范围的工作，发包人有权按以下约定向承包人收取违约金。 </w:t>
      </w:r>
    </w:p>
    <w:p>
      <w:pPr>
        <w:spacing w:line="360" w:lineRule="auto"/>
        <w:ind w:firstLine="480" w:firstLineChars="200"/>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A、工期延误：如由于承包人自身原因，在合同履行过程中或至合同计划竣工之日，承包人未能完成按施工组织设计计划累计应完工程量的80%，造成（或可能造成）整个工程不能按合同约定如期竣工，发包人有权停止支付工程款并有权将其中部分工程委托他人进行施工，委托他人进行施工产生的费用加收10%的管理费后从承包人的合同款内扣除。 </w:t>
      </w:r>
    </w:p>
    <w:p>
      <w:pPr>
        <w:spacing w:line="360" w:lineRule="auto"/>
        <w:ind w:firstLine="480" w:firstLineChars="200"/>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B、因承包人原因导致技术文件（包括竣工图纸、签证等）未能按约定时间提交，每迟一天，发包人在支付给承包人的工程款内扣除1000元的违约金。违约金的扣除并不解除承包人继续交付上述技术文件的义务。 </w:t>
      </w:r>
    </w:p>
    <w:p>
      <w:pPr>
        <w:spacing w:line="360" w:lineRule="auto"/>
        <w:ind w:firstLine="480" w:firstLineChars="200"/>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C、若承包人擅自停工或单方面终止合同的执行或违约，造成合同无法履行，在本合同解除后，承包人必须在5天内无条件退场，承包人应妥善做好已完工程和工程设备的保护和移交工作；发包人将按承包人已完成工程量和承包人在施工现场的材料、设备、临时工程价格的70%给予结算，承包人并承担由此而给发包人造成的一切损失。</w:t>
      </w:r>
      <w:r>
        <w:rPr>
          <w:rFonts w:hint="eastAsia" w:ascii="宋体" w:hAnsi="宋体" w:cs="宋体"/>
          <w:color w:val="000000"/>
          <w:sz w:val="24"/>
          <w:szCs w:val="24"/>
          <w:highlight w:val="none"/>
        </w:rPr>
        <w:t xml:space="preserve">。    </w:t>
      </w:r>
    </w:p>
    <w:p>
      <w:pPr>
        <w:spacing w:line="360" w:lineRule="auto"/>
        <w:ind w:firstLine="480" w:firstLineChars="200"/>
        <w:jc w:val="left"/>
        <w:rPr>
          <w:rFonts w:ascii="宋体" w:hAnsi="宋体" w:cs="宋体"/>
          <w:color w:val="000000"/>
          <w:sz w:val="24"/>
          <w:szCs w:val="24"/>
          <w:highlight w:val="none"/>
        </w:rPr>
      </w:pPr>
      <w:r>
        <w:rPr>
          <w:rFonts w:hint="eastAsia" w:ascii="宋体" w:hAnsi="宋体" w:cs="宋体"/>
          <w:color w:val="000000"/>
          <w:sz w:val="24"/>
          <w:szCs w:val="24"/>
          <w:highlight w:val="none"/>
        </w:rPr>
        <w:t>16.2.3 因承包人违约解除合同</w:t>
      </w:r>
    </w:p>
    <w:p>
      <w:pPr>
        <w:spacing w:before="120" w:after="120" w:line="360" w:lineRule="auto"/>
        <w:ind w:firstLine="480" w:firstLineChars="200"/>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关于承包人违约解除合同的特别约定：</w:t>
      </w:r>
      <w:r>
        <w:rPr>
          <w:rFonts w:hint="eastAsia" w:ascii="宋体" w:hAnsi="宋体" w:cs="宋体"/>
          <w:color w:val="000000"/>
          <w:sz w:val="24"/>
          <w:szCs w:val="24"/>
          <w:highlight w:val="none"/>
          <w:u w:val="single"/>
        </w:rPr>
        <w:t>另行协商。</w:t>
      </w:r>
      <w:r>
        <w:rPr>
          <w:rFonts w:hint="eastAsia" w:ascii="宋体" w:hAnsi="宋体" w:cs="宋体"/>
          <w:color w:val="000000"/>
          <w:kern w:val="0"/>
          <w:sz w:val="24"/>
          <w:szCs w:val="24"/>
          <w:highlight w:val="none"/>
        </w:rPr>
        <w:t>。</w:t>
      </w:r>
    </w:p>
    <w:p>
      <w:pPr>
        <w:spacing w:before="120" w:after="120" w:line="360" w:lineRule="auto"/>
        <w:ind w:firstLine="480" w:firstLineChars="200"/>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发包人继续使用承包人在施工现场的材料、设备、临时工程、承包人文件和由承包人或以其名义编制的其他文件的费用承担方式：</w:t>
      </w:r>
      <w:r>
        <w:rPr>
          <w:rFonts w:hint="eastAsia" w:ascii="宋体" w:hAnsi="宋体" w:cs="宋体"/>
          <w:color w:val="000000"/>
          <w:sz w:val="24"/>
          <w:szCs w:val="24"/>
          <w:highlight w:val="none"/>
          <w:u w:val="single"/>
        </w:rPr>
        <w:t>另行协商。</w:t>
      </w:r>
      <w:r>
        <w:rPr>
          <w:rFonts w:hint="eastAsia" w:ascii="宋体" w:hAnsi="宋体" w:cs="宋体"/>
          <w:color w:val="000000"/>
          <w:kern w:val="0"/>
          <w:sz w:val="24"/>
          <w:szCs w:val="24"/>
          <w:highlight w:val="none"/>
        </w:rPr>
        <w:t>。</w:t>
      </w:r>
    </w:p>
    <w:p>
      <w:pPr>
        <w:pStyle w:val="14"/>
        <w:spacing w:before="120" w:after="120" w:line="360" w:lineRule="auto"/>
        <w:ind w:firstLine="480" w:firstLineChars="200"/>
        <w:rPr>
          <w:rFonts w:ascii="宋体" w:hAnsi="宋体" w:eastAsia="宋体" w:cs="宋体"/>
          <w:b w:val="0"/>
          <w:sz w:val="24"/>
          <w:szCs w:val="24"/>
          <w:highlight w:val="none"/>
        </w:rPr>
      </w:pPr>
      <w:bookmarkStart w:id="140" w:name="_Toc351203649"/>
      <w:r>
        <w:rPr>
          <w:rFonts w:hint="eastAsia" w:ascii="宋体" w:hAnsi="宋体" w:eastAsia="宋体" w:cs="宋体"/>
          <w:b w:val="0"/>
          <w:sz w:val="24"/>
          <w:szCs w:val="24"/>
          <w:highlight w:val="none"/>
        </w:rPr>
        <w:t>17. 不可抗力</w:t>
      </w:r>
      <w:bookmarkEnd w:id="138"/>
      <w:bookmarkEnd w:id="140"/>
    </w:p>
    <w:p>
      <w:pPr>
        <w:spacing w:after="12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17.1 不可抗力的确认</w:t>
      </w:r>
    </w:p>
    <w:p>
      <w:pPr>
        <w:spacing w:line="360" w:lineRule="auto"/>
        <w:ind w:firstLine="480" w:firstLineChars="200"/>
        <w:jc w:val="left"/>
        <w:rPr>
          <w:rFonts w:ascii="宋体" w:hAnsi="宋体" w:cs="宋体"/>
          <w:color w:val="000000"/>
          <w:sz w:val="24"/>
          <w:szCs w:val="24"/>
          <w:highlight w:val="none"/>
          <w:u w:val="single"/>
        </w:rPr>
      </w:pPr>
      <w:r>
        <w:rPr>
          <w:rFonts w:hint="eastAsia" w:ascii="宋体" w:hAnsi="宋体" w:cs="宋体"/>
          <w:sz w:val="24"/>
          <w:szCs w:val="24"/>
          <w:highlight w:val="none"/>
        </w:rPr>
        <w:t>除通用合同条款约定的不可抗力事件之外</w:t>
      </w:r>
      <w:r>
        <w:rPr>
          <w:rFonts w:hint="eastAsia" w:ascii="宋体" w:hAnsi="宋体" w:cs="宋体"/>
          <w:color w:val="000000"/>
          <w:sz w:val="24"/>
          <w:szCs w:val="24"/>
          <w:highlight w:val="none"/>
        </w:rPr>
        <w:t xml:space="preserve">，视为不可抗力的其他情形： </w:t>
      </w:r>
      <w:r>
        <w:rPr>
          <w:rFonts w:hint="eastAsia" w:ascii="宋体" w:hAnsi="宋体" w:cs="宋体"/>
          <w:color w:val="000000"/>
          <w:sz w:val="24"/>
          <w:szCs w:val="24"/>
          <w:highlight w:val="none"/>
          <w:u w:val="single"/>
        </w:rPr>
        <w:t>1、不可抗力包括因</w:t>
      </w:r>
      <w:r>
        <w:rPr>
          <w:rFonts w:hint="eastAsia" w:ascii="宋体" w:hAnsi="宋体" w:cs="宋体"/>
          <w:color w:val="000000"/>
          <w:sz w:val="24"/>
          <w:szCs w:val="24"/>
          <w:highlight w:val="none"/>
          <w:u w:val="single"/>
          <w:lang w:eastAsia="zh-CN"/>
        </w:rPr>
        <w:t>瘟疫、</w:t>
      </w:r>
      <w:r>
        <w:rPr>
          <w:rFonts w:hint="eastAsia" w:ascii="宋体" w:hAnsi="宋体" w:cs="宋体"/>
          <w:color w:val="000000"/>
          <w:sz w:val="24"/>
          <w:szCs w:val="24"/>
          <w:highlight w:val="none"/>
          <w:u w:val="single"/>
        </w:rPr>
        <w:t xml:space="preserve">战争、动乱、空中飞行物体坠落或其他非发包人承包人责任造成的爆炸、火灾，以及以下方面的自然灾害： </w:t>
      </w:r>
    </w:p>
    <w:p>
      <w:pPr>
        <w:spacing w:line="360" w:lineRule="auto"/>
        <w:ind w:firstLine="480" w:firstLineChars="200"/>
        <w:jc w:val="left"/>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1.1 烈度为6级以上的地震； </w:t>
      </w:r>
    </w:p>
    <w:p>
      <w:pPr>
        <w:spacing w:line="360" w:lineRule="auto"/>
        <w:ind w:firstLine="480" w:firstLineChars="200"/>
        <w:jc w:val="left"/>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1.2 6级以上持续24小时的大风； </w:t>
      </w:r>
    </w:p>
    <w:p>
      <w:pPr>
        <w:spacing w:line="360" w:lineRule="auto"/>
        <w:ind w:firstLine="480" w:firstLineChars="200"/>
        <w:jc w:val="left"/>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1.3 持续降雨24小时且降雨量200mm以上； </w:t>
      </w:r>
    </w:p>
    <w:p>
      <w:pPr>
        <w:spacing w:line="360" w:lineRule="auto"/>
        <w:ind w:firstLine="480" w:firstLineChars="200"/>
        <w:jc w:val="left"/>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1.4 40℃及以上持续24小时的高温； </w:t>
      </w:r>
    </w:p>
    <w:p>
      <w:pPr>
        <w:spacing w:line="360" w:lineRule="auto"/>
        <w:ind w:firstLine="480" w:firstLineChars="200"/>
        <w:jc w:val="left"/>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2、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不可抗事件持续发生，承包人应每隔7天向监理报告一次受害情况。不可抗力事件结束后14天内，承包人向监理提交清理和修复费用的正式报告及有关资料。 </w:t>
      </w:r>
    </w:p>
    <w:p>
      <w:pPr>
        <w:spacing w:line="360" w:lineRule="auto"/>
        <w:ind w:firstLine="480" w:firstLineChars="200"/>
        <w:jc w:val="left"/>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3、因不可抗力事件导致的费用由双方按以下方法分别承担： </w:t>
      </w:r>
    </w:p>
    <w:p>
      <w:pPr>
        <w:spacing w:line="360" w:lineRule="auto"/>
        <w:ind w:firstLine="480" w:firstLineChars="200"/>
        <w:jc w:val="left"/>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3.1 工程本身（承包人施工质量未达标准除外）的损害、因工程损害导致第三人人员伤亡和财产损失以及运至施工场地用于施工的材料和待安装的设备的损害、清理、修复费用，由发包人承担； </w:t>
      </w:r>
    </w:p>
    <w:p>
      <w:pPr>
        <w:spacing w:line="360" w:lineRule="auto"/>
        <w:ind w:firstLine="480" w:firstLineChars="200"/>
        <w:jc w:val="left"/>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3.2 发包人、承包人人员伤亡由其所在单位负责，并承担相应费用； </w:t>
      </w:r>
    </w:p>
    <w:p>
      <w:pPr>
        <w:spacing w:line="360" w:lineRule="auto"/>
        <w:ind w:firstLine="480" w:firstLineChars="200"/>
        <w:jc w:val="left"/>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3.3 承包人机械设备损坏及停工损失，由承包人承担； </w:t>
      </w:r>
    </w:p>
    <w:p>
      <w:pPr>
        <w:spacing w:line="360" w:lineRule="auto"/>
        <w:ind w:firstLine="480" w:firstLineChars="200"/>
        <w:jc w:val="left"/>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3.4 停工期间，承包人应监理要求留在施工场地的必要的管理人员及保卫人员的费用由发包人承担； </w:t>
      </w:r>
    </w:p>
    <w:p>
      <w:pPr>
        <w:spacing w:line="360" w:lineRule="auto"/>
        <w:ind w:firstLine="480" w:firstLineChars="200"/>
        <w:jc w:val="left"/>
        <w:rPr>
          <w:rFonts w:ascii="宋体" w:hAnsi="宋体" w:cs="宋体"/>
          <w:color w:val="000000"/>
          <w:kern w:val="0"/>
          <w:sz w:val="24"/>
          <w:szCs w:val="24"/>
          <w:highlight w:val="none"/>
          <w:u w:val="single"/>
        </w:rPr>
      </w:pPr>
      <w:r>
        <w:rPr>
          <w:rFonts w:hint="eastAsia" w:ascii="宋体" w:hAnsi="宋体" w:cs="宋体"/>
          <w:color w:val="000000"/>
          <w:sz w:val="24"/>
          <w:szCs w:val="24"/>
          <w:highlight w:val="none"/>
          <w:u w:val="single"/>
        </w:rPr>
        <w:t>3.5 因合同一方迟延履行合同后发生不可抗力的，不能免除迟延履行方的相应责任。</w:t>
      </w:r>
      <w:r>
        <w:rPr>
          <w:rFonts w:hint="eastAsia" w:ascii="宋体" w:hAnsi="宋体" w:cs="宋体"/>
          <w:color w:val="000000"/>
          <w:kern w:val="0"/>
          <w:sz w:val="24"/>
          <w:szCs w:val="24"/>
          <w:highlight w:val="none"/>
        </w:rPr>
        <w:t>。</w:t>
      </w:r>
    </w:p>
    <w:p>
      <w:pPr>
        <w:spacing w:after="120" w:line="360" w:lineRule="auto"/>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17.4 因不可抗力解除合同</w:t>
      </w:r>
    </w:p>
    <w:p>
      <w:pPr>
        <w:spacing w:line="360" w:lineRule="auto"/>
        <w:ind w:firstLine="480" w:firstLineChars="200"/>
        <w:jc w:val="left"/>
        <w:rPr>
          <w:rFonts w:ascii="宋体" w:hAnsi="宋体" w:cs="宋体"/>
          <w:color w:val="000000"/>
          <w:sz w:val="24"/>
          <w:szCs w:val="24"/>
          <w:highlight w:val="none"/>
        </w:rPr>
      </w:pPr>
      <w:r>
        <w:rPr>
          <w:rFonts w:hint="eastAsia" w:ascii="宋体" w:hAnsi="宋体" w:cs="宋体"/>
          <w:color w:val="000000"/>
          <w:sz w:val="24"/>
          <w:szCs w:val="24"/>
          <w:highlight w:val="none"/>
        </w:rPr>
        <w:t>合同解除后，发包人应在商定或确定发包人应支付款项后</w:t>
      </w:r>
      <w:r>
        <w:rPr>
          <w:rFonts w:hint="eastAsia" w:ascii="宋体" w:hAnsi="宋体" w:cs="宋体"/>
          <w:color w:val="000000"/>
          <w:sz w:val="24"/>
          <w:szCs w:val="24"/>
          <w:highlight w:val="none"/>
          <w:u w:val="single"/>
        </w:rPr>
        <w:t>28</w:t>
      </w:r>
      <w:r>
        <w:rPr>
          <w:rFonts w:hint="eastAsia" w:ascii="宋体" w:hAnsi="宋体" w:cs="宋体"/>
          <w:color w:val="000000"/>
          <w:sz w:val="24"/>
          <w:szCs w:val="24"/>
          <w:highlight w:val="none"/>
        </w:rPr>
        <w:t>天内完成款项的支付。</w:t>
      </w:r>
    </w:p>
    <w:p>
      <w:pPr>
        <w:pStyle w:val="14"/>
        <w:spacing w:before="120" w:after="120" w:line="360" w:lineRule="auto"/>
        <w:rPr>
          <w:rFonts w:ascii="宋体" w:hAnsi="宋体" w:eastAsia="宋体" w:cs="宋体"/>
          <w:b w:val="0"/>
          <w:color w:val="000000"/>
          <w:sz w:val="24"/>
          <w:szCs w:val="24"/>
          <w:highlight w:val="none"/>
        </w:rPr>
      </w:pPr>
      <w:bookmarkStart w:id="141" w:name="_Toc351203650"/>
      <w:r>
        <w:rPr>
          <w:rFonts w:hint="eastAsia" w:ascii="宋体" w:hAnsi="宋体" w:eastAsia="宋体" w:cs="宋体"/>
          <w:b w:val="0"/>
          <w:color w:val="000000"/>
          <w:sz w:val="24"/>
          <w:szCs w:val="24"/>
          <w:highlight w:val="none"/>
        </w:rPr>
        <w:t>18. 保险</w:t>
      </w:r>
      <w:bookmarkEnd w:id="141"/>
    </w:p>
    <w:bookmarkEnd w:id="139"/>
    <w:p>
      <w:pPr>
        <w:spacing w:after="120" w:line="360" w:lineRule="auto"/>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18.1 工程保险</w:t>
      </w:r>
    </w:p>
    <w:p>
      <w:pPr>
        <w:spacing w:line="360" w:lineRule="auto"/>
        <w:ind w:firstLine="480" w:firstLineChars="200"/>
        <w:jc w:val="left"/>
        <w:rPr>
          <w:rFonts w:ascii="宋体" w:hAnsi="宋体" w:cs="宋体"/>
          <w:color w:val="000000"/>
          <w:sz w:val="24"/>
          <w:szCs w:val="24"/>
          <w:highlight w:val="none"/>
          <w:u w:val="single"/>
        </w:rPr>
      </w:pPr>
      <w:r>
        <w:rPr>
          <w:rFonts w:hint="eastAsia" w:ascii="宋体" w:hAnsi="宋体" w:cs="宋体"/>
          <w:color w:val="000000"/>
          <w:sz w:val="24"/>
          <w:szCs w:val="24"/>
          <w:highlight w:val="none"/>
        </w:rPr>
        <w:t>关于工程保险的特别约定：</w:t>
      </w:r>
      <w:r>
        <w:rPr>
          <w:rFonts w:hint="eastAsia" w:ascii="宋体" w:hAnsi="宋体" w:cs="宋体"/>
          <w:color w:val="000000"/>
          <w:sz w:val="24"/>
          <w:szCs w:val="24"/>
          <w:highlight w:val="none"/>
          <w:u w:val="single"/>
        </w:rPr>
        <w:t>承包人必须按照江宁区有关社会保障费的相关规定要求执行，合同签定前发包人代承包人预交社会保障费至江宁区建工局，发包人在支付竣工验收工程款时按同等金额扣回。</w:t>
      </w:r>
    </w:p>
    <w:p>
      <w:pPr>
        <w:spacing w:line="360" w:lineRule="auto"/>
        <w:ind w:firstLine="480" w:firstLineChars="200"/>
        <w:jc w:val="left"/>
        <w:rPr>
          <w:rFonts w:ascii="宋体" w:hAnsi="宋体" w:cs="宋体"/>
          <w:color w:val="000000"/>
          <w:sz w:val="24"/>
          <w:szCs w:val="24"/>
          <w:highlight w:val="none"/>
        </w:rPr>
      </w:pPr>
      <w:r>
        <w:rPr>
          <w:rFonts w:hint="eastAsia" w:ascii="宋体" w:hAnsi="宋体" w:cs="宋体"/>
          <w:color w:val="000000"/>
          <w:sz w:val="24"/>
          <w:szCs w:val="24"/>
          <w:highlight w:val="none"/>
          <w:u w:val="single"/>
        </w:rPr>
        <w:t>承包人投保内容：必须为施工场地内员工办理意外伤害保险，并缴纳保险费。</w:t>
      </w:r>
      <w:r>
        <w:rPr>
          <w:rFonts w:hint="eastAsia" w:ascii="宋体" w:hAnsi="宋体" w:cs="宋体"/>
          <w:color w:val="000000"/>
          <w:kern w:val="0"/>
          <w:sz w:val="24"/>
          <w:szCs w:val="24"/>
          <w:highlight w:val="none"/>
        </w:rPr>
        <w:t>。</w:t>
      </w:r>
    </w:p>
    <w:p>
      <w:pPr>
        <w:spacing w:after="120" w:line="360" w:lineRule="auto"/>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18.3 其他保险</w:t>
      </w:r>
    </w:p>
    <w:p>
      <w:pPr>
        <w:spacing w:line="360" w:lineRule="auto"/>
        <w:ind w:firstLine="480" w:firstLineChars="200"/>
        <w:jc w:val="left"/>
        <w:rPr>
          <w:rFonts w:ascii="宋体" w:hAnsi="宋体" w:cs="宋体"/>
          <w:color w:val="000000"/>
          <w:kern w:val="0"/>
          <w:sz w:val="24"/>
          <w:szCs w:val="24"/>
          <w:highlight w:val="none"/>
        </w:rPr>
      </w:pPr>
      <w:r>
        <w:rPr>
          <w:rFonts w:hint="eastAsia" w:ascii="宋体" w:hAnsi="宋体" w:cs="宋体"/>
          <w:color w:val="000000"/>
          <w:sz w:val="24"/>
          <w:szCs w:val="24"/>
          <w:highlight w:val="none"/>
        </w:rPr>
        <w:t>关于其他保险的约定：</w:t>
      </w:r>
      <w:r>
        <w:rPr>
          <w:rFonts w:hint="eastAsia" w:ascii="宋体" w:hAnsi="宋体" w:cs="宋体"/>
          <w:color w:val="000000"/>
          <w:sz w:val="24"/>
          <w:szCs w:val="24"/>
          <w:highlight w:val="none"/>
          <w:u w:val="single"/>
        </w:rPr>
        <w:t>按通用条款执行</w:t>
      </w:r>
      <w:r>
        <w:rPr>
          <w:rFonts w:hint="eastAsia" w:ascii="宋体" w:hAnsi="宋体" w:cs="宋体"/>
          <w:color w:val="000000"/>
          <w:kern w:val="0"/>
          <w:sz w:val="24"/>
          <w:szCs w:val="24"/>
          <w:highlight w:val="none"/>
        </w:rPr>
        <w:t>。</w:t>
      </w:r>
    </w:p>
    <w:p>
      <w:pPr>
        <w:spacing w:line="360" w:lineRule="auto"/>
        <w:ind w:firstLine="480" w:firstLineChars="200"/>
        <w:jc w:val="left"/>
        <w:rPr>
          <w:rFonts w:ascii="宋体" w:hAnsi="宋体" w:cs="宋体"/>
          <w:color w:val="000000"/>
          <w:kern w:val="0"/>
          <w:sz w:val="24"/>
          <w:szCs w:val="24"/>
          <w:highlight w:val="none"/>
        </w:rPr>
      </w:pPr>
      <w:r>
        <w:rPr>
          <w:rFonts w:hint="eastAsia" w:ascii="宋体" w:hAnsi="宋体" w:cs="宋体"/>
          <w:color w:val="000000"/>
          <w:sz w:val="24"/>
          <w:szCs w:val="24"/>
          <w:highlight w:val="none"/>
        </w:rPr>
        <w:t>承包人是否应为其施工设备等办理财产保险：</w:t>
      </w:r>
      <w:r>
        <w:rPr>
          <w:rFonts w:hint="eastAsia" w:ascii="宋体" w:hAnsi="宋体" w:cs="宋体"/>
          <w:color w:val="000000"/>
          <w:sz w:val="24"/>
          <w:szCs w:val="24"/>
          <w:highlight w:val="none"/>
          <w:u w:val="single"/>
        </w:rPr>
        <w:t>是</w:t>
      </w:r>
      <w:r>
        <w:rPr>
          <w:rFonts w:hint="eastAsia" w:ascii="宋体" w:hAnsi="宋体" w:cs="宋体"/>
          <w:color w:val="000000"/>
          <w:sz w:val="24"/>
          <w:szCs w:val="24"/>
          <w:highlight w:val="none"/>
        </w:rPr>
        <w:t>。</w:t>
      </w:r>
    </w:p>
    <w:p>
      <w:pPr>
        <w:spacing w:after="120" w:line="360" w:lineRule="auto"/>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18.7 通知义务</w:t>
      </w:r>
    </w:p>
    <w:p>
      <w:pPr>
        <w:spacing w:line="360" w:lineRule="auto"/>
        <w:ind w:firstLine="480" w:firstLineChars="200"/>
        <w:jc w:val="left"/>
        <w:rPr>
          <w:rFonts w:ascii="宋体" w:hAnsi="宋体" w:cs="宋体"/>
          <w:color w:val="000000"/>
          <w:sz w:val="24"/>
          <w:szCs w:val="24"/>
          <w:highlight w:val="none"/>
        </w:rPr>
      </w:pPr>
      <w:r>
        <w:rPr>
          <w:rFonts w:hint="eastAsia" w:ascii="宋体" w:hAnsi="宋体" w:cs="宋体"/>
          <w:color w:val="000000"/>
          <w:kern w:val="0"/>
          <w:sz w:val="24"/>
          <w:szCs w:val="24"/>
          <w:highlight w:val="none"/>
        </w:rPr>
        <w:t>关于变更保险合同时的通知义务的约定：</w:t>
      </w:r>
      <w:r>
        <w:rPr>
          <w:rFonts w:hint="eastAsia" w:ascii="宋体" w:hAnsi="宋体" w:cs="宋体"/>
          <w:color w:val="000000"/>
          <w:sz w:val="24"/>
          <w:szCs w:val="24"/>
          <w:highlight w:val="none"/>
          <w:u w:val="single"/>
        </w:rPr>
        <w:t>按通用条款执行</w:t>
      </w:r>
      <w:r>
        <w:rPr>
          <w:rFonts w:hint="eastAsia" w:ascii="宋体" w:hAnsi="宋体" w:cs="宋体"/>
          <w:color w:val="000000"/>
          <w:sz w:val="24"/>
          <w:szCs w:val="24"/>
          <w:highlight w:val="none"/>
        </w:rPr>
        <w:t>。</w:t>
      </w:r>
    </w:p>
    <w:bookmarkEnd w:id="115"/>
    <w:bookmarkEnd w:id="116"/>
    <w:bookmarkEnd w:id="117"/>
    <w:bookmarkEnd w:id="118"/>
    <w:bookmarkEnd w:id="119"/>
    <w:bookmarkEnd w:id="120"/>
    <w:bookmarkEnd w:id="121"/>
    <w:bookmarkEnd w:id="122"/>
    <w:bookmarkEnd w:id="123"/>
    <w:bookmarkEnd w:id="124"/>
    <w:bookmarkEnd w:id="125"/>
    <w:bookmarkEnd w:id="126"/>
    <w:p>
      <w:pPr>
        <w:pStyle w:val="14"/>
        <w:spacing w:before="120" w:after="120" w:line="360" w:lineRule="auto"/>
        <w:rPr>
          <w:rFonts w:ascii="宋体" w:hAnsi="宋体" w:eastAsia="宋体" w:cs="宋体"/>
          <w:b w:val="0"/>
          <w:color w:val="000000"/>
          <w:sz w:val="24"/>
          <w:szCs w:val="24"/>
          <w:highlight w:val="none"/>
        </w:rPr>
      </w:pPr>
      <w:bookmarkStart w:id="142" w:name="_Toc351203651"/>
      <w:r>
        <w:rPr>
          <w:rFonts w:hint="eastAsia" w:ascii="宋体" w:hAnsi="宋体" w:eastAsia="宋体" w:cs="宋体"/>
          <w:b w:val="0"/>
          <w:color w:val="000000"/>
          <w:sz w:val="24"/>
          <w:szCs w:val="24"/>
          <w:highlight w:val="none"/>
        </w:rPr>
        <w:t>20. 争议解决</w:t>
      </w:r>
      <w:bookmarkEnd w:id="142"/>
    </w:p>
    <w:bookmarkEnd w:id="127"/>
    <w:bookmarkEnd w:id="128"/>
    <w:p>
      <w:pPr>
        <w:spacing w:after="120" w:line="360" w:lineRule="auto"/>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20.3 争</w:t>
      </w:r>
      <w:bookmarkEnd w:id="129"/>
      <w:r>
        <w:rPr>
          <w:rFonts w:hint="eastAsia" w:ascii="宋体" w:hAnsi="宋体" w:cs="宋体"/>
          <w:color w:val="000000"/>
          <w:sz w:val="24"/>
          <w:szCs w:val="24"/>
          <w:highlight w:val="none"/>
        </w:rPr>
        <w:t>议评审</w:t>
      </w:r>
    </w:p>
    <w:p>
      <w:pPr>
        <w:spacing w:line="360" w:lineRule="auto"/>
        <w:ind w:left="149" w:leftChars="71" w:firstLine="360" w:firstLineChars="150"/>
        <w:jc w:val="left"/>
        <w:rPr>
          <w:rFonts w:ascii="宋体" w:hAnsi="宋体" w:cs="宋体"/>
          <w:color w:val="000000"/>
          <w:sz w:val="24"/>
          <w:szCs w:val="24"/>
          <w:highlight w:val="none"/>
        </w:rPr>
      </w:pPr>
      <w:r>
        <w:rPr>
          <w:rFonts w:hint="eastAsia" w:ascii="宋体" w:hAnsi="宋体" w:cs="宋体"/>
          <w:color w:val="000000"/>
          <w:sz w:val="24"/>
          <w:szCs w:val="24"/>
          <w:highlight w:val="none"/>
        </w:rPr>
        <w:t>合同当事人是否同意将工程争议提交争议评审小组决定：</w:t>
      </w:r>
      <w:r>
        <w:rPr>
          <w:rFonts w:hint="eastAsia" w:ascii="宋体" w:hAnsi="宋体" w:cs="宋体"/>
          <w:color w:val="000000"/>
          <w:sz w:val="24"/>
          <w:szCs w:val="24"/>
          <w:highlight w:val="none"/>
          <w:u w:val="single"/>
        </w:rPr>
        <w:t>不采用</w:t>
      </w:r>
      <w:r>
        <w:rPr>
          <w:rFonts w:hint="eastAsia" w:ascii="宋体" w:hAnsi="宋体" w:cs="宋体"/>
          <w:color w:val="000000"/>
          <w:sz w:val="24"/>
          <w:szCs w:val="24"/>
          <w:highlight w:val="none"/>
        </w:rPr>
        <w:t xml:space="preserve">。  </w:t>
      </w:r>
    </w:p>
    <w:p>
      <w:pPr>
        <w:spacing w:line="360" w:lineRule="auto"/>
        <w:ind w:firstLine="480" w:firstLineChars="200"/>
        <w:jc w:val="left"/>
        <w:rPr>
          <w:rFonts w:ascii="宋体" w:hAnsi="宋体" w:cs="宋体"/>
          <w:color w:val="000000"/>
          <w:sz w:val="24"/>
          <w:szCs w:val="24"/>
          <w:highlight w:val="none"/>
        </w:rPr>
      </w:pPr>
      <w:r>
        <w:rPr>
          <w:rFonts w:hint="eastAsia" w:ascii="宋体" w:hAnsi="宋体" w:cs="宋体"/>
          <w:color w:val="000000"/>
          <w:sz w:val="24"/>
          <w:szCs w:val="24"/>
          <w:highlight w:val="none"/>
        </w:rPr>
        <w:t>20.3.1 争议评审小组的确定</w:t>
      </w:r>
    </w:p>
    <w:p>
      <w:pPr>
        <w:spacing w:line="360" w:lineRule="auto"/>
        <w:ind w:firstLine="480" w:firstLineChars="200"/>
        <w:jc w:val="left"/>
        <w:rPr>
          <w:rFonts w:ascii="宋体" w:hAnsi="宋体" w:cs="宋体"/>
          <w:color w:val="000000"/>
          <w:sz w:val="24"/>
          <w:szCs w:val="24"/>
          <w:highlight w:val="none"/>
          <w:u w:val="single"/>
        </w:rPr>
      </w:pPr>
      <w:r>
        <w:rPr>
          <w:rFonts w:hint="eastAsia" w:ascii="宋体" w:hAnsi="宋体" w:cs="宋体"/>
          <w:color w:val="000000"/>
          <w:sz w:val="24"/>
          <w:szCs w:val="24"/>
          <w:highlight w:val="none"/>
        </w:rPr>
        <w:t>争议评审小组成员的确定：</w:t>
      </w:r>
      <w:r>
        <w:rPr>
          <w:rFonts w:hint="eastAsia" w:ascii="宋体" w:hAnsi="宋体" w:cs="宋体"/>
          <w:color w:val="000000"/>
          <w:sz w:val="24"/>
          <w:szCs w:val="24"/>
          <w:highlight w:val="none"/>
          <w:u w:val="single"/>
        </w:rPr>
        <w:t>无</w:t>
      </w:r>
      <w:r>
        <w:rPr>
          <w:rFonts w:hint="eastAsia" w:ascii="宋体" w:hAnsi="宋体" w:cs="宋体"/>
          <w:color w:val="000000"/>
          <w:sz w:val="24"/>
          <w:szCs w:val="24"/>
          <w:highlight w:val="none"/>
        </w:rPr>
        <w:t>。</w:t>
      </w:r>
    </w:p>
    <w:p>
      <w:pPr>
        <w:spacing w:line="360" w:lineRule="auto"/>
        <w:ind w:firstLine="480" w:firstLineChars="200"/>
        <w:jc w:val="left"/>
        <w:rPr>
          <w:rFonts w:ascii="宋体" w:hAnsi="宋体" w:cs="宋体"/>
          <w:color w:val="000000"/>
          <w:sz w:val="24"/>
          <w:szCs w:val="24"/>
          <w:highlight w:val="none"/>
        </w:rPr>
      </w:pPr>
      <w:r>
        <w:rPr>
          <w:rFonts w:hint="eastAsia" w:ascii="宋体" w:hAnsi="宋体" w:cs="宋体"/>
          <w:color w:val="000000"/>
          <w:sz w:val="24"/>
          <w:szCs w:val="24"/>
          <w:highlight w:val="none"/>
        </w:rPr>
        <w:t>选定争议评审员的期限：</w:t>
      </w:r>
      <w:r>
        <w:rPr>
          <w:rFonts w:hint="eastAsia" w:ascii="宋体" w:hAnsi="宋体" w:cs="宋体"/>
          <w:color w:val="000000"/>
          <w:sz w:val="24"/>
          <w:szCs w:val="24"/>
          <w:highlight w:val="none"/>
          <w:u w:val="single"/>
        </w:rPr>
        <w:t>无</w:t>
      </w:r>
      <w:r>
        <w:rPr>
          <w:rFonts w:hint="eastAsia" w:ascii="宋体" w:hAnsi="宋体" w:cs="宋体"/>
          <w:color w:val="000000"/>
          <w:sz w:val="24"/>
          <w:szCs w:val="24"/>
          <w:highlight w:val="none"/>
        </w:rPr>
        <w:t>。</w:t>
      </w:r>
    </w:p>
    <w:p>
      <w:pPr>
        <w:spacing w:line="360" w:lineRule="auto"/>
        <w:ind w:firstLine="480" w:firstLineChars="200"/>
        <w:jc w:val="left"/>
        <w:rPr>
          <w:rFonts w:ascii="宋体" w:hAnsi="宋体" w:cs="宋体"/>
          <w:color w:val="000000"/>
          <w:sz w:val="24"/>
          <w:szCs w:val="24"/>
          <w:highlight w:val="none"/>
        </w:rPr>
      </w:pPr>
      <w:r>
        <w:rPr>
          <w:rFonts w:hint="eastAsia" w:ascii="宋体" w:hAnsi="宋体" w:cs="宋体"/>
          <w:color w:val="000000"/>
          <w:sz w:val="24"/>
          <w:szCs w:val="24"/>
          <w:highlight w:val="none"/>
        </w:rPr>
        <w:t>争议评审小组成员的报酬承担方式：</w:t>
      </w:r>
      <w:r>
        <w:rPr>
          <w:rFonts w:hint="eastAsia" w:ascii="宋体" w:hAnsi="宋体" w:cs="宋体"/>
          <w:color w:val="000000"/>
          <w:sz w:val="24"/>
          <w:szCs w:val="24"/>
          <w:highlight w:val="none"/>
          <w:u w:val="single"/>
        </w:rPr>
        <w:t>无</w:t>
      </w:r>
      <w:r>
        <w:rPr>
          <w:rFonts w:hint="eastAsia" w:ascii="宋体" w:hAnsi="宋体" w:cs="宋体"/>
          <w:color w:val="000000"/>
          <w:sz w:val="24"/>
          <w:szCs w:val="24"/>
          <w:highlight w:val="none"/>
        </w:rPr>
        <w:t>。</w:t>
      </w:r>
    </w:p>
    <w:p>
      <w:pPr>
        <w:spacing w:line="360" w:lineRule="auto"/>
        <w:ind w:firstLine="480" w:firstLineChars="200"/>
        <w:jc w:val="left"/>
        <w:rPr>
          <w:rFonts w:ascii="宋体" w:hAnsi="宋体" w:cs="宋体"/>
          <w:color w:val="000000"/>
          <w:sz w:val="24"/>
          <w:szCs w:val="24"/>
          <w:highlight w:val="none"/>
        </w:rPr>
      </w:pPr>
      <w:r>
        <w:rPr>
          <w:rFonts w:hint="eastAsia" w:ascii="宋体" w:hAnsi="宋体" w:cs="宋体"/>
          <w:color w:val="000000"/>
          <w:sz w:val="24"/>
          <w:szCs w:val="24"/>
          <w:highlight w:val="none"/>
        </w:rPr>
        <w:t>其他事项的约定：</w:t>
      </w:r>
      <w:r>
        <w:rPr>
          <w:rFonts w:hint="eastAsia" w:ascii="宋体" w:hAnsi="宋体" w:cs="宋体"/>
          <w:color w:val="000000"/>
          <w:sz w:val="24"/>
          <w:szCs w:val="24"/>
          <w:highlight w:val="none"/>
          <w:u w:val="single"/>
        </w:rPr>
        <w:t>无</w:t>
      </w:r>
      <w:r>
        <w:rPr>
          <w:rFonts w:hint="eastAsia" w:ascii="宋体" w:hAnsi="宋体" w:cs="宋体"/>
          <w:color w:val="000000"/>
          <w:sz w:val="24"/>
          <w:szCs w:val="24"/>
          <w:highlight w:val="none"/>
        </w:rPr>
        <w:t>。</w:t>
      </w:r>
    </w:p>
    <w:p>
      <w:pPr>
        <w:autoSpaceDE w:val="0"/>
        <w:autoSpaceDN w:val="0"/>
        <w:adjustRightInd w:val="0"/>
        <w:spacing w:line="360" w:lineRule="auto"/>
        <w:ind w:firstLine="480" w:firstLineChars="200"/>
        <w:jc w:val="left"/>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20.3.2 争议评审小组的决定</w:t>
      </w:r>
    </w:p>
    <w:p>
      <w:pPr>
        <w:spacing w:line="360" w:lineRule="auto"/>
        <w:ind w:firstLine="480" w:firstLineChars="200"/>
        <w:jc w:val="left"/>
        <w:rPr>
          <w:rFonts w:ascii="宋体" w:hAnsi="宋体" w:cs="宋体"/>
          <w:color w:val="000000"/>
          <w:sz w:val="24"/>
          <w:szCs w:val="24"/>
          <w:highlight w:val="none"/>
        </w:rPr>
      </w:pPr>
      <w:r>
        <w:rPr>
          <w:rFonts w:hint="eastAsia" w:ascii="宋体" w:hAnsi="宋体" w:cs="宋体"/>
          <w:color w:val="000000"/>
          <w:sz w:val="24"/>
          <w:szCs w:val="24"/>
          <w:highlight w:val="none"/>
        </w:rPr>
        <w:t>合同当事人关于本项的约定：</w:t>
      </w:r>
      <w:r>
        <w:rPr>
          <w:rFonts w:hint="eastAsia" w:ascii="宋体" w:hAnsi="宋体" w:cs="宋体"/>
          <w:color w:val="000000"/>
          <w:sz w:val="24"/>
          <w:szCs w:val="24"/>
          <w:highlight w:val="none"/>
          <w:u w:val="single"/>
        </w:rPr>
        <w:t>无</w:t>
      </w:r>
      <w:r>
        <w:rPr>
          <w:rFonts w:hint="eastAsia" w:ascii="宋体" w:hAnsi="宋体" w:cs="宋体"/>
          <w:color w:val="000000"/>
          <w:sz w:val="24"/>
          <w:szCs w:val="24"/>
          <w:highlight w:val="none"/>
        </w:rPr>
        <w:t>。</w:t>
      </w:r>
    </w:p>
    <w:p>
      <w:pPr>
        <w:spacing w:after="120" w:line="360" w:lineRule="auto"/>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20.4仲裁或诉讼</w:t>
      </w:r>
      <w:bookmarkEnd w:id="130"/>
    </w:p>
    <w:p>
      <w:pPr>
        <w:spacing w:after="120" w:line="360" w:lineRule="auto"/>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因合同及合同有关事项发生的争议，按下列第</w:t>
      </w:r>
      <w:r>
        <w:rPr>
          <w:rFonts w:hint="eastAsia" w:ascii="宋体" w:hAnsi="宋体" w:cs="宋体"/>
          <w:color w:val="000000"/>
          <w:sz w:val="24"/>
          <w:szCs w:val="24"/>
          <w:highlight w:val="none"/>
          <w:u w:val="single"/>
        </w:rPr>
        <w:t>(2)</w:t>
      </w:r>
      <w:r>
        <w:rPr>
          <w:rFonts w:hint="eastAsia" w:ascii="宋体" w:hAnsi="宋体" w:cs="宋体"/>
          <w:color w:val="000000"/>
          <w:sz w:val="24"/>
          <w:szCs w:val="24"/>
          <w:highlight w:val="none"/>
        </w:rPr>
        <w:t>种方式解决：</w:t>
      </w:r>
    </w:p>
    <w:p>
      <w:pPr>
        <w:spacing w:line="360" w:lineRule="auto"/>
        <w:ind w:firstLine="480" w:firstLineChars="200"/>
        <w:jc w:val="left"/>
        <w:rPr>
          <w:rFonts w:ascii="宋体" w:hAnsi="宋体" w:cs="宋体"/>
          <w:color w:val="000000"/>
          <w:sz w:val="24"/>
          <w:szCs w:val="24"/>
          <w:highlight w:val="none"/>
        </w:rPr>
      </w:pPr>
      <w:r>
        <w:rPr>
          <w:rFonts w:hint="eastAsia" w:ascii="宋体" w:hAnsi="宋体" w:cs="宋体"/>
          <w:color w:val="000000"/>
          <w:sz w:val="24"/>
          <w:szCs w:val="24"/>
          <w:highlight w:val="none"/>
        </w:rPr>
        <w:t>（1）向</w:t>
      </w:r>
      <w:r>
        <w:rPr>
          <w:rFonts w:hint="eastAsia" w:ascii="宋体" w:hAnsi="宋体" w:cs="宋体"/>
          <w:color w:val="000000"/>
          <w:sz w:val="24"/>
          <w:szCs w:val="24"/>
          <w:highlight w:val="none"/>
          <w:u w:val="single"/>
        </w:rPr>
        <w:t></w:t>
      </w:r>
      <w:r>
        <w:rPr>
          <w:rFonts w:hint="eastAsia" w:ascii="宋体" w:hAnsi="宋体" w:cs="宋体"/>
          <w:color w:val="000000"/>
          <w:sz w:val="24"/>
          <w:szCs w:val="24"/>
          <w:highlight w:val="none"/>
        </w:rPr>
        <w:t>仲裁委员会申请仲裁；</w:t>
      </w:r>
    </w:p>
    <w:p>
      <w:pPr>
        <w:spacing w:line="360" w:lineRule="auto"/>
        <w:ind w:firstLine="480" w:firstLineChars="200"/>
        <w:jc w:val="left"/>
        <w:rPr>
          <w:rFonts w:ascii="宋体" w:hAnsi="宋体" w:cs="宋体"/>
          <w:color w:val="000000"/>
          <w:sz w:val="24"/>
          <w:szCs w:val="24"/>
          <w:highlight w:val="none"/>
        </w:rPr>
      </w:pPr>
      <w:r>
        <w:rPr>
          <w:rFonts w:hint="eastAsia" w:ascii="宋体" w:hAnsi="宋体" w:cs="宋体"/>
          <w:color w:val="000000"/>
          <w:sz w:val="24"/>
          <w:szCs w:val="24"/>
          <w:highlight w:val="none"/>
        </w:rPr>
        <w:t>（2）向</w:t>
      </w:r>
      <w:r>
        <w:rPr>
          <w:rFonts w:hint="eastAsia" w:ascii="宋体" w:hAnsi="宋体" w:cs="宋体"/>
          <w:color w:val="000000"/>
          <w:sz w:val="24"/>
          <w:szCs w:val="24"/>
          <w:highlight w:val="none"/>
          <w:u w:val="single"/>
        </w:rPr>
        <w:t>工程所在地</w:t>
      </w:r>
      <w:r>
        <w:rPr>
          <w:rFonts w:hint="eastAsia" w:ascii="宋体" w:hAnsi="宋体" w:cs="宋体"/>
          <w:color w:val="000000"/>
          <w:sz w:val="24"/>
          <w:szCs w:val="24"/>
          <w:highlight w:val="none"/>
        </w:rPr>
        <w:t>人民法院起诉。</w:t>
      </w:r>
      <w:bookmarkEnd w:id="131"/>
      <w:bookmarkEnd w:id="132"/>
      <w:bookmarkEnd w:id="133"/>
      <w:bookmarkEnd w:id="134"/>
      <w:bookmarkEnd w:id="135"/>
      <w:bookmarkEnd w:id="136"/>
    </w:p>
    <w:p>
      <w:pPr>
        <w:autoSpaceDE w:val="0"/>
        <w:autoSpaceDN w:val="0"/>
        <w:adjustRightInd w:val="0"/>
        <w:spacing w:before="100" w:after="100" w:line="360" w:lineRule="auto"/>
        <w:ind w:left="250" w:firstLine="405"/>
        <w:jc w:val="left"/>
        <w:rPr>
          <w:rFonts w:ascii="宋体" w:hAnsi="宋体" w:cs="宋体"/>
          <w:bCs/>
          <w:strike/>
          <w:color w:val="000000"/>
          <w:kern w:val="0"/>
          <w:sz w:val="24"/>
          <w:szCs w:val="24"/>
          <w:highlight w:val="none"/>
          <w:u w:val="single" w:color="000000"/>
        </w:rPr>
      </w:pPr>
      <w:r>
        <w:rPr>
          <w:rFonts w:hint="eastAsia" w:ascii="宋体" w:hAnsi="宋体" w:cs="宋体"/>
          <w:sz w:val="24"/>
          <w:szCs w:val="24"/>
          <w:highlight w:val="none"/>
        </w:rPr>
        <w:t>21、其它</w:t>
      </w:r>
    </w:p>
    <w:p>
      <w:pPr>
        <w:autoSpaceDE w:val="0"/>
        <w:autoSpaceDN w:val="0"/>
        <w:adjustRightInd w:val="0"/>
        <w:spacing w:before="100" w:after="100" w:line="360" w:lineRule="auto"/>
        <w:ind w:left="250" w:firstLine="405"/>
        <w:jc w:val="left"/>
        <w:rPr>
          <w:rFonts w:ascii="宋体" w:hAnsi="宋体" w:cs="宋体"/>
          <w:bCs/>
          <w:color w:val="000000"/>
          <w:kern w:val="0"/>
          <w:sz w:val="24"/>
          <w:szCs w:val="24"/>
          <w:highlight w:val="none"/>
          <w:u w:val="single" w:color="000000"/>
        </w:rPr>
      </w:pPr>
      <w:r>
        <w:rPr>
          <w:rFonts w:hint="eastAsia" w:ascii="宋体" w:hAnsi="宋体" w:cs="宋体"/>
          <w:bCs/>
          <w:color w:val="000000"/>
          <w:kern w:val="0"/>
          <w:sz w:val="24"/>
          <w:szCs w:val="24"/>
          <w:highlight w:val="none"/>
          <w:u w:val="single" w:color="000000"/>
        </w:rPr>
        <w:t>(1)、施工所需脚手架全部采用钢管搭设；必须确保施工现场安全文明施工，达到标准化要求，其相应的费用列入措施费用中。</w:t>
      </w:r>
    </w:p>
    <w:p>
      <w:pPr>
        <w:autoSpaceDE w:val="0"/>
        <w:autoSpaceDN w:val="0"/>
        <w:adjustRightInd w:val="0"/>
        <w:spacing w:before="100" w:after="100" w:line="360" w:lineRule="auto"/>
        <w:ind w:left="250" w:firstLine="405"/>
        <w:jc w:val="left"/>
        <w:rPr>
          <w:rFonts w:ascii="宋体" w:hAnsi="宋体" w:cs="宋体"/>
          <w:bCs/>
          <w:color w:val="000000"/>
          <w:kern w:val="0"/>
          <w:sz w:val="24"/>
          <w:szCs w:val="24"/>
          <w:highlight w:val="none"/>
          <w:u w:val="single" w:color="000000"/>
        </w:rPr>
      </w:pPr>
      <w:r>
        <w:rPr>
          <w:rFonts w:hint="eastAsia" w:ascii="宋体" w:hAnsi="宋体" w:cs="宋体"/>
          <w:bCs/>
          <w:color w:val="000000"/>
          <w:kern w:val="0"/>
          <w:sz w:val="24"/>
          <w:szCs w:val="24"/>
          <w:highlight w:val="none"/>
          <w:u w:val="single" w:color="000000"/>
        </w:rPr>
        <w:t>(2)、工程师发出的会议纪要中的决议部分，承包人应将其视为指令执行，如对决议内容有异议，应在收到会议纪要24小时内向工程提出书面意见。</w:t>
      </w:r>
    </w:p>
    <w:p>
      <w:pPr>
        <w:autoSpaceDE w:val="0"/>
        <w:autoSpaceDN w:val="0"/>
        <w:adjustRightInd w:val="0"/>
        <w:spacing w:before="100" w:after="100" w:line="360" w:lineRule="auto"/>
        <w:ind w:left="250" w:firstLine="405"/>
        <w:jc w:val="left"/>
        <w:rPr>
          <w:rFonts w:ascii="宋体" w:hAnsi="宋体" w:cs="宋体"/>
          <w:bCs/>
          <w:color w:val="000000"/>
          <w:kern w:val="0"/>
          <w:sz w:val="24"/>
          <w:szCs w:val="24"/>
          <w:highlight w:val="none"/>
          <w:u w:val="single" w:color="000000"/>
        </w:rPr>
      </w:pPr>
      <w:r>
        <w:rPr>
          <w:rFonts w:hint="eastAsia" w:ascii="宋体" w:hAnsi="宋体" w:cs="宋体"/>
          <w:bCs/>
          <w:color w:val="000000"/>
          <w:kern w:val="0"/>
          <w:sz w:val="24"/>
          <w:szCs w:val="24"/>
          <w:highlight w:val="none"/>
          <w:u w:val="single" w:color="000000"/>
        </w:rPr>
        <w:t>(3)、工程各分部分项一次检测不合格，承包人除承担返工费用外，还需承担后续检测费用以及因延期交付给发包人或相关单位造成的直接和间接损失的相关费用。</w:t>
      </w:r>
    </w:p>
    <w:p>
      <w:pPr>
        <w:autoSpaceDE w:val="0"/>
        <w:autoSpaceDN w:val="0"/>
        <w:adjustRightInd w:val="0"/>
        <w:spacing w:before="100" w:after="100" w:line="360" w:lineRule="auto"/>
        <w:ind w:left="250" w:firstLine="405"/>
        <w:jc w:val="left"/>
        <w:rPr>
          <w:rFonts w:ascii="宋体" w:hAnsi="宋体" w:cs="宋体"/>
          <w:bCs/>
          <w:color w:val="000000"/>
          <w:kern w:val="0"/>
          <w:sz w:val="24"/>
          <w:szCs w:val="24"/>
          <w:highlight w:val="none"/>
          <w:u w:val="single" w:color="000000"/>
        </w:rPr>
      </w:pPr>
      <w:r>
        <w:rPr>
          <w:rFonts w:hint="eastAsia" w:ascii="宋体" w:hAnsi="宋体" w:cs="宋体"/>
          <w:bCs/>
          <w:color w:val="000000"/>
          <w:kern w:val="0"/>
          <w:sz w:val="24"/>
          <w:szCs w:val="24"/>
          <w:highlight w:val="none"/>
          <w:u w:val="single" w:color="000000"/>
        </w:rPr>
        <w:t>(4)、本工程中消防等专业部分，承包人必须接受有关管理部门的指导和监督，涉及消防等专业特殊材料、安装需经有关管理部门确认。</w:t>
      </w:r>
    </w:p>
    <w:p>
      <w:pPr>
        <w:autoSpaceDE w:val="0"/>
        <w:autoSpaceDN w:val="0"/>
        <w:adjustRightInd w:val="0"/>
        <w:spacing w:before="100" w:after="100" w:line="360" w:lineRule="auto"/>
        <w:ind w:left="250" w:firstLine="405"/>
        <w:jc w:val="left"/>
        <w:rPr>
          <w:rFonts w:ascii="宋体" w:hAnsi="宋体" w:cs="宋体"/>
          <w:bCs/>
          <w:color w:val="000000"/>
          <w:kern w:val="0"/>
          <w:sz w:val="24"/>
          <w:szCs w:val="24"/>
          <w:highlight w:val="none"/>
          <w:u w:val="single" w:color="000000"/>
        </w:rPr>
      </w:pPr>
      <w:r>
        <w:rPr>
          <w:rFonts w:hint="eastAsia" w:ascii="宋体" w:hAnsi="宋体" w:cs="宋体"/>
          <w:bCs/>
          <w:color w:val="000000"/>
          <w:kern w:val="0"/>
          <w:sz w:val="24"/>
          <w:szCs w:val="24"/>
          <w:highlight w:val="none"/>
          <w:u w:val="single" w:color="000000"/>
        </w:rPr>
        <w:t>(5)、对发包方供应的材料数量、规格、品种如有变更需在工程使用前十五日内由承包方提供，否则，已组织供应到现场的（未到现场的）材料所产生的一切损失及造成的误工损失均由承包方负责；反之，由发包方承担其损失。</w:t>
      </w:r>
    </w:p>
    <w:p>
      <w:pPr>
        <w:autoSpaceDE w:val="0"/>
        <w:autoSpaceDN w:val="0"/>
        <w:adjustRightInd w:val="0"/>
        <w:spacing w:before="100" w:after="100" w:line="360" w:lineRule="auto"/>
        <w:ind w:left="250" w:firstLine="405"/>
        <w:jc w:val="left"/>
        <w:rPr>
          <w:rFonts w:ascii="宋体" w:hAnsi="宋体" w:cs="宋体"/>
          <w:bCs/>
          <w:color w:val="000000"/>
          <w:kern w:val="0"/>
          <w:sz w:val="24"/>
          <w:szCs w:val="24"/>
          <w:highlight w:val="none"/>
          <w:u w:val="single" w:color="000000"/>
        </w:rPr>
      </w:pPr>
      <w:r>
        <w:rPr>
          <w:rFonts w:hint="eastAsia" w:ascii="宋体" w:hAnsi="宋体" w:cs="宋体"/>
          <w:bCs/>
          <w:color w:val="000000"/>
          <w:kern w:val="0"/>
          <w:sz w:val="24"/>
          <w:szCs w:val="24"/>
          <w:highlight w:val="none"/>
          <w:u w:val="single" w:color="000000"/>
        </w:rPr>
        <w:t>(6)、所有乙供材料，投标文件中应标明生产厂家、规格、品牌及执行的质量标准，如进场施工材料与招投标文件不符，</w:t>
      </w:r>
      <w:r>
        <w:rPr>
          <w:rFonts w:hint="eastAsia" w:ascii="宋体" w:hAnsi="宋体" w:cs="宋体"/>
          <w:bCs/>
          <w:color w:val="000000"/>
          <w:kern w:val="0"/>
          <w:sz w:val="24"/>
          <w:szCs w:val="24"/>
          <w:highlight w:val="none"/>
          <w:u w:val="single" w:color="000000"/>
          <w:lang w:eastAsia="zh-CN"/>
        </w:rPr>
        <w:t>发包人</w:t>
      </w:r>
      <w:r>
        <w:rPr>
          <w:rFonts w:hint="eastAsia" w:ascii="宋体" w:hAnsi="宋体" w:cs="宋体"/>
          <w:bCs/>
          <w:color w:val="000000"/>
          <w:kern w:val="0"/>
          <w:sz w:val="24"/>
          <w:szCs w:val="24"/>
          <w:highlight w:val="none"/>
          <w:u w:val="single" w:color="000000"/>
        </w:rPr>
        <w:t>可另行采购，</w:t>
      </w:r>
      <w:r>
        <w:rPr>
          <w:rFonts w:hint="eastAsia" w:ascii="宋体" w:hAnsi="宋体" w:cs="宋体"/>
          <w:bCs/>
          <w:color w:val="000000"/>
          <w:kern w:val="0"/>
          <w:sz w:val="24"/>
          <w:szCs w:val="24"/>
          <w:highlight w:val="none"/>
          <w:u w:val="single" w:color="000000"/>
          <w:lang w:eastAsia="zh-CN"/>
        </w:rPr>
        <w:t>承包人</w:t>
      </w:r>
      <w:r>
        <w:rPr>
          <w:rFonts w:hint="eastAsia" w:ascii="宋体" w:hAnsi="宋体" w:cs="宋体"/>
          <w:bCs/>
          <w:color w:val="000000"/>
          <w:kern w:val="0"/>
          <w:sz w:val="24"/>
          <w:szCs w:val="24"/>
          <w:highlight w:val="none"/>
          <w:u w:val="single" w:color="000000"/>
        </w:rPr>
        <w:t>承担材料费及由此造成的一切损失。甲供材的进场质量须由承包人进行复检把关，如遇因质量不合格材料的使用而引起的返工所造成的费用损失及工期延误由承包人负责。</w:t>
      </w:r>
    </w:p>
    <w:p>
      <w:pPr>
        <w:autoSpaceDE w:val="0"/>
        <w:autoSpaceDN w:val="0"/>
        <w:adjustRightInd w:val="0"/>
        <w:spacing w:before="100" w:after="100" w:line="360" w:lineRule="auto"/>
        <w:ind w:left="250" w:firstLine="405"/>
        <w:jc w:val="left"/>
        <w:rPr>
          <w:rFonts w:ascii="宋体" w:hAnsi="宋体" w:cs="宋体"/>
          <w:bCs/>
          <w:color w:val="000000"/>
          <w:kern w:val="0"/>
          <w:sz w:val="24"/>
          <w:szCs w:val="24"/>
          <w:highlight w:val="none"/>
          <w:u w:val="single" w:color="000000"/>
        </w:rPr>
      </w:pPr>
      <w:r>
        <w:rPr>
          <w:rFonts w:hint="eastAsia" w:ascii="宋体" w:hAnsi="宋体" w:cs="宋体"/>
          <w:bCs/>
          <w:color w:val="000000"/>
          <w:kern w:val="0"/>
          <w:sz w:val="24"/>
          <w:szCs w:val="24"/>
          <w:highlight w:val="none"/>
          <w:u w:val="single" w:color="000000"/>
        </w:rPr>
        <w:t>(7)、施工过程中承包人必须无条件的执行经</w:t>
      </w:r>
      <w:r>
        <w:rPr>
          <w:rFonts w:hint="eastAsia" w:ascii="宋体" w:hAnsi="宋体" w:cs="宋体"/>
          <w:bCs/>
          <w:color w:val="000000"/>
          <w:kern w:val="0"/>
          <w:sz w:val="24"/>
          <w:szCs w:val="24"/>
          <w:highlight w:val="none"/>
          <w:u w:val="single" w:color="000000"/>
          <w:lang w:eastAsia="zh-CN"/>
        </w:rPr>
        <w:t>发包人</w:t>
      </w:r>
      <w:r>
        <w:rPr>
          <w:rFonts w:hint="eastAsia" w:ascii="宋体" w:hAnsi="宋体" w:cs="宋体"/>
          <w:bCs/>
          <w:color w:val="000000"/>
          <w:kern w:val="0"/>
          <w:sz w:val="24"/>
          <w:szCs w:val="24"/>
          <w:highlight w:val="none"/>
          <w:u w:val="single" w:color="000000"/>
        </w:rPr>
        <w:t>确认的设计变更，除非该设计变更属结构性重大变动，同时也符合价款调整的相关条款之规定，否则所有设计变更均不得作为调整措施费用和延长工期的理由。</w:t>
      </w:r>
    </w:p>
    <w:p>
      <w:pPr>
        <w:autoSpaceDE w:val="0"/>
        <w:autoSpaceDN w:val="0"/>
        <w:adjustRightInd w:val="0"/>
        <w:spacing w:before="100" w:after="100" w:line="360" w:lineRule="auto"/>
        <w:ind w:left="250" w:firstLine="405"/>
        <w:jc w:val="left"/>
        <w:rPr>
          <w:rFonts w:ascii="宋体" w:hAnsi="宋体" w:cs="宋体"/>
          <w:bCs/>
          <w:color w:val="000000"/>
          <w:kern w:val="0"/>
          <w:sz w:val="24"/>
          <w:szCs w:val="24"/>
          <w:highlight w:val="none"/>
          <w:u w:val="single" w:color="000000"/>
        </w:rPr>
      </w:pPr>
      <w:r>
        <w:rPr>
          <w:rFonts w:hint="eastAsia" w:ascii="宋体" w:hAnsi="宋体" w:cs="宋体"/>
          <w:bCs/>
          <w:color w:val="000000"/>
          <w:kern w:val="0"/>
          <w:sz w:val="24"/>
          <w:szCs w:val="24"/>
          <w:highlight w:val="none"/>
          <w:u w:val="single" w:color="000000"/>
        </w:rPr>
        <w:t>(8)、甲供材的供应总计划，必须在中标后的十日内由施工单位向监理工程师提交需求计划书，获得批准后报</w:t>
      </w:r>
      <w:r>
        <w:rPr>
          <w:rFonts w:hint="eastAsia" w:ascii="宋体" w:hAnsi="宋体" w:cs="宋体"/>
          <w:bCs/>
          <w:color w:val="000000"/>
          <w:kern w:val="0"/>
          <w:sz w:val="24"/>
          <w:szCs w:val="24"/>
          <w:highlight w:val="none"/>
          <w:u w:val="single" w:color="000000"/>
          <w:lang w:eastAsia="zh-CN"/>
        </w:rPr>
        <w:t>发包人</w:t>
      </w:r>
      <w:r>
        <w:rPr>
          <w:rFonts w:hint="eastAsia" w:ascii="宋体" w:hAnsi="宋体" w:cs="宋体"/>
          <w:bCs/>
          <w:color w:val="000000"/>
          <w:kern w:val="0"/>
          <w:sz w:val="24"/>
          <w:szCs w:val="24"/>
          <w:highlight w:val="none"/>
          <w:u w:val="single" w:color="000000"/>
        </w:rPr>
        <w:t>进行采购订货。</w:t>
      </w:r>
    </w:p>
    <w:p>
      <w:pPr>
        <w:autoSpaceDE w:val="0"/>
        <w:autoSpaceDN w:val="0"/>
        <w:adjustRightInd w:val="0"/>
        <w:spacing w:before="100" w:after="100" w:line="360" w:lineRule="auto"/>
        <w:ind w:left="250" w:firstLine="405"/>
        <w:jc w:val="left"/>
        <w:rPr>
          <w:rFonts w:ascii="宋体" w:hAnsi="宋体" w:cs="宋体"/>
          <w:bCs/>
          <w:color w:val="000000"/>
          <w:kern w:val="0"/>
          <w:sz w:val="24"/>
          <w:szCs w:val="24"/>
          <w:highlight w:val="none"/>
          <w:u w:val="single" w:color="000000"/>
        </w:rPr>
      </w:pPr>
      <w:r>
        <w:rPr>
          <w:rFonts w:hint="eastAsia" w:ascii="宋体" w:hAnsi="宋体" w:cs="宋体"/>
          <w:bCs/>
          <w:color w:val="000000"/>
          <w:kern w:val="0"/>
          <w:sz w:val="24"/>
          <w:szCs w:val="24"/>
          <w:highlight w:val="none"/>
          <w:u w:val="single" w:color="000000"/>
        </w:rPr>
        <w:t>(9)、甲供材供应数量、品种、规格如发生变化，必须在工程使用前十五天内，由施工方报监理工程师批准并及时转交发包方，否则将承担由于所需材料发生变化而产生的一切损失，由此而造成的误工损失等均由施工方自行负责。</w:t>
      </w:r>
    </w:p>
    <w:p>
      <w:pPr>
        <w:autoSpaceDE w:val="0"/>
        <w:autoSpaceDN w:val="0"/>
        <w:adjustRightInd w:val="0"/>
        <w:spacing w:before="100" w:after="100" w:line="360" w:lineRule="auto"/>
        <w:ind w:left="250" w:firstLine="405"/>
        <w:jc w:val="left"/>
        <w:rPr>
          <w:rFonts w:ascii="宋体" w:hAnsi="宋体" w:cs="宋体"/>
          <w:bCs/>
          <w:color w:val="000000"/>
          <w:kern w:val="0"/>
          <w:sz w:val="24"/>
          <w:szCs w:val="24"/>
          <w:highlight w:val="none"/>
          <w:u w:val="single" w:color="000000"/>
        </w:rPr>
      </w:pPr>
      <w:r>
        <w:rPr>
          <w:rFonts w:hint="eastAsia" w:ascii="宋体" w:hAnsi="宋体" w:cs="宋体"/>
          <w:bCs/>
          <w:color w:val="000000"/>
          <w:kern w:val="0"/>
          <w:sz w:val="24"/>
          <w:szCs w:val="24"/>
          <w:highlight w:val="none"/>
          <w:u w:val="single" w:color="000000"/>
        </w:rPr>
        <w:t>(10)、发包人应严格按照本合同约定支付工程进度款，承包人必须首先确保施工一线工人的工资发放，不得拖欠民工工资，否则发包人可采取必要的措施予以处理，并对承包人进行5万的违约处罚，发包人保留进一步追究承包人责任的权利。</w:t>
      </w:r>
    </w:p>
    <w:p>
      <w:pPr>
        <w:autoSpaceDE w:val="0"/>
        <w:autoSpaceDN w:val="0"/>
        <w:adjustRightInd w:val="0"/>
        <w:spacing w:before="100" w:after="100" w:line="360" w:lineRule="auto"/>
        <w:ind w:left="250" w:firstLine="405"/>
        <w:jc w:val="left"/>
        <w:rPr>
          <w:rFonts w:ascii="宋体" w:hAnsi="宋体" w:cs="宋体"/>
          <w:bCs/>
          <w:color w:val="000000"/>
          <w:kern w:val="0"/>
          <w:sz w:val="24"/>
          <w:szCs w:val="24"/>
          <w:highlight w:val="none"/>
          <w:u w:val="single" w:color="000000"/>
        </w:rPr>
      </w:pPr>
      <w:r>
        <w:rPr>
          <w:rFonts w:hint="eastAsia" w:ascii="宋体" w:hAnsi="宋体" w:cs="宋体"/>
          <w:bCs/>
          <w:color w:val="000000"/>
          <w:kern w:val="0"/>
          <w:sz w:val="24"/>
          <w:szCs w:val="24"/>
          <w:highlight w:val="none"/>
          <w:u w:val="single" w:color="000000"/>
        </w:rPr>
        <w:t xml:space="preserve"> (11)、工程竣工交付后一周内，除经</w:t>
      </w:r>
      <w:r>
        <w:rPr>
          <w:rFonts w:hint="eastAsia" w:ascii="宋体" w:hAnsi="宋体" w:cs="宋体"/>
          <w:bCs/>
          <w:color w:val="000000"/>
          <w:kern w:val="0"/>
          <w:sz w:val="24"/>
          <w:szCs w:val="24"/>
          <w:highlight w:val="none"/>
          <w:u w:val="single" w:color="000000"/>
          <w:lang w:eastAsia="zh-CN"/>
        </w:rPr>
        <w:t>发包人</w:t>
      </w:r>
      <w:r>
        <w:rPr>
          <w:rFonts w:hint="eastAsia" w:ascii="宋体" w:hAnsi="宋体" w:cs="宋体"/>
          <w:bCs/>
          <w:color w:val="000000"/>
          <w:kern w:val="0"/>
          <w:sz w:val="24"/>
          <w:szCs w:val="24"/>
          <w:highlight w:val="none"/>
          <w:u w:val="single" w:color="000000"/>
        </w:rPr>
        <w:t>同意外，一切临时设施和施工机械、设备和器材必须撤离现场，否则，</w:t>
      </w:r>
      <w:r>
        <w:rPr>
          <w:rFonts w:hint="eastAsia" w:ascii="宋体" w:hAnsi="宋体" w:cs="宋体"/>
          <w:bCs/>
          <w:color w:val="000000"/>
          <w:kern w:val="0"/>
          <w:sz w:val="24"/>
          <w:szCs w:val="24"/>
          <w:highlight w:val="none"/>
          <w:u w:val="single" w:color="000000"/>
          <w:lang w:eastAsia="zh-CN"/>
        </w:rPr>
        <w:t>发包人</w:t>
      </w:r>
      <w:r>
        <w:rPr>
          <w:rFonts w:hint="eastAsia" w:ascii="宋体" w:hAnsi="宋体" w:cs="宋体"/>
          <w:bCs/>
          <w:color w:val="000000"/>
          <w:kern w:val="0"/>
          <w:sz w:val="24"/>
          <w:szCs w:val="24"/>
          <w:highlight w:val="none"/>
          <w:u w:val="single" w:color="000000"/>
        </w:rPr>
        <w:t>按每天10000元收取违约金。</w:t>
      </w:r>
    </w:p>
    <w:p>
      <w:pPr>
        <w:autoSpaceDE w:val="0"/>
        <w:autoSpaceDN w:val="0"/>
        <w:adjustRightInd w:val="0"/>
        <w:spacing w:before="100" w:after="100" w:line="360" w:lineRule="auto"/>
        <w:ind w:left="250" w:firstLine="405"/>
        <w:jc w:val="left"/>
        <w:rPr>
          <w:rFonts w:ascii="宋体" w:hAnsi="宋体" w:cs="宋体"/>
          <w:bCs/>
          <w:color w:val="000000"/>
          <w:kern w:val="0"/>
          <w:sz w:val="24"/>
          <w:szCs w:val="24"/>
          <w:highlight w:val="none"/>
          <w:u w:val="single" w:color="000000"/>
        </w:rPr>
      </w:pPr>
      <w:r>
        <w:rPr>
          <w:rFonts w:hint="eastAsia" w:ascii="宋体" w:hAnsi="宋体" w:cs="宋体"/>
          <w:bCs/>
          <w:color w:val="000000"/>
          <w:kern w:val="0"/>
          <w:sz w:val="24"/>
          <w:szCs w:val="24"/>
          <w:highlight w:val="none"/>
          <w:u w:val="single" w:color="000000"/>
        </w:rPr>
        <w:t>(12)、自竣工验收之日起28天内，承包商将竣工图、竣工资料和竣工结算交付发包人，发包人立即安排审核、审查、审计。审计过程中发包人不再接受承包人提交的任何补充资料，所有遗漏的结算资料均视为承包人做出的优惠，如承包人在二个月内不能交付上述文件资料，则当年不予结算。</w:t>
      </w:r>
    </w:p>
    <w:p>
      <w:pPr>
        <w:autoSpaceDE w:val="0"/>
        <w:autoSpaceDN w:val="0"/>
        <w:adjustRightInd w:val="0"/>
        <w:spacing w:before="100" w:after="100" w:line="360" w:lineRule="auto"/>
        <w:ind w:left="250" w:firstLine="405"/>
        <w:jc w:val="left"/>
        <w:rPr>
          <w:rFonts w:ascii="宋体" w:hAnsi="宋体" w:cs="宋体"/>
          <w:bCs/>
          <w:color w:val="000000"/>
          <w:kern w:val="0"/>
          <w:sz w:val="24"/>
          <w:szCs w:val="24"/>
          <w:highlight w:val="none"/>
          <w:u w:val="single" w:color="000000"/>
        </w:rPr>
      </w:pPr>
      <w:r>
        <w:rPr>
          <w:rFonts w:hint="eastAsia" w:ascii="宋体" w:hAnsi="宋体" w:cs="宋体"/>
          <w:bCs/>
          <w:color w:val="000000"/>
          <w:kern w:val="0"/>
          <w:sz w:val="24"/>
          <w:szCs w:val="24"/>
          <w:highlight w:val="none"/>
          <w:u w:val="single" w:color="000000"/>
        </w:rPr>
        <w:t>(13)、施工单位所报结算经审计后，若审减额（送审额与审定额之差）超过5%（含5%）时（包括图纸变更、材料核价等一切中途变更审计内容）的审计费用全部由承包人支付，审计费用的计取标准：按照苏价服（2014）383号文件中工程竣工结算审核的计费标准执行（即基本费用＋追加费用）。</w:t>
      </w:r>
    </w:p>
    <w:p>
      <w:pPr>
        <w:autoSpaceDE w:val="0"/>
        <w:autoSpaceDN w:val="0"/>
        <w:adjustRightInd w:val="0"/>
        <w:spacing w:before="100" w:after="100" w:line="360" w:lineRule="auto"/>
        <w:ind w:left="250" w:firstLine="405"/>
        <w:jc w:val="left"/>
        <w:rPr>
          <w:rFonts w:ascii="宋体" w:hAnsi="宋体" w:cs="宋体"/>
          <w:bCs/>
          <w:color w:val="000000"/>
          <w:kern w:val="0"/>
          <w:sz w:val="24"/>
          <w:szCs w:val="24"/>
          <w:highlight w:val="none"/>
          <w:u w:val="single" w:color="000000"/>
        </w:rPr>
      </w:pPr>
      <w:r>
        <w:rPr>
          <w:rFonts w:hint="eastAsia" w:ascii="宋体" w:hAnsi="宋体" w:cs="宋体"/>
          <w:bCs/>
          <w:color w:val="000000"/>
          <w:kern w:val="0"/>
          <w:sz w:val="24"/>
          <w:szCs w:val="24"/>
          <w:highlight w:val="none"/>
          <w:u w:val="single" w:color="000000"/>
        </w:rPr>
        <w:t>(14)、本工程实行项目施工过程的跟踪审计，涉及工程价款变化和调整的所有资料，未经项目跟踪审计人员签字确认，一律不得作为调整竣工结算价款的依据。</w:t>
      </w:r>
    </w:p>
    <w:p>
      <w:pPr>
        <w:autoSpaceDE w:val="0"/>
        <w:autoSpaceDN w:val="0"/>
        <w:adjustRightInd w:val="0"/>
        <w:spacing w:before="100" w:after="100" w:line="360" w:lineRule="auto"/>
        <w:ind w:left="250" w:firstLine="405"/>
        <w:jc w:val="left"/>
        <w:rPr>
          <w:rFonts w:ascii="宋体" w:hAnsi="宋体" w:cs="宋体"/>
          <w:bCs/>
          <w:color w:val="000000"/>
          <w:kern w:val="0"/>
          <w:sz w:val="24"/>
          <w:szCs w:val="24"/>
          <w:highlight w:val="none"/>
          <w:u w:val="single" w:color="000000"/>
        </w:rPr>
      </w:pPr>
      <w:r>
        <w:rPr>
          <w:rFonts w:hint="eastAsia" w:ascii="宋体" w:hAnsi="宋体" w:cs="宋体"/>
          <w:bCs/>
          <w:color w:val="000000"/>
          <w:kern w:val="0"/>
          <w:sz w:val="24"/>
          <w:szCs w:val="24"/>
          <w:highlight w:val="none"/>
          <w:u w:val="single" w:color="000000"/>
        </w:rPr>
        <w:t>(15)、中标人在投标时承诺拟派本工程的项目经理不得擅自更换，特殊情况经发包人及建设行政主管部门同意后方可更换。如承包人未经发包人同意，擅自更换项目经理，发包人将有权对承包人处以人民币</w:t>
      </w:r>
      <w:r>
        <w:rPr>
          <w:rFonts w:hint="eastAsia" w:ascii="宋体" w:hAnsi="宋体" w:cs="宋体"/>
          <w:bCs/>
          <w:color w:val="000000"/>
          <w:kern w:val="0"/>
          <w:sz w:val="24"/>
          <w:szCs w:val="24"/>
          <w:highlight w:val="none"/>
          <w:u w:val="single" w:color="000000"/>
          <w:lang w:eastAsia="zh-CN"/>
        </w:rPr>
        <w:t>叁</w:t>
      </w:r>
      <w:r>
        <w:rPr>
          <w:rFonts w:hint="eastAsia" w:ascii="宋体" w:hAnsi="宋体" w:cs="宋体"/>
          <w:bCs/>
          <w:color w:val="000000"/>
          <w:kern w:val="0"/>
          <w:sz w:val="24"/>
          <w:szCs w:val="24"/>
          <w:highlight w:val="none"/>
          <w:u w:val="single" w:color="000000"/>
        </w:rPr>
        <w:t>万元的罚款(由发包人直接从工程款中扣抵)，直到中止合同，且对由此产生的一切损失、费用由承包人负责。</w:t>
      </w:r>
    </w:p>
    <w:p>
      <w:pPr>
        <w:autoSpaceDE w:val="0"/>
        <w:autoSpaceDN w:val="0"/>
        <w:adjustRightInd w:val="0"/>
        <w:spacing w:before="100" w:after="100" w:line="360" w:lineRule="auto"/>
        <w:ind w:left="250" w:firstLine="405"/>
        <w:jc w:val="left"/>
        <w:rPr>
          <w:rFonts w:ascii="宋体" w:hAnsi="宋体" w:cs="宋体"/>
          <w:bCs/>
          <w:color w:val="000000"/>
          <w:kern w:val="0"/>
          <w:sz w:val="24"/>
          <w:szCs w:val="24"/>
          <w:highlight w:val="none"/>
          <w:u w:val="single" w:color="000000"/>
        </w:rPr>
      </w:pPr>
      <w:r>
        <w:rPr>
          <w:rFonts w:hint="eastAsia" w:ascii="宋体" w:hAnsi="宋体" w:cs="宋体"/>
          <w:bCs/>
          <w:color w:val="000000"/>
          <w:kern w:val="0"/>
          <w:sz w:val="24"/>
          <w:szCs w:val="24"/>
          <w:highlight w:val="none"/>
          <w:u w:val="single" w:color="000000"/>
        </w:rPr>
        <w:t>(16)、</w:t>
      </w:r>
      <w:r>
        <w:rPr>
          <w:rFonts w:hint="eastAsia" w:ascii="宋体" w:hAnsi="宋体" w:cs="宋体"/>
          <w:bCs/>
          <w:color w:val="000000"/>
          <w:kern w:val="0"/>
          <w:sz w:val="24"/>
          <w:szCs w:val="24"/>
          <w:highlight w:val="none"/>
          <w:u w:val="single" w:color="000000"/>
          <w:lang w:eastAsia="zh-CN"/>
        </w:rPr>
        <w:t>承包人</w:t>
      </w:r>
      <w:r>
        <w:rPr>
          <w:rFonts w:hint="eastAsia" w:ascii="宋体" w:hAnsi="宋体" w:cs="宋体"/>
          <w:bCs/>
          <w:color w:val="000000"/>
          <w:kern w:val="0"/>
          <w:sz w:val="24"/>
          <w:szCs w:val="24"/>
          <w:highlight w:val="none"/>
          <w:u w:val="single" w:color="000000"/>
        </w:rPr>
        <w:t>进场后，结合现场对全部工程量进行统计并按合同价款的约定计算出工程总价，及时报</w:t>
      </w:r>
      <w:r>
        <w:rPr>
          <w:rFonts w:hint="eastAsia" w:ascii="宋体" w:hAnsi="宋体" w:cs="宋体"/>
          <w:bCs/>
          <w:color w:val="000000"/>
          <w:kern w:val="0"/>
          <w:sz w:val="24"/>
          <w:szCs w:val="24"/>
          <w:highlight w:val="none"/>
          <w:u w:val="single" w:color="000000"/>
          <w:lang w:eastAsia="zh-CN"/>
        </w:rPr>
        <w:t>发包人</w:t>
      </w:r>
      <w:r>
        <w:rPr>
          <w:rFonts w:hint="eastAsia" w:ascii="宋体" w:hAnsi="宋体" w:cs="宋体"/>
          <w:bCs/>
          <w:color w:val="000000"/>
          <w:kern w:val="0"/>
          <w:sz w:val="24"/>
          <w:szCs w:val="24"/>
          <w:highlight w:val="none"/>
          <w:u w:val="single" w:color="000000"/>
        </w:rPr>
        <w:t>审核，</w:t>
      </w:r>
      <w:r>
        <w:rPr>
          <w:rFonts w:hint="eastAsia" w:ascii="宋体" w:hAnsi="宋体" w:cs="宋体"/>
          <w:bCs/>
          <w:color w:val="000000"/>
          <w:kern w:val="0"/>
          <w:sz w:val="24"/>
          <w:szCs w:val="24"/>
          <w:highlight w:val="none"/>
          <w:u w:val="single" w:color="000000"/>
          <w:lang w:eastAsia="zh-CN"/>
        </w:rPr>
        <w:t>发包人</w:t>
      </w:r>
      <w:r>
        <w:rPr>
          <w:rFonts w:hint="eastAsia" w:ascii="宋体" w:hAnsi="宋体" w:cs="宋体"/>
          <w:bCs/>
          <w:color w:val="000000"/>
          <w:kern w:val="0"/>
          <w:sz w:val="24"/>
          <w:szCs w:val="24"/>
          <w:highlight w:val="none"/>
          <w:u w:val="single" w:color="000000"/>
        </w:rPr>
        <w:t>有权决定项目实施范围，否则工程结算总价如超出合同价部分将不予认可。</w:t>
      </w:r>
    </w:p>
    <w:p>
      <w:pPr>
        <w:spacing w:line="360" w:lineRule="auto"/>
        <w:ind w:firstLine="720" w:firstLineChars="300"/>
        <w:rPr>
          <w:rFonts w:ascii="宋体" w:hAnsi="宋体" w:cs="宋体"/>
          <w:bCs/>
          <w:color w:val="000000"/>
          <w:kern w:val="0"/>
          <w:sz w:val="24"/>
          <w:szCs w:val="24"/>
          <w:highlight w:val="none"/>
          <w:u w:val="single" w:color="000000"/>
        </w:rPr>
      </w:pPr>
      <w:r>
        <w:rPr>
          <w:rFonts w:hint="eastAsia" w:ascii="宋体" w:hAnsi="宋体" w:cs="宋体"/>
          <w:bCs/>
          <w:color w:val="000000"/>
          <w:kern w:val="0"/>
          <w:sz w:val="24"/>
          <w:szCs w:val="24"/>
          <w:highlight w:val="none"/>
          <w:u w:val="single" w:color="000000"/>
        </w:rPr>
        <w:t>(17)、未尽事宜，如无双方书面形成的补充协议（或会议纪要），一律以本合同专用条款作为价款结算的唯一的解释依据。</w:t>
      </w:r>
    </w:p>
    <w:p>
      <w:pPr>
        <w:pStyle w:val="2"/>
        <w:rPr>
          <w:sz w:val="24"/>
          <w:szCs w:val="24"/>
          <w:highlight w:val="none"/>
        </w:rPr>
      </w:pPr>
      <w:r>
        <w:rPr>
          <w:rFonts w:hint="eastAsia"/>
          <w:sz w:val="24"/>
          <w:szCs w:val="24"/>
          <w:highlight w:val="none"/>
        </w:rPr>
        <w:t>合同附件：</w:t>
      </w:r>
    </w:p>
    <w:p>
      <w:pPr>
        <w:pStyle w:val="3"/>
        <w:ind w:left="0" w:firstLine="0"/>
        <w:jc w:val="both"/>
        <w:rPr>
          <w:sz w:val="24"/>
          <w:szCs w:val="24"/>
          <w:highlight w:val="none"/>
        </w:rPr>
      </w:pPr>
      <w:r>
        <w:rPr>
          <w:rFonts w:hint="eastAsia"/>
          <w:sz w:val="24"/>
          <w:szCs w:val="24"/>
          <w:highlight w:val="none"/>
        </w:rPr>
        <w:t>附件1：工程质量保修书</w:t>
      </w:r>
    </w:p>
    <w:p>
      <w:pPr>
        <w:pStyle w:val="3"/>
        <w:ind w:left="0" w:firstLine="0"/>
        <w:jc w:val="both"/>
        <w:rPr>
          <w:sz w:val="24"/>
          <w:szCs w:val="24"/>
          <w:highlight w:val="none"/>
        </w:rPr>
      </w:pPr>
      <w:r>
        <w:rPr>
          <w:rFonts w:hint="eastAsia"/>
          <w:sz w:val="24"/>
          <w:szCs w:val="24"/>
          <w:highlight w:val="none"/>
        </w:rPr>
        <w:t>附件2：廉政协议书</w:t>
      </w:r>
    </w:p>
    <w:p>
      <w:pPr>
        <w:pStyle w:val="3"/>
        <w:ind w:left="0" w:firstLine="0"/>
        <w:jc w:val="both"/>
        <w:rPr>
          <w:sz w:val="24"/>
          <w:szCs w:val="24"/>
          <w:highlight w:val="none"/>
        </w:rPr>
      </w:pPr>
      <w:r>
        <w:rPr>
          <w:rFonts w:hint="eastAsia"/>
          <w:sz w:val="24"/>
          <w:szCs w:val="24"/>
          <w:highlight w:val="none"/>
        </w:rPr>
        <w:t>附件3：中国药科大学校内工程施工安全生产责任承诺书</w:t>
      </w:r>
    </w:p>
    <w:p>
      <w:pPr>
        <w:pStyle w:val="3"/>
        <w:ind w:left="0" w:firstLine="0"/>
        <w:jc w:val="both"/>
        <w:rPr>
          <w:sz w:val="24"/>
          <w:szCs w:val="24"/>
          <w:highlight w:val="none"/>
        </w:rPr>
      </w:pPr>
      <w:r>
        <w:rPr>
          <w:rFonts w:hint="eastAsia"/>
          <w:sz w:val="24"/>
          <w:szCs w:val="24"/>
          <w:highlight w:val="none"/>
        </w:rPr>
        <w:t>附件4：中国药科大学校内工程文明施工承诺书</w:t>
      </w:r>
    </w:p>
    <w:p>
      <w:pPr>
        <w:pStyle w:val="3"/>
        <w:ind w:left="0" w:firstLine="0"/>
        <w:jc w:val="both"/>
        <w:rPr>
          <w:sz w:val="24"/>
          <w:szCs w:val="24"/>
          <w:highlight w:val="none"/>
        </w:rPr>
      </w:pPr>
      <w:r>
        <w:rPr>
          <w:rFonts w:hint="eastAsia"/>
          <w:sz w:val="24"/>
          <w:szCs w:val="24"/>
          <w:highlight w:val="none"/>
        </w:rPr>
        <w:t>附件</w:t>
      </w:r>
      <w:r>
        <w:rPr>
          <w:sz w:val="24"/>
          <w:szCs w:val="24"/>
          <w:highlight w:val="none"/>
        </w:rPr>
        <w:t>5</w:t>
      </w:r>
      <w:r>
        <w:rPr>
          <w:rFonts w:hint="eastAsia"/>
          <w:sz w:val="24"/>
          <w:szCs w:val="24"/>
          <w:highlight w:val="none"/>
        </w:rPr>
        <w:t>：中国药科大学校内工程疫情防控管理承诺书</w:t>
      </w:r>
    </w:p>
    <w:p>
      <w:pPr>
        <w:spacing w:line="360" w:lineRule="auto"/>
        <w:ind w:firstLine="720" w:firstLineChars="300"/>
        <w:rPr>
          <w:rFonts w:ascii="宋体" w:hAnsi="宋体" w:cs="宋体"/>
          <w:sz w:val="24"/>
          <w:szCs w:val="24"/>
          <w:highlight w:val="none"/>
        </w:rPr>
      </w:pPr>
      <w:r>
        <w:rPr>
          <w:rFonts w:hint="eastAsia" w:ascii="宋体" w:hAnsi="宋体" w:cs="宋体"/>
          <w:color w:val="000000"/>
          <w:sz w:val="24"/>
          <w:szCs w:val="24"/>
          <w:highlight w:val="none"/>
        </w:rPr>
        <w:br w:type="page"/>
      </w:r>
      <w:r>
        <w:rPr>
          <w:rFonts w:hint="eastAsia" w:ascii="宋体" w:hAnsi="宋体" w:cs="宋体"/>
          <w:sz w:val="24"/>
          <w:szCs w:val="24"/>
          <w:highlight w:val="none"/>
        </w:rPr>
        <w:t xml:space="preserve">附件1： </w:t>
      </w:r>
    </w:p>
    <w:p>
      <w:pPr>
        <w:spacing w:line="360" w:lineRule="auto"/>
        <w:ind w:firstLine="600" w:firstLineChars="250"/>
        <w:jc w:val="center"/>
        <w:rPr>
          <w:rFonts w:ascii="宋体" w:hAnsi="宋体" w:cs="宋体"/>
          <w:sz w:val="24"/>
          <w:szCs w:val="24"/>
          <w:highlight w:val="none"/>
        </w:rPr>
      </w:pPr>
      <w:r>
        <w:rPr>
          <w:rFonts w:hint="eastAsia" w:ascii="宋体" w:hAnsi="宋体" w:cs="宋体"/>
          <w:sz w:val="24"/>
          <w:szCs w:val="24"/>
          <w:highlight w:val="none"/>
        </w:rPr>
        <w:t>工程质量保修书</w:t>
      </w:r>
    </w:p>
    <w:p>
      <w:pPr>
        <w:spacing w:line="360" w:lineRule="auto"/>
        <w:ind w:firstLine="600" w:firstLineChars="250"/>
        <w:rPr>
          <w:rFonts w:ascii="宋体" w:hAnsi="宋体" w:cs="宋体"/>
          <w:sz w:val="24"/>
          <w:szCs w:val="24"/>
          <w:highlight w:val="none"/>
          <w:u w:val="single" w:color="000000"/>
        </w:rPr>
      </w:pPr>
      <w:r>
        <w:rPr>
          <w:rFonts w:hint="eastAsia" w:ascii="宋体" w:hAnsi="宋体" w:cs="宋体"/>
          <w:sz w:val="24"/>
          <w:szCs w:val="24"/>
          <w:highlight w:val="none"/>
          <w:u w:val="single" w:color="000000"/>
        </w:rPr>
        <w:t xml:space="preserve">发包人（全称）：                                 </w:t>
      </w:r>
    </w:p>
    <w:p>
      <w:pPr>
        <w:spacing w:line="360" w:lineRule="auto"/>
        <w:ind w:firstLine="600" w:firstLineChars="250"/>
        <w:rPr>
          <w:rFonts w:ascii="宋体" w:hAnsi="宋体" w:cs="宋体"/>
          <w:sz w:val="24"/>
          <w:szCs w:val="24"/>
          <w:highlight w:val="none"/>
          <w:u w:val="single" w:color="000000"/>
        </w:rPr>
      </w:pPr>
      <w:r>
        <w:rPr>
          <w:rFonts w:hint="eastAsia" w:ascii="宋体" w:hAnsi="宋体" w:cs="宋体"/>
          <w:sz w:val="24"/>
          <w:szCs w:val="24"/>
          <w:highlight w:val="none"/>
          <w:u w:val="single" w:color="000000"/>
        </w:rPr>
        <w:t xml:space="preserve">承包人（全称）：                                 </w:t>
      </w:r>
    </w:p>
    <w:p>
      <w:pPr>
        <w:spacing w:line="360" w:lineRule="auto"/>
        <w:ind w:firstLine="600" w:firstLineChars="250"/>
        <w:rPr>
          <w:rFonts w:ascii="宋体" w:hAnsi="宋体" w:cs="宋体"/>
          <w:sz w:val="24"/>
          <w:szCs w:val="24"/>
          <w:highlight w:val="none"/>
          <w:u w:val="single" w:color="000000"/>
        </w:rPr>
      </w:pPr>
    </w:p>
    <w:p>
      <w:pPr>
        <w:spacing w:line="360" w:lineRule="auto"/>
        <w:ind w:firstLine="600" w:firstLineChars="250"/>
        <w:rPr>
          <w:rFonts w:ascii="宋体" w:hAnsi="宋体" w:cs="宋体"/>
          <w:sz w:val="24"/>
          <w:szCs w:val="24"/>
          <w:highlight w:val="none"/>
        </w:rPr>
      </w:pPr>
      <w:r>
        <w:rPr>
          <w:rFonts w:hint="eastAsia" w:ascii="宋体" w:hAnsi="宋体" w:cs="宋体"/>
          <w:sz w:val="24"/>
          <w:szCs w:val="24"/>
          <w:highlight w:val="none"/>
        </w:rPr>
        <w:t>发包人和承包人根据《中华人民共和国建筑法》和《建设工程质量管理条例》，经协商一致就</w:t>
      </w:r>
      <w:r>
        <w:rPr>
          <w:rFonts w:hint="eastAsia" w:ascii="宋体" w:hAnsi="宋体" w:cs="宋体"/>
          <w:sz w:val="24"/>
          <w:szCs w:val="24"/>
          <w:highlight w:val="none"/>
          <w:u w:val="single"/>
        </w:rPr>
        <w:t>中国药科大学江宁校区行政楼及会议中心外立面和屋面维修项目</w:t>
      </w:r>
      <w:r>
        <w:rPr>
          <w:rFonts w:hint="eastAsia" w:ascii="宋体" w:hAnsi="宋体" w:cs="宋体"/>
          <w:sz w:val="24"/>
          <w:szCs w:val="24"/>
          <w:highlight w:val="none"/>
        </w:rPr>
        <w:t>签订工程质量保修书。</w:t>
      </w:r>
    </w:p>
    <w:p>
      <w:pPr>
        <w:spacing w:line="360" w:lineRule="auto"/>
        <w:ind w:firstLine="600" w:firstLineChars="250"/>
        <w:rPr>
          <w:rFonts w:ascii="宋体" w:hAnsi="宋体" w:cs="宋体"/>
          <w:sz w:val="24"/>
          <w:szCs w:val="24"/>
          <w:highlight w:val="none"/>
        </w:rPr>
      </w:pPr>
      <w:r>
        <w:rPr>
          <w:rFonts w:hint="eastAsia" w:ascii="宋体" w:hAnsi="宋体" w:cs="宋体"/>
          <w:sz w:val="24"/>
          <w:szCs w:val="24"/>
          <w:highlight w:val="none"/>
        </w:rPr>
        <w:t>一、工程质量保修范围和内容</w:t>
      </w:r>
    </w:p>
    <w:p>
      <w:pPr>
        <w:spacing w:line="360" w:lineRule="auto"/>
        <w:ind w:firstLine="600" w:firstLineChars="250"/>
        <w:rPr>
          <w:rFonts w:ascii="宋体" w:hAnsi="宋体" w:cs="宋体"/>
          <w:sz w:val="24"/>
          <w:szCs w:val="24"/>
          <w:highlight w:val="none"/>
        </w:rPr>
      </w:pPr>
      <w:r>
        <w:rPr>
          <w:rFonts w:hint="eastAsia" w:ascii="宋体" w:hAnsi="宋体" w:cs="宋体"/>
          <w:sz w:val="24"/>
          <w:szCs w:val="24"/>
          <w:highlight w:val="none"/>
        </w:rPr>
        <w:t>承包人在质量保修期内，按照有关法律规定和合同约定，承担工程质量保修责任。</w:t>
      </w:r>
    </w:p>
    <w:p>
      <w:pPr>
        <w:spacing w:line="360" w:lineRule="auto"/>
        <w:ind w:firstLine="600" w:firstLineChars="250"/>
        <w:rPr>
          <w:rFonts w:ascii="宋体" w:hAnsi="宋体" w:cs="宋体"/>
          <w:sz w:val="24"/>
          <w:szCs w:val="24"/>
          <w:highlight w:val="none"/>
        </w:rPr>
      </w:pPr>
      <w:r>
        <w:rPr>
          <w:rFonts w:hint="eastAsia" w:ascii="宋体" w:hAnsi="宋体" w:cs="宋体"/>
          <w:sz w:val="24"/>
          <w:szCs w:val="24"/>
          <w:highlight w:val="none"/>
        </w:rPr>
        <w:t>质量保修范围包括地基基础工程、主体结构工程，屋面防水工程、有防水要求的卫生间、房间和外墙面的防渗漏，供热与供冷系统，电气管线、给排水管道、设备安装和修缮工程，以及双方约定的合同内所有项目。具体保修的内容，双方约定如下：</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p>
    <w:p>
      <w:pPr>
        <w:spacing w:line="360" w:lineRule="auto"/>
        <w:ind w:firstLine="600" w:firstLineChars="250"/>
        <w:rPr>
          <w:rFonts w:ascii="宋体" w:hAnsi="宋体" w:cs="宋体"/>
          <w:sz w:val="24"/>
          <w:szCs w:val="24"/>
          <w:highlight w:val="none"/>
        </w:rPr>
      </w:pPr>
      <w:r>
        <w:rPr>
          <w:rFonts w:hint="eastAsia" w:ascii="宋体" w:hAnsi="宋体" w:cs="宋体"/>
          <w:sz w:val="24"/>
          <w:szCs w:val="24"/>
          <w:highlight w:val="none"/>
        </w:rPr>
        <w:t>二、质量保修期</w:t>
      </w:r>
    </w:p>
    <w:p>
      <w:pPr>
        <w:spacing w:line="360" w:lineRule="auto"/>
        <w:ind w:firstLine="600" w:firstLineChars="250"/>
        <w:rPr>
          <w:rFonts w:ascii="宋体" w:hAnsi="宋体" w:cs="宋体"/>
          <w:sz w:val="24"/>
          <w:szCs w:val="24"/>
          <w:highlight w:val="none"/>
        </w:rPr>
      </w:pPr>
      <w:r>
        <w:rPr>
          <w:rFonts w:hint="eastAsia" w:ascii="宋体" w:hAnsi="宋体" w:cs="宋体"/>
          <w:sz w:val="24"/>
          <w:szCs w:val="24"/>
          <w:highlight w:val="none"/>
        </w:rPr>
        <w:t>根据《建设工程质量管理条例》及有关规定，工程的质量保修期如下：</w:t>
      </w:r>
    </w:p>
    <w:p>
      <w:pPr>
        <w:spacing w:line="360" w:lineRule="auto"/>
        <w:ind w:firstLine="600" w:firstLineChars="250"/>
        <w:rPr>
          <w:rFonts w:ascii="宋体" w:hAnsi="宋体" w:cs="宋体"/>
          <w:sz w:val="24"/>
          <w:szCs w:val="24"/>
          <w:highlight w:val="none"/>
        </w:rPr>
      </w:pPr>
      <w:r>
        <w:rPr>
          <w:rFonts w:hint="eastAsia" w:ascii="宋体" w:hAnsi="宋体" w:cs="宋体"/>
          <w:sz w:val="24"/>
          <w:szCs w:val="24"/>
          <w:highlight w:val="none"/>
        </w:rPr>
        <w:t>1．地基基础工程和主体结构工程为设计文件规定的工程合理使用年限；</w:t>
      </w:r>
    </w:p>
    <w:p>
      <w:pPr>
        <w:spacing w:line="360" w:lineRule="auto"/>
        <w:ind w:firstLine="600" w:firstLineChars="250"/>
        <w:rPr>
          <w:rFonts w:ascii="宋体" w:hAnsi="宋体" w:cs="宋体"/>
          <w:sz w:val="24"/>
          <w:szCs w:val="24"/>
          <w:highlight w:val="none"/>
        </w:rPr>
      </w:pPr>
      <w:r>
        <w:rPr>
          <w:rFonts w:hint="eastAsia" w:ascii="宋体" w:hAnsi="宋体" w:cs="宋体"/>
          <w:sz w:val="24"/>
          <w:szCs w:val="24"/>
          <w:highlight w:val="none"/>
        </w:rPr>
        <w:t>2．屋面防水工程、有防水要求的卫生间、房间和外墙面的防渗漏为</w:t>
      </w:r>
      <w:r>
        <w:rPr>
          <w:rFonts w:hint="eastAsia" w:ascii="宋体" w:hAnsi="宋体" w:cs="宋体"/>
          <w:sz w:val="24"/>
          <w:szCs w:val="24"/>
          <w:highlight w:val="none"/>
          <w:u w:val="single"/>
        </w:rPr>
        <w:t xml:space="preserve">  5  </w:t>
      </w:r>
      <w:r>
        <w:rPr>
          <w:rFonts w:hint="eastAsia" w:ascii="宋体" w:hAnsi="宋体" w:cs="宋体"/>
          <w:sz w:val="24"/>
          <w:szCs w:val="24"/>
          <w:highlight w:val="none"/>
        </w:rPr>
        <w:t xml:space="preserve"> 年；</w:t>
      </w:r>
    </w:p>
    <w:p>
      <w:pPr>
        <w:spacing w:line="360" w:lineRule="auto"/>
        <w:ind w:firstLine="600" w:firstLineChars="250"/>
        <w:rPr>
          <w:rFonts w:ascii="宋体" w:hAnsi="宋体" w:cs="宋体"/>
          <w:sz w:val="24"/>
          <w:szCs w:val="24"/>
          <w:highlight w:val="none"/>
        </w:rPr>
      </w:pPr>
      <w:r>
        <w:rPr>
          <w:rFonts w:hint="eastAsia" w:ascii="宋体" w:hAnsi="宋体" w:cs="宋体"/>
          <w:sz w:val="24"/>
          <w:szCs w:val="24"/>
          <w:highlight w:val="none"/>
        </w:rPr>
        <w:t>3．修缮工程为</w:t>
      </w:r>
      <w:r>
        <w:rPr>
          <w:rFonts w:hint="eastAsia" w:ascii="宋体" w:hAnsi="宋体" w:cs="宋体"/>
          <w:sz w:val="24"/>
          <w:szCs w:val="24"/>
          <w:highlight w:val="none"/>
          <w:u w:val="single"/>
        </w:rPr>
        <w:t xml:space="preserve">      2   </w:t>
      </w:r>
      <w:r>
        <w:rPr>
          <w:rFonts w:hint="eastAsia" w:ascii="宋体" w:hAnsi="宋体" w:cs="宋体"/>
          <w:sz w:val="24"/>
          <w:szCs w:val="24"/>
          <w:highlight w:val="none"/>
        </w:rPr>
        <w:t>年；</w:t>
      </w:r>
    </w:p>
    <w:p>
      <w:pPr>
        <w:spacing w:line="360" w:lineRule="auto"/>
        <w:ind w:firstLine="600" w:firstLineChars="250"/>
        <w:rPr>
          <w:rFonts w:ascii="宋体" w:hAnsi="宋体" w:cs="宋体"/>
          <w:sz w:val="24"/>
          <w:szCs w:val="24"/>
          <w:highlight w:val="none"/>
        </w:rPr>
      </w:pPr>
      <w:r>
        <w:rPr>
          <w:rFonts w:hint="eastAsia" w:ascii="宋体" w:hAnsi="宋体" w:cs="宋体"/>
          <w:sz w:val="24"/>
          <w:szCs w:val="24"/>
          <w:highlight w:val="none"/>
        </w:rPr>
        <w:t xml:space="preserve">4．电气管线、给排水管道、设备安装工程为 </w:t>
      </w:r>
      <w:r>
        <w:rPr>
          <w:rFonts w:hint="eastAsia" w:ascii="宋体" w:hAnsi="宋体" w:cs="宋体"/>
          <w:sz w:val="24"/>
          <w:szCs w:val="24"/>
          <w:highlight w:val="none"/>
          <w:u w:val="single"/>
        </w:rPr>
        <w:t xml:space="preserve">   2    </w:t>
      </w:r>
      <w:r>
        <w:rPr>
          <w:rFonts w:hint="eastAsia" w:ascii="宋体" w:hAnsi="宋体" w:cs="宋体"/>
          <w:sz w:val="24"/>
          <w:szCs w:val="24"/>
          <w:highlight w:val="none"/>
        </w:rPr>
        <w:t xml:space="preserve"> 年；</w:t>
      </w:r>
    </w:p>
    <w:p>
      <w:pPr>
        <w:spacing w:line="360" w:lineRule="auto"/>
        <w:ind w:firstLine="600" w:firstLineChars="250"/>
        <w:rPr>
          <w:rFonts w:ascii="宋体" w:hAnsi="宋体" w:cs="宋体"/>
          <w:sz w:val="24"/>
          <w:szCs w:val="24"/>
          <w:highlight w:val="none"/>
        </w:rPr>
      </w:pPr>
      <w:r>
        <w:rPr>
          <w:rFonts w:hint="eastAsia" w:ascii="宋体" w:hAnsi="宋体" w:cs="宋体"/>
          <w:sz w:val="24"/>
          <w:szCs w:val="24"/>
          <w:highlight w:val="none"/>
        </w:rPr>
        <w:t>5．供热与供冷系统为</w:t>
      </w:r>
      <w:r>
        <w:rPr>
          <w:rFonts w:hint="eastAsia" w:ascii="宋体" w:hAnsi="宋体" w:cs="宋体"/>
          <w:sz w:val="24"/>
          <w:szCs w:val="24"/>
          <w:highlight w:val="none"/>
          <w:u w:val="single"/>
        </w:rPr>
        <w:t xml:space="preserve">     2   </w:t>
      </w:r>
      <w:r>
        <w:rPr>
          <w:rFonts w:hint="eastAsia" w:ascii="宋体" w:hAnsi="宋体" w:cs="宋体"/>
          <w:sz w:val="24"/>
          <w:szCs w:val="24"/>
          <w:highlight w:val="none"/>
        </w:rPr>
        <w:t xml:space="preserve"> 个采暖期、供冷期；</w:t>
      </w:r>
    </w:p>
    <w:p>
      <w:pPr>
        <w:spacing w:line="360" w:lineRule="auto"/>
        <w:ind w:firstLine="600" w:firstLineChars="250"/>
        <w:rPr>
          <w:rFonts w:ascii="宋体" w:hAnsi="宋体" w:cs="宋体"/>
          <w:sz w:val="24"/>
          <w:szCs w:val="24"/>
          <w:highlight w:val="none"/>
        </w:rPr>
      </w:pPr>
      <w:r>
        <w:rPr>
          <w:rFonts w:hint="eastAsia" w:ascii="宋体" w:hAnsi="宋体" w:cs="宋体"/>
          <w:sz w:val="24"/>
          <w:szCs w:val="24"/>
          <w:highlight w:val="none"/>
        </w:rPr>
        <w:t>6．住宅小区内的给排水设施、道路等配套工程为</w:t>
      </w:r>
      <w:r>
        <w:rPr>
          <w:rFonts w:hint="eastAsia" w:ascii="宋体" w:hAnsi="宋体" w:cs="宋体"/>
          <w:sz w:val="24"/>
          <w:szCs w:val="24"/>
          <w:highlight w:val="none"/>
          <w:u w:val="single"/>
        </w:rPr>
        <w:t xml:space="preserve">  2  </w:t>
      </w:r>
      <w:r>
        <w:rPr>
          <w:rFonts w:hint="eastAsia" w:ascii="宋体" w:hAnsi="宋体" w:cs="宋体"/>
          <w:sz w:val="24"/>
          <w:szCs w:val="24"/>
          <w:highlight w:val="none"/>
        </w:rPr>
        <w:t>年；</w:t>
      </w:r>
    </w:p>
    <w:p>
      <w:pPr>
        <w:spacing w:line="360" w:lineRule="auto"/>
        <w:ind w:firstLine="600" w:firstLineChars="250"/>
        <w:rPr>
          <w:rFonts w:ascii="宋体" w:hAnsi="宋体" w:cs="宋体"/>
          <w:sz w:val="24"/>
          <w:szCs w:val="24"/>
          <w:highlight w:val="none"/>
        </w:rPr>
      </w:pPr>
      <w:r>
        <w:rPr>
          <w:rFonts w:hint="eastAsia" w:ascii="宋体" w:hAnsi="宋体" w:cs="宋体"/>
          <w:sz w:val="24"/>
          <w:szCs w:val="24"/>
          <w:highlight w:val="none"/>
        </w:rPr>
        <w:t xml:space="preserve">7．其他项目保修期限约定如下： </w:t>
      </w:r>
      <w:r>
        <w:rPr>
          <w:rFonts w:hint="eastAsia" w:ascii="宋体" w:hAnsi="宋体" w:cs="宋体"/>
          <w:sz w:val="24"/>
          <w:szCs w:val="24"/>
          <w:highlight w:val="none"/>
          <w:u w:val="single"/>
        </w:rPr>
        <w:t xml:space="preserve"> / </w:t>
      </w:r>
      <w:r>
        <w:rPr>
          <w:rFonts w:hint="eastAsia" w:ascii="宋体" w:hAnsi="宋体" w:cs="宋体"/>
          <w:sz w:val="24"/>
          <w:szCs w:val="24"/>
          <w:highlight w:val="none"/>
        </w:rPr>
        <w:t>。</w:t>
      </w:r>
    </w:p>
    <w:p>
      <w:pPr>
        <w:spacing w:line="360" w:lineRule="auto"/>
        <w:ind w:firstLine="600" w:firstLineChars="250"/>
        <w:rPr>
          <w:rFonts w:ascii="宋体" w:hAnsi="宋体" w:cs="宋体"/>
          <w:sz w:val="24"/>
          <w:szCs w:val="24"/>
          <w:highlight w:val="none"/>
        </w:rPr>
      </w:pPr>
      <w:r>
        <w:rPr>
          <w:rFonts w:hint="eastAsia" w:ascii="宋体" w:hAnsi="宋体" w:cs="宋体"/>
          <w:sz w:val="24"/>
          <w:szCs w:val="24"/>
          <w:highlight w:val="none"/>
        </w:rPr>
        <w:t>　　质量保修期自工程竣工验收合格之日起计算。</w:t>
      </w:r>
    </w:p>
    <w:p>
      <w:pPr>
        <w:spacing w:line="360" w:lineRule="auto"/>
        <w:ind w:firstLine="600" w:firstLineChars="250"/>
        <w:rPr>
          <w:rFonts w:ascii="宋体" w:hAnsi="宋体" w:cs="宋体"/>
          <w:sz w:val="24"/>
          <w:szCs w:val="24"/>
          <w:highlight w:val="none"/>
        </w:rPr>
      </w:pPr>
      <w:r>
        <w:rPr>
          <w:rFonts w:hint="eastAsia" w:ascii="宋体" w:hAnsi="宋体" w:cs="宋体"/>
          <w:sz w:val="24"/>
          <w:szCs w:val="24"/>
          <w:highlight w:val="none"/>
        </w:rPr>
        <w:t>三、缺陷责任期</w:t>
      </w:r>
    </w:p>
    <w:p>
      <w:pPr>
        <w:spacing w:line="360" w:lineRule="auto"/>
        <w:ind w:firstLine="600" w:firstLineChars="250"/>
        <w:rPr>
          <w:rFonts w:ascii="宋体" w:hAnsi="宋体" w:cs="宋体"/>
          <w:sz w:val="24"/>
          <w:szCs w:val="24"/>
          <w:highlight w:val="none"/>
        </w:rPr>
      </w:pPr>
      <w:r>
        <w:rPr>
          <w:rFonts w:hint="eastAsia" w:ascii="宋体" w:hAnsi="宋体" w:cs="宋体"/>
          <w:sz w:val="24"/>
          <w:szCs w:val="24"/>
          <w:highlight w:val="none"/>
        </w:rPr>
        <w:t>工程缺陷责任期为</w:t>
      </w:r>
      <w:r>
        <w:rPr>
          <w:rFonts w:hint="eastAsia" w:ascii="宋体" w:hAnsi="宋体" w:cs="宋体"/>
          <w:sz w:val="24"/>
          <w:szCs w:val="24"/>
          <w:highlight w:val="none"/>
          <w:u w:val="single"/>
        </w:rPr>
        <w:t xml:space="preserve">  24   </w:t>
      </w:r>
      <w:r>
        <w:rPr>
          <w:rFonts w:hint="eastAsia" w:ascii="宋体" w:hAnsi="宋体" w:cs="宋体"/>
          <w:sz w:val="24"/>
          <w:szCs w:val="24"/>
          <w:highlight w:val="none"/>
        </w:rPr>
        <w:t>个月，缺陷责任期自工程通过竣工验收之日起计算。单位工程先于全部工程进行验收，单位工程缺陷责任期自单位工程验收合格之日起算。</w:t>
      </w:r>
    </w:p>
    <w:p>
      <w:pPr>
        <w:spacing w:line="360" w:lineRule="auto"/>
        <w:ind w:firstLine="480" w:firstLineChars="200"/>
        <w:rPr>
          <w:rFonts w:eastAsia="仿宋_GB2312"/>
          <w:color w:val="000000"/>
          <w:sz w:val="30"/>
          <w:szCs w:val="30"/>
          <w:highlight w:val="none"/>
        </w:rPr>
      </w:pPr>
      <w:r>
        <w:rPr>
          <w:rFonts w:hint="eastAsia" w:ascii="宋体" w:hAnsi="宋体" w:eastAsia="宋体" w:cs="宋体"/>
          <w:color w:val="000000"/>
          <w:sz w:val="24"/>
          <w:szCs w:val="24"/>
          <w:highlight w:val="none"/>
        </w:rPr>
        <w:t>缺陷责任期终止后，发包人应退还剩余的质量保证金。</w:t>
      </w:r>
    </w:p>
    <w:p>
      <w:pPr>
        <w:spacing w:line="360" w:lineRule="auto"/>
        <w:ind w:firstLine="600" w:firstLineChars="250"/>
        <w:rPr>
          <w:rFonts w:ascii="宋体" w:hAnsi="宋体" w:cs="宋体"/>
          <w:sz w:val="24"/>
          <w:szCs w:val="24"/>
          <w:highlight w:val="none"/>
        </w:rPr>
      </w:pPr>
      <w:r>
        <w:rPr>
          <w:rFonts w:hint="eastAsia" w:ascii="宋体" w:hAnsi="宋体" w:cs="宋体"/>
          <w:sz w:val="24"/>
          <w:szCs w:val="24"/>
          <w:highlight w:val="none"/>
        </w:rPr>
        <w:t>四、质量保修责任</w:t>
      </w:r>
    </w:p>
    <w:p>
      <w:pPr>
        <w:spacing w:line="360" w:lineRule="auto"/>
        <w:ind w:firstLine="600" w:firstLineChars="250"/>
        <w:rPr>
          <w:rFonts w:ascii="宋体" w:hAnsi="宋体" w:cs="宋体"/>
          <w:sz w:val="24"/>
          <w:szCs w:val="24"/>
          <w:highlight w:val="none"/>
        </w:rPr>
      </w:pPr>
      <w:r>
        <w:rPr>
          <w:rFonts w:hint="eastAsia" w:ascii="宋体" w:hAnsi="宋体" w:cs="宋体"/>
          <w:sz w:val="24"/>
          <w:szCs w:val="24"/>
          <w:highlight w:val="none"/>
        </w:rPr>
        <w:t>1．属于保修范围、内容的项目，承包人应当在接到保修通知之日起7天内派人保修。承包人不在约定期限内派人保修的，发包人可以委托他人修理。</w:t>
      </w:r>
    </w:p>
    <w:p>
      <w:pPr>
        <w:spacing w:line="360" w:lineRule="auto"/>
        <w:ind w:firstLine="600" w:firstLineChars="250"/>
        <w:rPr>
          <w:rFonts w:ascii="宋体" w:hAnsi="宋体" w:cs="宋体"/>
          <w:sz w:val="24"/>
          <w:szCs w:val="24"/>
          <w:highlight w:val="none"/>
        </w:rPr>
      </w:pPr>
      <w:r>
        <w:rPr>
          <w:rFonts w:hint="eastAsia" w:ascii="宋体" w:hAnsi="宋体" w:cs="宋体"/>
          <w:sz w:val="24"/>
          <w:szCs w:val="24"/>
          <w:highlight w:val="none"/>
        </w:rPr>
        <w:t>2．发生紧急事故需抢修的，承包人在接到事故通知后，应当立即到达事故现场抢修。</w:t>
      </w:r>
    </w:p>
    <w:p>
      <w:pPr>
        <w:spacing w:line="360" w:lineRule="auto"/>
        <w:ind w:firstLine="600" w:firstLineChars="250"/>
        <w:rPr>
          <w:rFonts w:ascii="宋体" w:hAnsi="宋体" w:cs="宋体"/>
          <w:sz w:val="24"/>
          <w:szCs w:val="24"/>
          <w:highlight w:val="none"/>
        </w:rPr>
      </w:pPr>
      <w:r>
        <w:rPr>
          <w:rFonts w:hint="eastAsia" w:ascii="宋体" w:hAnsi="宋体" w:cs="宋体"/>
          <w:sz w:val="24"/>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pPr>
        <w:spacing w:line="360" w:lineRule="auto"/>
        <w:ind w:firstLine="600" w:firstLineChars="250"/>
        <w:rPr>
          <w:rFonts w:ascii="宋体" w:hAnsi="宋体" w:cs="宋体"/>
          <w:sz w:val="24"/>
          <w:szCs w:val="24"/>
          <w:highlight w:val="none"/>
        </w:rPr>
      </w:pPr>
      <w:r>
        <w:rPr>
          <w:rFonts w:hint="eastAsia" w:ascii="宋体" w:hAnsi="宋体" w:cs="宋体"/>
          <w:sz w:val="24"/>
          <w:szCs w:val="24"/>
          <w:highlight w:val="none"/>
        </w:rPr>
        <w:t>4．质量保修完成后，由发包人组织验收。</w:t>
      </w:r>
    </w:p>
    <w:p>
      <w:pPr>
        <w:spacing w:line="360" w:lineRule="auto"/>
        <w:ind w:firstLine="600" w:firstLineChars="250"/>
        <w:rPr>
          <w:rFonts w:ascii="宋体" w:hAnsi="宋体" w:cs="宋体"/>
          <w:sz w:val="24"/>
          <w:szCs w:val="24"/>
          <w:highlight w:val="none"/>
        </w:rPr>
      </w:pPr>
      <w:r>
        <w:rPr>
          <w:rFonts w:hint="eastAsia" w:ascii="宋体" w:hAnsi="宋体" w:cs="宋体"/>
          <w:sz w:val="24"/>
          <w:szCs w:val="24"/>
          <w:highlight w:val="none"/>
        </w:rPr>
        <w:t>　　五、保修费用</w:t>
      </w:r>
    </w:p>
    <w:p>
      <w:pPr>
        <w:spacing w:line="360" w:lineRule="auto"/>
        <w:ind w:firstLine="600" w:firstLineChars="250"/>
        <w:rPr>
          <w:rFonts w:ascii="宋体" w:hAnsi="宋体" w:cs="宋体"/>
          <w:sz w:val="24"/>
          <w:szCs w:val="24"/>
          <w:highlight w:val="none"/>
        </w:rPr>
      </w:pPr>
      <w:r>
        <w:rPr>
          <w:rFonts w:hint="eastAsia" w:ascii="宋体" w:hAnsi="宋体" w:cs="宋体"/>
          <w:sz w:val="24"/>
          <w:szCs w:val="24"/>
          <w:highlight w:val="none"/>
        </w:rPr>
        <w:t>　　保修费用由造成质量缺陷的责任方承担。</w:t>
      </w:r>
    </w:p>
    <w:p>
      <w:pPr>
        <w:spacing w:line="360" w:lineRule="auto"/>
        <w:ind w:firstLine="600" w:firstLineChars="250"/>
        <w:rPr>
          <w:rFonts w:ascii="宋体" w:hAnsi="宋体" w:cs="宋体"/>
          <w:sz w:val="24"/>
          <w:szCs w:val="24"/>
          <w:highlight w:val="none"/>
        </w:rPr>
      </w:pPr>
      <w:r>
        <w:rPr>
          <w:rFonts w:hint="eastAsia" w:ascii="宋体" w:hAnsi="宋体" w:cs="宋体"/>
          <w:sz w:val="24"/>
          <w:szCs w:val="24"/>
          <w:highlight w:val="none"/>
        </w:rPr>
        <w:t>六、双方约定的其他工程质量保修事项： 竣工结算经审计部门审计结束，</w:t>
      </w:r>
      <w:r>
        <w:rPr>
          <w:rFonts w:hint="eastAsia" w:ascii="宋体" w:hAnsi="宋体" w:cs="宋体"/>
          <w:sz w:val="24"/>
          <w:szCs w:val="24"/>
          <w:highlight w:val="none"/>
          <w:lang w:eastAsia="zh-CN"/>
        </w:rPr>
        <w:t>承包人</w:t>
      </w:r>
      <w:r>
        <w:rPr>
          <w:rFonts w:hint="eastAsia" w:ascii="宋体" w:hAnsi="宋体" w:cs="宋体"/>
          <w:sz w:val="24"/>
          <w:szCs w:val="24"/>
          <w:highlight w:val="none"/>
        </w:rPr>
        <w:t>提交审计款的3%至</w:t>
      </w:r>
      <w:r>
        <w:rPr>
          <w:rFonts w:hint="eastAsia" w:ascii="宋体" w:hAnsi="宋体" w:cs="宋体"/>
          <w:sz w:val="24"/>
          <w:szCs w:val="24"/>
          <w:highlight w:val="none"/>
          <w:lang w:eastAsia="zh-CN"/>
        </w:rPr>
        <w:t>发包人</w:t>
      </w:r>
      <w:r>
        <w:rPr>
          <w:rFonts w:hint="eastAsia" w:ascii="宋体" w:hAnsi="宋体" w:cs="宋体"/>
          <w:sz w:val="24"/>
          <w:szCs w:val="24"/>
          <w:highlight w:val="none"/>
        </w:rPr>
        <w:t>账户作为质保金 。缺陷责任期终止后，发包人应退还剩余的质量保证金。本工程整体保修二年。</w:t>
      </w:r>
    </w:p>
    <w:p>
      <w:pPr>
        <w:spacing w:line="360" w:lineRule="auto"/>
        <w:ind w:firstLine="600" w:firstLineChars="250"/>
        <w:rPr>
          <w:rFonts w:ascii="宋体" w:hAnsi="宋体" w:cs="宋体"/>
          <w:sz w:val="24"/>
          <w:szCs w:val="24"/>
          <w:highlight w:val="none"/>
        </w:rPr>
      </w:pPr>
      <w:r>
        <w:rPr>
          <w:rFonts w:hint="eastAsia" w:ascii="宋体" w:hAnsi="宋体" w:cs="宋体"/>
          <w:sz w:val="24"/>
          <w:szCs w:val="24"/>
          <w:highlight w:val="none"/>
        </w:rPr>
        <w:t>工程质量保修书由发包人、承包人在工程竣工验收前共同签署，作为施工合同附件，其有效期限至保修期满。</w:t>
      </w:r>
    </w:p>
    <w:p>
      <w:pPr>
        <w:spacing w:line="360" w:lineRule="auto"/>
        <w:ind w:firstLine="420"/>
        <w:rPr>
          <w:rFonts w:ascii="宋体" w:hAnsi="宋体" w:cs="宋体"/>
          <w:sz w:val="24"/>
          <w:szCs w:val="24"/>
          <w:highlight w:val="none"/>
        </w:rPr>
      </w:pPr>
    </w:p>
    <w:p>
      <w:pPr>
        <w:spacing w:line="360" w:lineRule="auto"/>
        <w:rPr>
          <w:rFonts w:ascii="宋体" w:hAnsi="宋体" w:cs="宋体"/>
          <w:sz w:val="24"/>
          <w:szCs w:val="24"/>
          <w:highlight w:val="none"/>
        </w:rPr>
      </w:pPr>
      <w:r>
        <w:rPr>
          <w:rFonts w:hint="eastAsia" w:ascii="宋体" w:hAnsi="宋体" w:cs="宋体"/>
          <w:sz w:val="24"/>
          <w:szCs w:val="24"/>
          <w:highlight w:val="none"/>
        </w:rPr>
        <w:t>发包人(公章)：</w:t>
      </w:r>
      <w:r>
        <w:rPr>
          <w:rFonts w:hint="eastAsia" w:ascii="宋体" w:hAnsi="宋体" w:cs="宋体"/>
          <w:sz w:val="24"/>
          <w:szCs w:val="24"/>
          <w:highlight w:val="none"/>
          <w:u w:val="single"/>
        </w:rPr>
        <w:t xml:space="preserve">         </w:t>
      </w:r>
      <w:r>
        <w:rPr>
          <w:rFonts w:hint="eastAsia" w:ascii="宋体" w:hAnsi="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承包人(公章)：</w:t>
      </w:r>
      <w:r>
        <w:rPr>
          <w:rFonts w:hint="eastAsia" w:ascii="宋体" w:hAnsi="宋体" w:cs="宋体"/>
          <w:sz w:val="24"/>
          <w:szCs w:val="24"/>
          <w:highlight w:val="none"/>
          <w:u w:val="single"/>
        </w:rPr>
        <w:t xml:space="preserve">           </w:t>
      </w:r>
    </w:p>
    <w:p>
      <w:pPr>
        <w:spacing w:line="360" w:lineRule="auto"/>
        <w:rPr>
          <w:rFonts w:ascii="宋体" w:hAnsi="宋体" w:cs="宋体"/>
          <w:sz w:val="24"/>
          <w:szCs w:val="24"/>
          <w:highlight w:val="none"/>
        </w:rPr>
      </w:pPr>
      <w:r>
        <w:rPr>
          <w:rFonts w:hint="eastAsia" w:ascii="宋体" w:hAnsi="宋体" w:cs="宋体"/>
          <w:sz w:val="24"/>
          <w:szCs w:val="24"/>
          <w:highlight w:val="none"/>
        </w:rPr>
        <w:t>地  址：</w:t>
      </w:r>
      <w:r>
        <w:rPr>
          <w:rFonts w:hint="eastAsia" w:ascii="宋体" w:hAnsi="宋体" w:cs="宋体"/>
          <w:sz w:val="24"/>
          <w:szCs w:val="24"/>
          <w:highlight w:val="none"/>
          <w:u w:val="single"/>
        </w:rPr>
        <w:t xml:space="preserve">            </w:t>
      </w:r>
      <w:r>
        <w:rPr>
          <w:rFonts w:hint="eastAsia" w:ascii="宋体" w:hAnsi="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地  址：</w:t>
      </w:r>
      <w:r>
        <w:rPr>
          <w:rFonts w:hint="eastAsia" w:ascii="宋体" w:hAnsi="宋体" w:cs="宋体"/>
          <w:sz w:val="24"/>
          <w:szCs w:val="24"/>
          <w:highlight w:val="none"/>
          <w:u w:val="single"/>
        </w:rPr>
        <w:t>        </w:t>
      </w:r>
    </w:p>
    <w:p>
      <w:pPr>
        <w:spacing w:line="360" w:lineRule="auto"/>
        <w:rPr>
          <w:rFonts w:ascii="宋体" w:hAnsi="宋体" w:cs="宋体"/>
          <w:sz w:val="24"/>
          <w:szCs w:val="24"/>
          <w:highlight w:val="none"/>
        </w:rPr>
      </w:pPr>
      <w:r>
        <w:rPr>
          <w:rFonts w:hint="eastAsia" w:ascii="宋体" w:hAnsi="宋体" w:cs="宋体"/>
          <w:sz w:val="24"/>
          <w:szCs w:val="24"/>
          <w:highlight w:val="none"/>
        </w:rPr>
        <w:t>法定代表人（签字）：</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 法定代表人(签字)：</w:t>
      </w:r>
      <w:r>
        <w:rPr>
          <w:rFonts w:hint="eastAsia" w:ascii="宋体" w:hAnsi="宋体" w:cs="宋体"/>
          <w:sz w:val="24"/>
          <w:szCs w:val="24"/>
          <w:highlight w:val="none"/>
          <w:u w:val="single"/>
        </w:rPr>
        <w:t xml:space="preserve">        </w:t>
      </w:r>
    </w:p>
    <w:p>
      <w:pPr>
        <w:spacing w:line="360" w:lineRule="auto"/>
        <w:rPr>
          <w:rFonts w:ascii="宋体" w:hAnsi="宋体" w:cs="宋体"/>
          <w:sz w:val="24"/>
          <w:szCs w:val="24"/>
          <w:highlight w:val="none"/>
        </w:rPr>
      </w:pPr>
      <w:r>
        <w:rPr>
          <w:rFonts w:hint="eastAsia" w:ascii="宋体" w:hAnsi="宋体" w:cs="宋体"/>
          <w:sz w:val="24"/>
          <w:szCs w:val="24"/>
          <w:highlight w:val="none"/>
        </w:rPr>
        <w:t>委托代理人（签字）：</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 委托代理人（签字）：</w:t>
      </w:r>
      <w:r>
        <w:rPr>
          <w:rFonts w:hint="eastAsia" w:ascii="宋体" w:hAnsi="宋体" w:cs="宋体"/>
          <w:sz w:val="24"/>
          <w:szCs w:val="24"/>
          <w:highlight w:val="none"/>
          <w:u w:val="single"/>
        </w:rPr>
        <w:t xml:space="preserve">        </w:t>
      </w:r>
    </w:p>
    <w:p>
      <w:pPr>
        <w:spacing w:line="360" w:lineRule="auto"/>
        <w:rPr>
          <w:rFonts w:ascii="宋体" w:hAnsi="宋体" w:cs="宋体"/>
          <w:sz w:val="24"/>
          <w:szCs w:val="24"/>
          <w:highlight w:val="none"/>
        </w:rPr>
      </w:pPr>
      <w:r>
        <w:rPr>
          <w:rFonts w:hint="eastAsia" w:ascii="宋体" w:hAnsi="宋体" w:cs="宋体"/>
          <w:sz w:val="24"/>
          <w:szCs w:val="24"/>
          <w:highlight w:val="none"/>
        </w:rPr>
        <w:t>电  话：</w:t>
      </w:r>
      <w:r>
        <w:rPr>
          <w:rFonts w:hint="eastAsia" w:ascii="宋体" w:hAnsi="宋体" w:cs="宋体"/>
          <w:sz w:val="24"/>
          <w:szCs w:val="24"/>
          <w:highlight w:val="none"/>
          <w:u w:val="single"/>
        </w:rPr>
        <w:t xml:space="preserve">          </w:t>
      </w:r>
      <w:r>
        <w:rPr>
          <w:rFonts w:hint="eastAsia" w:ascii="宋体" w:hAnsi="宋体" w:cs="宋体"/>
          <w:sz w:val="24"/>
          <w:szCs w:val="24"/>
          <w:highlight w:val="none"/>
        </w:rPr>
        <w:t xml:space="preserve">电  话： </w:t>
      </w:r>
      <w:r>
        <w:rPr>
          <w:rFonts w:hint="eastAsia" w:ascii="宋体" w:hAnsi="宋体" w:cs="宋体"/>
          <w:sz w:val="24"/>
          <w:szCs w:val="24"/>
          <w:highlight w:val="none"/>
          <w:u w:val="single"/>
        </w:rPr>
        <w:t xml:space="preserve">              </w:t>
      </w:r>
    </w:p>
    <w:p>
      <w:pPr>
        <w:spacing w:line="360" w:lineRule="auto"/>
        <w:rPr>
          <w:rFonts w:ascii="宋体" w:hAnsi="宋体" w:cs="宋体"/>
          <w:sz w:val="24"/>
          <w:szCs w:val="24"/>
          <w:highlight w:val="none"/>
        </w:rPr>
      </w:pPr>
      <w:r>
        <w:rPr>
          <w:rFonts w:hint="eastAsia" w:ascii="宋体" w:hAnsi="宋体" w:cs="宋体"/>
          <w:sz w:val="24"/>
          <w:szCs w:val="24"/>
          <w:highlight w:val="none"/>
        </w:rPr>
        <w:t>传  真：</w:t>
      </w:r>
      <w:r>
        <w:rPr>
          <w:rFonts w:hint="eastAsia" w:ascii="宋体" w:hAnsi="宋体" w:cs="宋体"/>
          <w:sz w:val="24"/>
          <w:szCs w:val="24"/>
          <w:highlight w:val="none"/>
          <w:u w:val="single"/>
        </w:rPr>
        <w:t xml:space="preserve">          </w:t>
      </w:r>
      <w:r>
        <w:rPr>
          <w:rFonts w:hint="eastAsia" w:ascii="宋体" w:hAnsi="宋体" w:cs="宋体"/>
          <w:sz w:val="24"/>
          <w:szCs w:val="24"/>
          <w:highlight w:val="none"/>
        </w:rPr>
        <w:t>传  真：</w:t>
      </w:r>
      <w:r>
        <w:rPr>
          <w:rFonts w:hint="eastAsia" w:ascii="宋体" w:hAnsi="宋体" w:cs="宋体"/>
          <w:sz w:val="24"/>
          <w:szCs w:val="24"/>
          <w:highlight w:val="none"/>
          <w:u w:val="single"/>
        </w:rPr>
        <w:t xml:space="preserve">              </w:t>
      </w:r>
    </w:p>
    <w:p>
      <w:pPr>
        <w:spacing w:line="360" w:lineRule="auto"/>
        <w:rPr>
          <w:rFonts w:ascii="宋体" w:hAnsi="宋体" w:cs="宋体"/>
          <w:sz w:val="24"/>
          <w:szCs w:val="24"/>
          <w:highlight w:val="none"/>
        </w:rPr>
      </w:pPr>
      <w:r>
        <w:rPr>
          <w:rFonts w:hint="eastAsia" w:ascii="宋体" w:hAnsi="宋体" w:cs="宋体"/>
          <w:sz w:val="24"/>
          <w:szCs w:val="24"/>
          <w:highlight w:val="none"/>
        </w:rPr>
        <w:t>开户银行：</w:t>
      </w:r>
      <w:r>
        <w:rPr>
          <w:rFonts w:hint="eastAsia" w:ascii="宋体" w:hAnsi="宋体" w:cs="宋体"/>
          <w:sz w:val="24"/>
          <w:szCs w:val="24"/>
          <w:highlight w:val="none"/>
          <w:u w:val="single"/>
        </w:rPr>
        <w:t xml:space="preserve">        </w:t>
      </w:r>
      <w:r>
        <w:rPr>
          <w:rFonts w:hint="eastAsia" w:ascii="宋体" w:hAnsi="宋体" w:cs="宋体"/>
          <w:sz w:val="24"/>
          <w:szCs w:val="24"/>
          <w:highlight w:val="none"/>
        </w:rPr>
        <w:t>开户银行：</w:t>
      </w:r>
      <w:r>
        <w:rPr>
          <w:rFonts w:hint="eastAsia" w:ascii="宋体" w:hAnsi="宋体" w:cs="宋体"/>
          <w:sz w:val="24"/>
          <w:szCs w:val="24"/>
          <w:highlight w:val="none"/>
          <w:u w:val="single"/>
        </w:rPr>
        <w:t xml:space="preserve">            </w:t>
      </w:r>
    </w:p>
    <w:p>
      <w:pPr>
        <w:spacing w:line="360" w:lineRule="auto"/>
        <w:rPr>
          <w:rFonts w:ascii="宋体" w:hAnsi="宋体" w:cs="宋体"/>
          <w:sz w:val="24"/>
          <w:szCs w:val="24"/>
          <w:highlight w:val="none"/>
        </w:rPr>
      </w:pPr>
      <w:r>
        <w:rPr>
          <w:rFonts w:hint="eastAsia" w:ascii="宋体" w:hAnsi="宋体" w:cs="宋体"/>
          <w:sz w:val="24"/>
          <w:szCs w:val="24"/>
          <w:highlight w:val="none"/>
        </w:rPr>
        <w:t>账  号：</w:t>
      </w:r>
      <w:r>
        <w:rPr>
          <w:rFonts w:hint="eastAsia" w:ascii="宋体" w:hAnsi="宋体" w:cs="宋体"/>
          <w:sz w:val="24"/>
          <w:szCs w:val="24"/>
          <w:highlight w:val="none"/>
          <w:u w:val="single"/>
        </w:rPr>
        <w:t xml:space="preserve">           </w:t>
      </w:r>
      <w:r>
        <w:rPr>
          <w:rFonts w:hint="eastAsia" w:ascii="宋体" w:hAnsi="宋体" w:cs="宋体"/>
          <w:sz w:val="24"/>
          <w:szCs w:val="24"/>
          <w:highlight w:val="none"/>
        </w:rPr>
        <w:t xml:space="preserve"> 账  号：</w:t>
      </w:r>
      <w:r>
        <w:rPr>
          <w:rFonts w:hint="eastAsia" w:ascii="宋体" w:hAnsi="宋体" w:cs="宋体"/>
          <w:sz w:val="24"/>
          <w:szCs w:val="24"/>
          <w:highlight w:val="none"/>
          <w:u w:val="single"/>
        </w:rPr>
        <w:t xml:space="preserve">              </w:t>
      </w:r>
    </w:p>
    <w:p>
      <w:pPr>
        <w:spacing w:line="360" w:lineRule="auto"/>
        <w:rPr>
          <w:rFonts w:ascii="宋体" w:hAnsi="宋体" w:cs="宋体"/>
          <w:sz w:val="24"/>
          <w:szCs w:val="24"/>
          <w:highlight w:val="none"/>
        </w:rPr>
      </w:pPr>
      <w:r>
        <w:rPr>
          <w:rFonts w:hint="eastAsia" w:ascii="宋体" w:hAnsi="宋体" w:cs="宋体"/>
          <w:sz w:val="24"/>
          <w:szCs w:val="24"/>
          <w:highlight w:val="none"/>
        </w:rPr>
        <w:t>邮政编码：</w:t>
      </w:r>
      <w:r>
        <w:rPr>
          <w:rFonts w:hint="eastAsia" w:ascii="宋体" w:hAnsi="宋体" w:cs="宋体"/>
          <w:sz w:val="24"/>
          <w:szCs w:val="24"/>
          <w:highlight w:val="none"/>
          <w:u w:val="single"/>
        </w:rPr>
        <w:t xml:space="preserve">          </w:t>
      </w:r>
      <w:r>
        <w:rPr>
          <w:rFonts w:hint="eastAsia" w:ascii="宋体" w:hAnsi="宋体" w:cs="宋体"/>
          <w:sz w:val="24"/>
          <w:szCs w:val="24"/>
          <w:highlight w:val="none"/>
        </w:rPr>
        <w:t xml:space="preserve">邮政编码： </w:t>
      </w:r>
      <w:r>
        <w:rPr>
          <w:rFonts w:hint="eastAsia" w:ascii="宋体" w:hAnsi="宋体" w:cs="宋体"/>
          <w:sz w:val="24"/>
          <w:szCs w:val="24"/>
          <w:highlight w:val="none"/>
          <w:u w:val="single"/>
        </w:rPr>
        <w:t xml:space="preserve">            </w:t>
      </w:r>
    </w:p>
    <w:p>
      <w:pPr>
        <w:spacing w:line="360" w:lineRule="auto"/>
        <w:jc w:val="center"/>
        <w:rPr>
          <w:rFonts w:ascii="宋体" w:hAnsi="宋体" w:cs="宋体"/>
          <w:sz w:val="24"/>
          <w:szCs w:val="24"/>
          <w:highlight w:val="none"/>
          <w:u w:val="single" w:color="000000"/>
        </w:rPr>
      </w:pPr>
    </w:p>
    <w:p>
      <w:pPr>
        <w:spacing w:line="360" w:lineRule="auto"/>
        <w:rPr>
          <w:rFonts w:ascii="宋体" w:hAnsi="宋体" w:cs="宋体"/>
          <w:sz w:val="24"/>
          <w:szCs w:val="24"/>
          <w:highlight w:val="none"/>
          <w:u w:val="single" w:color="000000"/>
        </w:rPr>
      </w:pPr>
    </w:p>
    <w:p>
      <w:pPr>
        <w:spacing w:line="360" w:lineRule="auto"/>
        <w:rPr>
          <w:rFonts w:ascii="宋体" w:hAnsi="宋体" w:cs="宋体"/>
          <w:sz w:val="24"/>
          <w:szCs w:val="24"/>
          <w:highlight w:val="none"/>
        </w:rPr>
      </w:pPr>
      <w:r>
        <w:rPr>
          <w:rFonts w:hint="eastAsia" w:ascii="宋体" w:hAnsi="宋体" w:cs="宋体"/>
          <w:sz w:val="24"/>
          <w:szCs w:val="24"/>
          <w:highlight w:val="none"/>
        </w:rPr>
        <w:t>附件</w:t>
      </w:r>
      <w:r>
        <w:rPr>
          <w:rFonts w:ascii="宋体" w:hAnsi="宋体" w:cs="宋体"/>
          <w:sz w:val="24"/>
          <w:szCs w:val="24"/>
          <w:highlight w:val="none"/>
        </w:rPr>
        <w:t>2</w:t>
      </w:r>
      <w:r>
        <w:rPr>
          <w:rFonts w:hint="eastAsia" w:ascii="宋体" w:hAnsi="宋体" w:cs="宋体"/>
          <w:sz w:val="24"/>
          <w:szCs w:val="24"/>
          <w:highlight w:val="none"/>
        </w:rPr>
        <w:t xml:space="preserve">： </w:t>
      </w:r>
    </w:p>
    <w:p>
      <w:pPr>
        <w:spacing w:line="360" w:lineRule="auto"/>
        <w:jc w:val="center"/>
        <w:rPr>
          <w:rFonts w:ascii="宋体" w:hAnsi="宋体" w:cs="宋体"/>
          <w:sz w:val="24"/>
          <w:szCs w:val="24"/>
          <w:highlight w:val="none"/>
        </w:rPr>
      </w:pPr>
      <w:r>
        <w:rPr>
          <w:rFonts w:hint="eastAsia" w:ascii="宋体" w:hAnsi="宋体" w:cs="宋体"/>
          <w:sz w:val="24"/>
          <w:szCs w:val="24"/>
          <w:highlight w:val="none"/>
        </w:rPr>
        <w:t>廉 政 协 议 书</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为了贯彻落实党中央国务院《关于实现党风廉政建设责任制的规定》和江苏省、南京市有关工程建设、廉政建设的法律法规，加强工程建设中的党风廉政建设，保证中国药科大学基本建设和专项维修项目优质、高效、健康、有序地进行，中国药科大学作为建设单位（以下称</w:t>
      </w:r>
      <w:r>
        <w:rPr>
          <w:rFonts w:hint="eastAsia" w:ascii="宋体" w:hAnsi="宋体" w:cs="宋体"/>
          <w:sz w:val="24"/>
          <w:szCs w:val="24"/>
          <w:highlight w:val="none"/>
          <w:lang w:eastAsia="zh-CN"/>
        </w:rPr>
        <w:t>发包人</w:t>
      </w:r>
      <w:r>
        <w:rPr>
          <w:rFonts w:hint="eastAsia" w:ascii="宋体" w:hAnsi="宋体" w:cs="宋体"/>
          <w:sz w:val="24"/>
          <w:szCs w:val="24"/>
          <w:highlight w:val="none"/>
        </w:rPr>
        <w:t>）,与承担工程的施工单位（以下称</w:t>
      </w:r>
      <w:r>
        <w:rPr>
          <w:rFonts w:hint="eastAsia" w:ascii="宋体" w:hAnsi="宋体" w:cs="宋体"/>
          <w:sz w:val="24"/>
          <w:szCs w:val="24"/>
          <w:highlight w:val="none"/>
          <w:lang w:eastAsia="zh-CN"/>
        </w:rPr>
        <w:t>承包人</w:t>
      </w:r>
      <w:r>
        <w:rPr>
          <w:rFonts w:hint="eastAsia" w:ascii="宋体" w:hAnsi="宋体" w:cs="宋体"/>
          <w:sz w:val="24"/>
          <w:szCs w:val="24"/>
          <w:highlight w:val="none"/>
        </w:rPr>
        <w:t>）特订立如下廉政协议书。</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第一条、甲乙双方约定</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l、甲乙双方应共同遵守国家和省、市以及行业主管部门关于加强工程建设管理及党风廉政建设的各项规定。</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2、甲乙双方应认真执行建设工程的合同文件,自觉按合同办事。</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3、除法律认定的商业秘密和合同文件另有规定之外,甲乙双方的业务活动应坚持公开、公正、透明的原则,严禁损害国家和甲乙双方集体利益、违反工程建设管理规章制度的不正当交易。</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4、甲乙双方应加强对本工程建设参加人员的廉政监督,建立和健全廉政制度,认真查处本方人员的违法违纪行为。</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5、甲乙双方有对本方人员开展廉政告知、廉政教育和职业道德教育的义务。</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6、甲乙双方如发现对方在业务活动中有不廉洁行为,有及时提醒对方并督促其纠正的权利和义务。</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第二条、买方在廉政建设方面的责任</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1、买方及其工作人员不得以任何形式向卖方索要和收受回扣。</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2、买方及其工作人员不得接受卖方的礼金、有价证券和贵重物品,不得在卖方报销任何应由个人支付的费用。</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3、买方工作人员不得参加可能对公正执行公务有影响的宴请、娱乐、休闲、旅游等活动。</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4、买方及其工作人员不得要求或者接受卖方为其住房装修、婚丧嫁娶、家属子女的工作安排以及出国、出境等提供方便。</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5、买方及其工作人员不得向卖方介绍家属、亲友从事与买方工程有关的材料设备供应、工程分包等经济活动。</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6、买方工作人员不得在家里接待卖方有关工程事项的询访。</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第三条、卖方在廉政建设方面的责任</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1、卖方不得以任何理由向买方及其工作人员赠送礼金、有价证券和贵重物品等。</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2、卖方不得以任何名义为买方及其工作人员报支应由个人支付的任何费用。</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3、卖方不得以任何理由邀请买方工作人员参加宴请、娱乐、休闲、旅游等活动。</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4、卖方不得为买方单位和个人购置或提供通讯工具、交通工具、家电和高档办公用品或者为通讯工具充值。</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5、卖方人员不得到买方人员家里询访有关工程建设事项。</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第四条、违约责任</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1、买方及其工作人员有违反本廉政协议书第一条和第二条的,按买方单位的廉政建设规定处罚，同时汇报检察机关。</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卖方有违反本廉政协议书第一条和第三条的,除通过上级纪检监察机关按卖方单位的廉政建设规定处罚外,视情节轻重和造成损失大小依照相关法律、法规追究相关责任，且在3年内不得参加中国药科大学建设项目投标活动。</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第五条、中国药科大学廉政监督部门为中国药科大学纪检监察室，如出现廉政问题，由监督部门按相关法律法规进行处理。</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第六条、本廉政协议书有效期为从甲乙双方签署之日起,到该工程项目竣工验收后止。</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第七条、本廉政协议书作为工程合同的附件,与工程承包合同具有同等的法律效力,经协议双方签署后立即生效。</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本协议书未尽事宜，参照国家相关法律规定及《中国药科大学基本建设和专项维修项目廉政建设管理细则》等。</w:t>
      </w:r>
    </w:p>
    <w:p>
      <w:pPr>
        <w:tabs>
          <w:tab w:val="left" w:pos="4515"/>
        </w:tabs>
        <w:spacing w:line="360" w:lineRule="auto"/>
        <w:rPr>
          <w:rFonts w:ascii="宋体" w:hAnsi="宋体" w:cs="宋体"/>
          <w:sz w:val="24"/>
          <w:szCs w:val="24"/>
          <w:highlight w:val="none"/>
        </w:rPr>
      </w:pPr>
      <w:r>
        <w:rPr>
          <w:rFonts w:hint="eastAsia" w:ascii="宋体" w:hAnsi="宋体" w:cs="宋体"/>
          <w:sz w:val="24"/>
          <w:szCs w:val="24"/>
          <w:highlight w:val="none"/>
        </w:rPr>
        <w:t>买方单位：（盖章）                    卖方单位：（盖章）</w:t>
      </w:r>
    </w:p>
    <w:p>
      <w:pPr>
        <w:spacing w:line="360" w:lineRule="auto"/>
        <w:rPr>
          <w:rFonts w:ascii="宋体" w:hAnsi="宋体" w:cs="宋体"/>
          <w:sz w:val="24"/>
          <w:szCs w:val="24"/>
          <w:highlight w:val="none"/>
        </w:rPr>
      </w:pPr>
      <w:r>
        <w:rPr>
          <w:rFonts w:hint="eastAsia" w:ascii="宋体" w:hAnsi="宋体" w:cs="宋体"/>
          <w:sz w:val="24"/>
          <w:szCs w:val="24"/>
          <w:highlight w:val="none"/>
        </w:rPr>
        <w:t>法定代表人（签字）：                  法定代表人（签字）：</w:t>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地址：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地址：</w:t>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电话：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电话：</w:t>
      </w:r>
    </w:p>
    <w:p>
      <w:pPr>
        <w:spacing w:line="360" w:lineRule="auto"/>
        <w:rPr>
          <w:rFonts w:ascii="宋体" w:hAnsi="宋体" w:cs="宋体"/>
          <w:sz w:val="24"/>
          <w:szCs w:val="24"/>
          <w:highlight w:val="none"/>
          <w:u w:val="single" w:color="000000"/>
        </w:rPr>
      </w:pPr>
      <w:r>
        <w:rPr>
          <w:rFonts w:hint="eastAsia" w:ascii="宋体" w:hAnsi="宋体" w:cs="宋体"/>
          <w:sz w:val="24"/>
          <w:szCs w:val="24"/>
          <w:highlight w:val="none"/>
        </w:rPr>
        <w:t xml:space="preserve">签约日期：   年  月  日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 签约日期：  年  月   日 </w:t>
      </w:r>
    </w:p>
    <w:p>
      <w:pPr>
        <w:spacing w:line="360" w:lineRule="auto"/>
        <w:ind w:firstLine="4560" w:firstLineChars="1900"/>
        <w:rPr>
          <w:rFonts w:ascii="宋体" w:hAnsi="宋体" w:cs="宋体"/>
          <w:sz w:val="24"/>
          <w:szCs w:val="24"/>
          <w:highlight w:val="none"/>
          <w:u w:val="single" w:color="000000"/>
        </w:rPr>
        <w:sectPr>
          <w:pgSz w:w="11911" w:h="16838"/>
          <w:pgMar w:top="1440" w:right="1803" w:bottom="1440" w:left="1803" w:header="0" w:footer="1406" w:gutter="0"/>
          <w:cols w:space="720" w:num="1"/>
          <w:docGrid w:linePitch="312" w:charSpace="0"/>
        </w:sectPr>
      </w:pPr>
    </w:p>
    <w:p>
      <w:pPr>
        <w:spacing w:line="360" w:lineRule="auto"/>
        <w:jc w:val="left"/>
        <w:rPr>
          <w:rFonts w:ascii="宋体" w:hAnsi="宋体" w:cs="宋体"/>
          <w:sz w:val="24"/>
          <w:szCs w:val="24"/>
          <w:highlight w:val="none"/>
        </w:rPr>
      </w:pPr>
      <w:r>
        <w:rPr>
          <w:rFonts w:hint="eastAsia" w:ascii="宋体" w:hAnsi="宋体" w:cs="宋体"/>
          <w:sz w:val="24"/>
          <w:szCs w:val="24"/>
          <w:highlight w:val="none"/>
        </w:rPr>
        <w:t>附件3：</w:t>
      </w:r>
    </w:p>
    <w:p>
      <w:pPr>
        <w:spacing w:line="360" w:lineRule="auto"/>
        <w:jc w:val="center"/>
        <w:rPr>
          <w:rFonts w:ascii="宋体" w:hAnsi="宋体" w:cs="宋体"/>
          <w:sz w:val="24"/>
          <w:szCs w:val="24"/>
          <w:highlight w:val="none"/>
        </w:rPr>
      </w:pPr>
      <w:r>
        <w:rPr>
          <w:rFonts w:hint="eastAsia" w:ascii="宋体" w:hAnsi="宋体" w:cs="宋体"/>
          <w:sz w:val="24"/>
          <w:szCs w:val="24"/>
          <w:highlight w:val="none"/>
        </w:rPr>
        <w:t>中国药科大学校内工程施工安全生产责任承诺书</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为认真贯彻"安全第一、预防为主"的方针，确保施工生产的安全，按规定搞好安全防护措施，把安全施工落到实处，在各种经济承包中必须包括安全生产，做到讲效益必须讲安全，抓施工必须抓安全。因此，施工单位对本工程项目施工安全生产做出如下承诺：</w:t>
      </w:r>
    </w:p>
    <w:p>
      <w:pPr>
        <w:spacing w:line="360" w:lineRule="auto"/>
        <w:rPr>
          <w:rFonts w:ascii="宋体" w:hAnsi="宋体" w:cs="宋体"/>
          <w:sz w:val="24"/>
          <w:szCs w:val="24"/>
          <w:highlight w:val="none"/>
        </w:rPr>
      </w:pPr>
      <w:r>
        <w:rPr>
          <w:rFonts w:hint="eastAsia" w:ascii="宋体" w:hAnsi="宋体" w:cs="宋体"/>
          <w:sz w:val="24"/>
          <w:szCs w:val="24"/>
          <w:highlight w:val="none"/>
        </w:rPr>
        <w:t>1、严格安全管理，认真组织落实施工方案中的施工安全技术措施，现场有安全标志、色标、警示牌，做到文明施工。</w:t>
      </w:r>
    </w:p>
    <w:p>
      <w:pPr>
        <w:spacing w:line="360" w:lineRule="auto"/>
        <w:rPr>
          <w:rFonts w:ascii="宋体" w:hAnsi="宋体" w:cs="宋体"/>
          <w:sz w:val="24"/>
          <w:szCs w:val="24"/>
          <w:highlight w:val="none"/>
        </w:rPr>
      </w:pPr>
      <w:r>
        <w:rPr>
          <w:rFonts w:hint="eastAsia" w:ascii="宋体" w:hAnsi="宋体" w:cs="宋体"/>
          <w:sz w:val="24"/>
          <w:szCs w:val="24"/>
          <w:highlight w:val="none"/>
        </w:rPr>
        <w:t>2、领导所属班组定期召开安全工作例会，认真开展每周一次安全日活动，对照施工安全检查表，经常检查生产现场的安全管理，认真查出事故隐患，制定各种安全技术措施，确保施工全过程的安全生产。</w:t>
      </w:r>
    </w:p>
    <w:p>
      <w:pPr>
        <w:spacing w:line="360" w:lineRule="auto"/>
        <w:rPr>
          <w:rFonts w:ascii="宋体" w:hAnsi="宋体" w:cs="宋体"/>
          <w:sz w:val="24"/>
          <w:szCs w:val="24"/>
          <w:highlight w:val="none"/>
        </w:rPr>
      </w:pPr>
      <w:r>
        <w:rPr>
          <w:rFonts w:hint="eastAsia" w:ascii="宋体" w:hAnsi="宋体" w:cs="宋体"/>
          <w:sz w:val="24"/>
          <w:szCs w:val="24"/>
          <w:highlight w:val="none"/>
        </w:rPr>
        <w:t>3、组织学习安全操作规程，并检查执行情况，对新工人必须进行安全教育，特别是劳动用工的管理和教育，教育工人遵章守纪和正确使用安全防范设施和防护用品，负责检查特殊作业人员是否有持证上岗。</w:t>
      </w:r>
    </w:p>
    <w:p>
      <w:pPr>
        <w:spacing w:line="360" w:lineRule="auto"/>
        <w:rPr>
          <w:rFonts w:ascii="宋体" w:hAnsi="宋体" w:cs="宋体"/>
          <w:sz w:val="24"/>
          <w:szCs w:val="24"/>
          <w:highlight w:val="none"/>
        </w:rPr>
      </w:pPr>
      <w:r>
        <w:rPr>
          <w:rFonts w:hint="eastAsia" w:ascii="宋体" w:hAnsi="宋体" w:cs="宋体"/>
          <w:sz w:val="24"/>
          <w:szCs w:val="24"/>
          <w:highlight w:val="none"/>
        </w:rPr>
        <w:t>4、督促指导班组严格按工艺规程和安全操作，制止违章指挥和冒险作业的行为。</w:t>
      </w:r>
    </w:p>
    <w:p>
      <w:pPr>
        <w:spacing w:line="360" w:lineRule="auto"/>
        <w:rPr>
          <w:rFonts w:ascii="宋体" w:hAnsi="宋体" w:cs="宋体"/>
          <w:sz w:val="24"/>
          <w:szCs w:val="24"/>
          <w:highlight w:val="none"/>
        </w:rPr>
      </w:pPr>
      <w:r>
        <w:rPr>
          <w:rFonts w:hint="eastAsia" w:ascii="宋体" w:hAnsi="宋体" w:cs="宋体"/>
          <w:sz w:val="24"/>
          <w:szCs w:val="24"/>
          <w:highlight w:val="none"/>
        </w:rPr>
        <w:t>5、对现场搭设的"二架一网"及安装的大型机械、电器设备（配合机管员）等安全防护装置，必须有技术交底的验收手续，方能使用。</w:t>
      </w:r>
    </w:p>
    <w:p>
      <w:pPr>
        <w:spacing w:line="360" w:lineRule="auto"/>
        <w:rPr>
          <w:rFonts w:ascii="宋体" w:hAnsi="宋体" w:cs="宋体"/>
          <w:sz w:val="24"/>
          <w:szCs w:val="24"/>
          <w:highlight w:val="none"/>
        </w:rPr>
      </w:pPr>
      <w:r>
        <w:rPr>
          <w:rFonts w:hint="eastAsia" w:ascii="宋体" w:hAnsi="宋体" w:cs="宋体"/>
          <w:sz w:val="24"/>
          <w:szCs w:val="24"/>
          <w:highlight w:val="none"/>
        </w:rPr>
        <w:t>6、对工地安全隐患，由中国药科大学保卫处所发出隐患通知书必须签字，并按通知限期整改。</w:t>
      </w:r>
    </w:p>
    <w:p>
      <w:pPr>
        <w:spacing w:line="360" w:lineRule="auto"/>
        <w:rPr>
          <w:rFonts w:ascii="宋体" w:hAnsi="宋体" w:cs="宋体"/>
          <w:sz w:val="24"/>
          <w:szCs w:val="24"/>
          <w:highlight w:val="none"/>
        </w:rPr>
      </w:pPr>
      <w:r>
        <w:rPr>
          <w:rFonts w:hint="eastAsia" w:ascii="宋体" w:hAnsi="宋体" w:cs="宋体"/>
          <w:sz w:val="24"/>
          <w:szCs w:val="24"/>
          <w:highlight w:val="none"/>
        </w:rPr>
        <w:t>7、保证不发生重大人员伤亡事故，在此工程施工过程中所发生的一切工伤事故或安全事故，由施工单位承担一切责任。</w:t>
      </w:r>
    </w:p>
    <w:p>
      <w:pPr>
        <w:spacing w:line="360" w:lineRule="auto"/>
        <w:rPr>
          <w:rFonts w:ascii="宋体" w:hAnsi="宋体" w:cs="宋体"/>
          <w:sz w:val="24"/>
          <w:szCs w:val="24"/>
          <w:highlight w:val="none"/>
        </w:rPr>
      </w:pPr>
      <w:r>
        <w:rPr>
          <w:rFonts w:hint="eastAsia" w:ascii="宋体" w:hAnsi="宋体" w:cs="宋体"/>
          <w:sz w:val="24"/>
          <w:szCs w:val="24"/>
          <w:highlight w:val="none"/>
        </w:rPr>
        <w:t>8、工地建立岗位责任制和防火措施，督促有关人员做好施工安全各项技术业内资料保存。</w:t>
      </w:r>
    </w:p>
    <w:p>
      <w:pPr>
        <w:spacing w:line="360" w:lineRule="auto"/>
        <w:rPr>
          <w:rFonts w:ascii="宋体" w:hAnsi="宋体" w:cs="宋体"/>
          <w:sz w:val="24"/>
          <w:szCs w:val="24"/>
          <w:highlight w:val="none"/>
        </w:rPr>
      </w:pPr>
      <w:r>
        <w:rPr>
          <w:rFonts w:hint="eastAsia" w:ascii="宋体" w:hAnsi="宋体" w:cs="宋体"/>
          <w:sz w:val="24"/>
          <w:szCs w:val="24"/>
          <w:highlight w:val="none"/>
        </w:rPr>
        <w:t>9、按中国药科大学要求做好全体人员登记，并把人员登记册送交保卫处。</w:t>
      </w:r>
    </w:p>
    <w:p>
      <w:pPr>
        <w:spacing w:line="360" w:lineRule="auto"/>
        <w:rPr>
          <w:rFonts w:ascii="宋体" w:hAnsi="宋体" w:cs="宋体"/>
          <w:sz w:val="24"/>
          <w:szCs w:val="24"/>
          <w:highlight w:val="none"/>
        </w:rPr>
      </w:pPr>
      <w:r>
        <w:rPr>
          <w:rFonts w:hint="eastAsia" w:ascii="宋体" w:hAnsi="宋体" w:cs="宋体"/>
          <w:sz w:val="24"/>
          <w:szCs w:val="24"/>
          <w:highlight w:val="none"/>
        </w:rPr>
        <w:t>10、所有施工单位及人员必须遵守中国药科大学各项管理规定。</w:t>
      </w:r>
    </w:p>
    <w:p>
      <w:pPr>
        <w:spacing w:line="360" w:lineRule="auto"/>
        <w:rPr>
          <w:rFonts w:ascii="宋体" w:hAnsi="宋体" w:cs="宋体"/>
          <w:sz w:val="24"/>
          <w:szCs w:val="24"/>
          <w:highlight w:val="none"/>
        </w:rPr>
      </w:pPr>
    </w:p>
    <w:p>
      <w:pPr>
        <w:spacing w:line="360" w:lineRule="auto"/>
        <w:rPr>
          <w:rFonts w:ascii="宋体" w:hAnsi="宋体" w:cs="宋体"/>
          <w:sz w:val="24"/>
          <w:szCs w:val="24"/>
          <w:highlight w:val="none"/>
        </w:rPr>
      </w:pPr>
    </w:p>
    <w:p>
      <w:pPr>
        <w:spacing w:line="360" w:lineRule="auto"/>
        <w:rPr>
          <w:rFonts w:ascii="宋体" w:hAnsi="宋体" w:cs="宋体"/>
          <w:sz w:val="24"/>
          <w:szCs w:val="24"/>
          <w:highlight w:val="none"/>
        </w:rPr>
      </w:pPr>
      <w:r>
        <w:rPr>
          <w:rFonts w:hint="eastAsia" w:ascii="宋体" w:hAnsi="宋体" w:cs="宋体"/>
          <w:sz w:val="24"/>
          <w:szCs w:val="24"/>
          <w:highlight w:val="none"/>
        </w:rPr>
        <w:t>承诺单位： （公章）         承诺单位法定代表人（签字）：    年     月    日</w:t>
      </w:r>
    </w:p>
    <w:p>
      <w:pPr>
        <w:spacing w:line="360" w:lineRule="auto"/>
        <w:rPr>
          <w:rFonts w:ascii="宋体" w:hAnsi="宋体" w:cs="宋体"/>
          <w:sz w:val="24"/>
          <w:szCs w:val="24"/>
          <w:highlight w:val="none"/>
        </w:rPr>
      </w:pPr>
    </w:p>
    <w:p>
      <w:pPr>
        <w:spacing w:line="360" w:lineRule="auto"/>
        <w:rPr>
          <w:rFonts w:ascii="宋体" w:hAnsi="宋体" w:cs="宋体"/>
          <w:sz w:val="24"/>
          <w:szCs w:val="24"/>
          <w:highlight w:val="none"/>
        </w:rPr>
      </w:pPr>
      <w:r>
        <w:rPr>
          <w:rFonts w:hint="eastAsia" w:ascii="宋体" w:hAnsi="宋体" w:cs="宋体"/>
          <w:sz w:val="24"/>
          <w:szCs w:val="24"/>
          <w:highlight w:val="none"/>
        </w:rPr>
        <w:t>附件4：中国药科大学校内工程文明施工承诺书</w:t>
      </w:r>
    </w:p>
    <w:p>
      <w:pPr>
        <w:pStyle w:val="2"/>
        <w:rPr>
          <w:highlight w:val="none"/>
        </w:rPr>
      </w:pP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1、施工单位必须做到文明施工，并制定完善的安全管理制度。开工前，必须到学校保卫处办理人员等相关登记手续，并加强对所属人员的教育和管理，要求所属人员做到言谈文明、举止得体，施工人员的活动范围只局限在施工区域，避免发生影响学校教学、科研、生活正常秩序的问题，否则公司要负相关责任。 </w:t>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2、在施工过程中应注意对树木、花草、绿篱、房舍、校内路面等校园内一切公共设施的保护。如有损坏，必须按有关规定予以恢复，并处以1000 —5000 元的罚款，并责令其恢复。 </w:t>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3、在施工期间，应在施工现场显著位置设立安全警告牌，并确保警告牌的整洁、醒目。未按此项要求进行操作的，相关管理部门要责令其停工并限期整改，如不改正则令其停止施工，由此产生的工期延误和经济损失由施工单位承担，整改后经检查确定符合要求后方可继续施工。 </w:t>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4、施工单位在校内施工必须严格遵守学校的各项管理规定。未经基建后勤处批准或相关协管部门同意严禁破路施工，严禁在道路上堆放施工材料、施工机械及在路面搅拌混凝土。特殊情况下，需征得基建后勤处及相关协管部门同意，需要临时占用道路的，不得影响正常交通并将建筑材料或物品在指定地点堆放整齐。 </w:t>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5、工程中需对现实状况改动的，改动方案必须提前报基建后勤处及相关协管部门审定同意。未经同意，擅自施工的，责令其停止施工，并处以 1000 元以上的罚款，此产生的工期延误和经济损失由施工单位承担。 </w:t>
      </w:r>
    </w:p>
    <w:p>
      <w:pPr>
        <w:spacing w:line="360" w:lineRule="auto"/>
        <w:rPr>
          <w:rFonts w:ascii="宋体" w:hAnsi="宋体" w:cs="宋体"/>
          <w:sz w:val="24"/>
          <w:szCs w:val="24"/>
          <w:highlight w:val="none"/>
        </w:rPr>
      </w:pPr>
      <w:r>
        <w:rPr>
          <w:rFonts w:hint="eastAsia" w:ascii="宋体" w:hAnsi="宋体" w:cs="宋体"/>
          <w:sz w:val="24"/>
          <w:szCs w:val="24"/>
          <w:highlight w:val="none"/>
        </w:rPr>
        <w:t>6、施工单位在校园内施工期间要自觉维护校内各种建筑和公共设施，未经允许不准移动或占用。确因需要占用校园的球场、道路、建筑物周围及楼道、走廊等公用场地及相关设施，必须到基建后勤处及相关协管部门办理批准手续。否则，将责令其限期整改，并处以1000 — 5000元的罚款。如不改正则令其停止施工，由此产生的工期延误和经济损失由施工单位承担。</w:t>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7、施工产生的建筑垃圾必须外运，不得倾倒在校园内。建筑垃圾原则上要求日产日清，如不能做到的， 则装袋后可暂时堆放在指定区域，并做覆盖处理，不得堆放在绿化带中，不得影响交通和消防通道。建筑垃圾自开始堆放之日起 5日内必须外运。否则每天按1000元罚款处理。在外运过程中，不得散落在校园内，严禁抛洒滴漏。施工结束后 5 日内必须将建筑垃圾等杂物及周围环境清理干净，否则处以1000-5000 元的罚款。如施工垃圾未外运，倾倒在校园内的，一经核实，处以 5000-10000 元的罚款。 </w:t>
      </w:r>
    </w:p>
    <w:p>
      <w:pPr>
        <w:spacing w:line="360" w:lineRule="auto"/>
        <w:rPr>
          <w:rFonts w:ascii="宋体" w:hAnsi="宋体" w:cs="宋体"/>
          <w:sz w:val="24"/>
          <w:szCs w:val="24"/>
          <w:highlight w:val="none"/>
        </w:rPr>
      </w:pPr>
      <w:r>
        <w:rPr>
          <w:rFonts w:hint="eastAsia" w:ascii="宋体" w:hAnsi="宋体" w:cs="宋体"/>
          <w:sz w:val="24"/>
          <w:szCs w:val="24"/>
          <w:highlight w:val="none"/>
        </w:rPr>
        <w:t>8、校内施工不允许无偿使用水、电。施工使用的水电，须经基建后勤处同意后安装计量表， 且按照使用的数量和施工用水电的价格计量收费，无法安装水电表计量的，按按合同价的1.5‰扣除施工水电费。否则责令其停止施工， 并处以 1000 元以上的罚款， 施工过程中由于操作不当导致水、电等设施损坏的，必须及时修复，并承担由此造成的一切损失，如发现私自接拉水电现象，责令回复，并处以1000-5000元罚款。如不改正则令其停止施工，由此产生的工期延误和经济损失由施工单位承担。</w:t>
      </w:r>
    </w:p>
    <w:p>
      <w:pPr>
        <w:spacing w:line="360" w:lineRule="auto"/>
        <w:rPr>
          <w:rFonts w:ascii="宋体" w:hAnsi="宋体" w:cs="宋体"/>
          <w:sz w:val="24"/>
          <w:szCs w:val="24"/>
          <w:highlight w:val="none"/>
        </w:rPr>
      </w:pP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 </w:t>
      </w:r>
    </w:p>
    <w:p>
      <w:pPr>
        <w:spacing w:line="360" w:lineRule="auto"/>
        <w:rPr>
          <w:rFonts w:ascii="宋体" w:hAnsi="宋体" w:cs="宋体"/>
          <w:sz w:val="24"/>
          <w:szCs w:val="24"/>
          <w:highlight w:val="none"/>
        </w:rPr>
      </w:pPr>
      <w:r>
        <w:rPr>
          <w:rFonts w:hint="eastAsia" w:ascii="宋体" w:hAnsi="宋体" w:cs="宋体"/>
          <w:sz w:val="24"/>
          <w:szCs w:val="24"/>
          <w:highlight w:val="none"/>
        </w:rPr>
        <w:t>承诺单位： （公章）</w:t>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 </w:t>
      </w:r>
    </w:p>
    <w:p>
      <w:pPr>
        <w:spacing w:line="360" w:lineRule="auto"/>
        <w:rPr>
          <w:rFonts w:ascii="宋体" w:hAnsi="宋体" w:cs="宋体"/>
          <w:sz w:val="24"/>
          <w:szCs w:val="24"/>
          <w:highlight w:val="none"/>
        </w:rPr>
      </w:pPr>
      <w:r>
        <w:rPr>
          <w:rFonts w:hint="eastAsia" w:ascii="宋体" w:hAnsi="宋体" w:cs="宋体"/>
          <w:sz w:val="24"/>
          <w:szCs w:val="24"/>
          <w:highlight w:val="none"/>
        </w:rPr>
        <w:t>承诺单位法定代表人（签字）：</w:t>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             </w:t>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    年   月    日</w:t>
      </w:r>
    </w:p>
    <w:p>
      <w:pPr>
        <w:rPr>
          <w:rFonts w:ascii="宋体" w:hAnsi="宋体" w:cs="宋体"/>
          <w:b/>
          <w:bCs/>
          <w:kern w:val="44"/>
          <w:sz w:val="32"/>
          <w:szCs w:val="32"/>
          <w:highlight w:val="none"/>
        </w:rPr>
      </w:pPr>
    </w:p>
    <w:p>
      <w:pPr>
        <w:pStyle w:val="2"/>
        <w:rPr>
          <w:highlight w:val="none"/>
        </w:rPr>
      </w:pPr>
    </w:p>
    <w:p>
      <w:pPr>
        <w:pStyle w:val="3"/>
        <w:rPr>
          <w:highlight w:val="none"/>
        </w:rPr>
      </w:pPr>
    </w:p>
    <w:p>
      <w:pPr>
        <w:pStyle w:val="4"/>
        <w:rPr>
          <w:highlight w:val="none"/>
        </w:rPr>
      </w:pPr>
    </w:p>
    <w:p>
      <w:pPr>
        <w:pStyle w:val="6"/>
        <w:rPr>
          <w:highlight w:val="none"/>
        </w:rPr>
      </w:pPr>
    </w:p>
    <w:p>
      <w:pPr>
        <w:pStyle w:val="7"/>
        <w:rPr>
          <w:highlight w:val="none"/>
        </w:rPr>
      </w:pPr>
    </w:p>
    <w:p>
      <w:pPr>
        <w:pStyle w:val="8"/>
        <w:rPr>
          <w:highlight w:val="none"/>
        </w:rPr>
      </w:pPr>
    </w:p>
    <w:p>
      <w:pPr>
        <w:pStyle w:val="9"/>
        <w:rPr>
          <w:highlight w:val="none"/>
        </w:rPr>
      </w:pPr>
    </w:p>
    <w:p>
      <w:pPr>
        <w:rPr>
          <w:highlight w:val="none"/>
        </w:rPr>
      </w:pPr>
    </w:p>
    <w:p>
      <w:pPr>
        <w:pStyle w:val="2"/>
        <w:rPr>
          <w:highlight w:val="none"/>
        </w:rPr>
      </w:pPr>
    </w:p>
    <w:p>
      <w:pPr>
        <w:pStyle w:val="3"/>
        <w:rPr>
          <w:highlight w:val="none"/>
        </w:rPr>
      </w:pPr>
    </w:p>
    <w:p>
      <w:pPr>
        <w:spacing w:line="360" w:lineRule="auto"/>
        <w:jc w:val="center"/>
        <w:rPr>
          <w:rFonts w:ascii="宋体" w:hAnsi="宋体"/>
          <w:sz w:val="24"/>
          <w:szCs w:val="24"/>
          <w:highlight w:val="none"/>
        </w:rPr>
      </w:pPr>
    </w:p>
    <w:p>
      <w:pPr>
        <w:spacing w:line="360" w:lineRule="auto"/>
        <w:rPr>
          <w:rFonts w:ascii="宋体" w:hAnsi="宋体"/>
          <w:sz w:val="24"/>
          <w:szCs w:val="24"/>
          <w:highlight w:val="none"/>
        </w:rPr>
      </w:pPr>
      <w:r>
        <w:rPr>
          <w:rFonts w:hint="eastAsia" w:ascii="宋体" w:hAnsi="宋体"/>
          <w:sz w:val="24"/>
          <w:szCs w:val="24"/>
          <w:highlight w:val="none"/>
        </w:rPr>
        <w:t xml:space="preserve">附件5： </w:t>
      </w:r>
      <w:r>
        <w:rPr>
          <w:rFonts w:ascii="宋体" w:hAnsi="宋体"/>
          <w:sz w:val="24"/>
          <w:szCs w:val="24"/>
          <w:highlight w:val="none"/>
        </w:rPr>
        <w:t xml:space="preserve"> </w:t>
      </w:r>
      <w:r>
        <w:rPr>
          <w:rFonts w:hint="eastAsia" w:ascii="宋体" w:hAnsi="宋体"/>
          <w:sz w:val="24"/>
          <w:szCs w:val="24"/>
          <w:highlight w:val="none"/>
        </w:rPr>
        <w:t>中国药科大学校内工程疫情防控管理承诺书</w:t>
      </w:r>
    </w:p>
    <w:p>
      <w:pPr>
        <w:spacing w:line="440" w:lineRule="exact"/>
        <w:ind w:firstLine="641"/>
        <w:rPr>
          <w:rFonts w:ascii="仿宋" w:hAnsi="仿宋" w:eastAsia="仿宋" w:cs="仿宋"/>
          <w:sz w:val="32"/>
          <w:szCs w:val="32"/>
          <w:highlight w:val="none"/>
        </w:rPr>
      </w:pPr>
      <w:r>
        <w:rPr>
          <w:rFonts w:hint="eastAsia" w:ascii="宋体" w:hAnsi="宋体"/>
          <w:sz w:val="24"/>
          <w:szCs w:val="24"/>
          <w:highlight w:val="none"/>
        </w:rPr>
        <w:t>为</w:t>
      </w:r>
      <w:r>
        <w:rPr>
          <w:rFonts w:hint="eastAsia" w:ascii="宋体" w:hAnsi="宋体" w:cs="宋体"/>
          <w:sz w:val="24"/>
          <w:szCs w:val="24"/>
          <w:highlight w:val="none"/>
        </w:rPr>
        <w:t>认真贯彻中国药科大学关于</w:t>
      </w:r>
      <w:r>
        <w:rPr>
          <w:rFonts w:hint="eastAsia" w:ascii="宋体" w:hAnsi="宋体"/>
          <w:sz w:val="24"/>
          <w:szCs w:val="24"/>
          <w:highlight w:val="none"/>
          <w:shd w:val="clear" w:color="auto" w:fill="FFFFFF"/>
        </w:rPr>
        <w:t>新冠肺炎疫情防控工作的指示，落实学校公</w:t>
      </w:r>
      <w:r>
        <w:rPr>
          <w:rFonts w:hint="eastAsia" w:ascii="宋体" w:hAnsi="宋体"/>
          <w:sz w:val="24"/>
          <w:szCs w:val="24"/>
          <w:highlight w:val="none"/>
        </w:rPr>
        <w:t>共卫生突发事件应急响应的要求，确保疫情期间建筑工地有序安全施工，本单位承诺履行疫情防控和健康管理主体责任，按照各级部门及中国药科大学疫情防控相关文件要求开展工作，具体承诺如下：</w:t>
      </w:r>
    </w:p>
    <w:p>
      <w:pPr>
        <w:spacing w:line="360" w:lineRule="auto"/>
        <w:rPr>
          <w:rFonts w:ascii="宋体" w:hAnsi="宋体"/>
          <w:sz w:val="24"/>
          <w:szCs w:val="24"/>
          <w:highlight w:val="none"/>
        </w:rPr>
      </w:pPr>
      <w:r>
        <w:rPr>
          <w:rFonts w:hint="eastAsia" w:ascii="宋体" w:hAnsi="宋体"/>
          <w:sz w:val="24"/>
          <w:szCs w:val="24"/>
          <w:highlight w:val="none"/>
        </w:rPr>
        <w:t>1、强化建设项目疫情防控意识。要提高认识，高度重视建设项目的疫情防控工作，</w:t>
      </w:r>
      <w:r>
        <w:rPr>
          <w:rFonts w:ascii="宋体" w:hAnsi="宋体"/>
          <w:sz w:val="24"/>
          <w:szCs w:val="24"/>
          <w:highlight w:val="none"/>
        </w:rPr>
        <w:t>坚持问题导向，切实采取有效措施，从严从实</w:t>
      </w:r>
      <w:r>
        <w:rPr>
          <w:rFonts w:hint="eastAsia" w:ascii="宋体" w:hAnsi="宋体"/>
          <w:sz w:val="24"/>
          <w:szCs w:val="24"/>
          <w:highlight w:val="none"/>
        </w:rPr>
        <w:t>做</w:t>
      </w:r>
      <w:r>
        <w:rPr>
          <w:rFonts w:ascii="宋体" w:hAnsi="宋体"/>
          <w:sz w:val="24"/>
          <w:szCs w:val="24"/>
          <w:highlight w:val="none"/>
        </w:rPr>
        <w:t>好建设项目管理，做到“人、物、环境”同防，坚决筑牢疫情防控屏障。</w:t>
      </w:r>
      <w:r>
        <w:rPr>
          <w:rFonts w:hint="eastAsia" w:ascii="宋体" w:hAnsi="宋体"/>
          <w:sz w:val="24"/>
          <w:szCs w:val="24"/>
          <w:highlight w:val="none"/>
        </w:rPr>
        <w:t>执行《高等学校新冠肺炎疫情防控技术方案</w:t>
      </w:r>
      <w:r>
        <w:rPr>
          <w:rFonts w:ascii="宋体" w:hAnsi="宋体"/>
          <w:sz w:val="24"/>
          <w:szCs w:val="24"/>
          <w:highlight w:val="none"/>
        </w:rPr>
        <w:t>》</w:t>
      </w:r>
      <w:r>
        <w:rPr>
          <w:rFonts w:hint="eastAsia" w:ascii="宋体" w:hAnsi="宋体"/>
          <w:sz w:val="24"/>
          <w:szCs w:val="24"/>
          <w:highlight w:val="none"/>
        </w:rPr>
        <w:t>最新</w:t>
      </w:r>
      <w:r>
        <w:rPr>
          <w:rFonts w:ascii="宋体" w:hAnsi="宋体"/>
          <w:sz w:val="24"/>
          <w:szCs w:val="24"/>
          <w:highlight w:val="none"/>
        </w:rPr>
        <w:t>要求</w:t>
      </w:r>
      <w:r>
        <w:rPr>
          <w:rFonts w:hint="eastAsia" w:ascii="宋体" w:hAnsi="宋体"/>
          <w:sz w:val="24"/>
          <w:szCs w:val="24"/>
          <w:highlight w:val="none"/>
        </w:rPr>
        <w:t>。</w:t>
      </w:r>
    </w:p>
    <w:p>
      <w:pPr>
        <w:spacing w:line="360" w:lineRule="auto"/>
        <w:rPr>
          <w:rFonts w:ascii="宋体" w:hAnsi="宋体"/>
          <w:sz w:val="24"/>
          <w:szCs w:val="24"/>
          <w:highlight w:val="none"/>
        </w:rPr>
      </w:pPr>
      <w:r>
        <w:rPr>
          <w:rFonts w:hint="eastAsia" w:ascii="宋体" w:hAnsi="宋体"/>
          <w:sz w:val="24"/>
          <w:szCs w:val="24"/>
          <w:highlight w:val="none"/>
        </w:rPr>
        <w:t>2、强化施工现场闭环管理。施工现场须与校园实现物理隔离，原则上应设置单独通道直接联接校外，施工人员禁止进入除施工区域外校园，并禁止学校师生等无关人员进入施工现场，施工人员和车辆不得与师生校园活动轨迹交叉。施工现场办公区、作业区、生活区只保留一个出入口，其它出入口应采取有效封闭措施。</w:t>
      </w:r>
    </w:p>
    <w:p>
      <w:pPr>
        <w:spacing w:line="360" w:lineRule="auto"/>
        <w:rPr>
          <w:rFonts w:ascii="宋体" w:hAnsi="宋体"/>
          <w:sz w:val="24"/>
          <w:szCs w:val="24"/>
          <w:highlight w:val="none"/>
        </w:rPr>
      </w:pPr>
      <w:r>
        <w:rPr>
          <w:rFonts w:hint="eastAsia" w:ascii="宋体" w:hAnsi="宋体"/>
          <w:sz w:val="24"/>
          <w:szCs w:val="24"/>
          <w:highlight w:val="none"/>
        </w:rPr>
        <w:t>3、强化施工人员管理。要全面排查施工人员，建立实名制台账，落实“一人一档”制度。所有人员进入工地前，均必须严格该验身份和</w:t>
      </w:r>
      <w:r>
        <w:rPr>
          <w:rFonts w:ascii="宋体" w:hAnsi="宋体"/>
          <w:sz w:val="24"/>
          <w:szCs w:val="24"/>
          <w:highlight w:val="none"/>
        </w:rPr>
        <w:t>24小时内核酸检测阴性证明、测量体温、查看健康码</w:t>
      </w:r>
      <w:r>
        <w:rPr>
          <w:rFonts w:hint="eastAsia" w:ascii="宋体" w:hAnsi="宋体"/>
          <w:sz w:val="24"/>
          <w:szCs w:val="24"/>
          <w:highlight w:val="none"/>
        </w:rPr>
        <w:t>和行程卡并佩戴口罩。按照“非必要不外出”原则，减少施工人员外出活动。加强工地用餐管理，严禁施工人员到学校食堂用餐。严格控制施工人员流动频次。严格要求员工必须遵守学校和各级部门的疫情防控工作要求。</w:t>
      </w:r>
    </w:p>
    <w:p>
      <w:pPr>
        <w:spacing w:line="360" w:lineRule="auto"/>
        <w:rPr>
          <w:rFonts w:ascii="宋体" w:hAnsi="宋体"/>
          <w:sz w:val="24"/>
          <w:szCs w:val="24"/>
          <w:highlight w:val="none"/>
        </w:rPr>
      </w:pPr>
      <w:r>
        <w:rPr>
          <w:rFonts w:hint="eastAsia" w:ascii="宋体" w:hAnsi="宋体"/>
          <w:sz w:val="24"/>
          <w:szCs w:val="24"/>
          <w:highlight w:val="none"/>
        </w:rPr>
        <w:t>4、强化施工项目安全管理。要牢固树立安全发展理念，确保做好疫情防控和安全生产两不误。</w:t>
      </w:r>
    </w:p>
    <w:p>
      <w:pPr>
        <w:spacing w:line="440" w:lineRule="exact"/>
        <w:rPr>
          <w:rFonts w:ascii="仿宋" w:hAnsi="仿宋" w:eastAsia="仿宋" w:cs="仿宋"/>
          <w:sz w:val="32"/>
          <w:szCs w:val="32"/>
          <w:highlight w:val="none"/>
        </w:rPr>
      </w:pPr>
      <w:r>
        <w:rPr>
          <w:rFonts w:hint="eastAsia" w:ascii="宋体" w:hAnsi="宋体"/>
          <w:sz w:val="24"/>
          <w:szCs w:val="24"/>
          <w:highlight w:val="none"/>
        </w:rPr>
        <w:t>5、本单位将严格遵守上述承诺，若有瞒报、漏报、谎报或拒不执行疫情防控相关规定的行为，本单位愿承担一切法律责任。</w:t>
      </w:r>
    </w:p>
    <w:p>
      <w:pPr>
        <w:spacing w:line="360" w:lineRule="auto"/>
        <w:rPr>
          <w:rFonts w:ascii="宋体" w:hAnsi="宋体"/>
          <w:sz w:val="24"/>
          <w:szCs w:val="24"/>
          <w:highlight w:val="none"/>
        </w:rPr>
      </w:pPr>
    </w:p>
    <w:p>
      <w:pPr>
        <w:spacing w:line="360" w:lineRule="auto"/>
        <w:rPr>
          <w:highlight w:val="none"/>
        </w:rPr>
      </w:pPr>
      <w:r>
        <w:rPr>
          <w:rFonts w:hint="eastAsia" w:ascii="宋体" w:hAnsi="宋体"/>
          <w:sz w:val="24"/>
          <w:szCs w:val="24"/>
          <w:highlight w:val="none"/>
        </w:rPr>
        <w:t>承诺单位： （公章）</w:t>
      </w:r>
    </w:p>
    <w:p>
      <w:pPr>
        <w:spacing w:line="360" w:lineRule="auto"/>
        <w:rPr>
          <w:rFonts w:ascii="宋体" w:hAnsi="宋体"/>
          <w:sz w:val="24"/>
          <w:szCs w:val="24"/>
          <w:highlight w:val="none"/>
        </w:rPr>
      </w:pPr>
      <w:r>
        <w:rPr>
          <w:rFonts w:hint="eastAsia" w:ascii="宋体" w:hAnsi="宋体"/>
          <w:sz w:val="24"/>
          <w:szCs w:val="24"/>
          <w:highlight w:val="none"/>
        </w:rPr>
        <w:t xml:space="preserve">承诺单位法定代表人（签字）：         </w:t>
      </w:r>
    </w:p>
    <w:p>
      <w:pPr>
        <w:spacing w:line="360" w:lineRule="auto"/>
        <w:rPr>
          <w:rFonts w:ascii="宋体" w:hAnsi="宋体"/>
          <w:sz w:val="24"/>
          <w:szCs w:val="24"/>
          <w:highlight w:val="none"/>
        </w:rPr>
      </w:pPr>
      <w:r>
        <w:rPr>
          <w:rFonts w:hint="eastAsia" w:ascii="宋体" w:hAnsi="宋体"/>
          <w:sz w:val="24"/>
          <w:szCs w:val="24"/>
          <w:highlight w:val="none"/>
        </w:rPr>
        <w:t xml:space="preserve">    年   月   日</w:t>
      </w:r>
    </w:p>
    <w:p>
      <w:pPr>
        <w:rPr>
          <w:rFonts w:ascii="宋体" w:hAnsi="宋体"/>
          <w:sz w:val="24"/>
          <w:szCs w:val="24"/>
          <w:highlight w:val="none"/>
        </w:rPr>
      </w:pPr>
      <w:r>
        <w:rPr>
          <w:rFonts w:hint="eastAsia" w:ascii="宋体" w:hAnsi="宋体"/>
          <w:sz w:val="24"/>
          <w:szCs w:val="24"/>
          <w:highlight w:val="none"/>
        </w:rPr>
        <w:br w:type="page"/>
      </w:r>
    </w:p>
    <w:p>
      <w:pPr>
        <w:pStyle w:val="14"/>
        <w:rPr>
          <w:highlight w:val="none"/>
        </w:rPr>
      </w:pPr>
    </w:p>
    <w:p>
      <w:pPr>
        <w:pStyle w:val="33"/>
        <w:numPr>
          <w:ilvl w:val="0"/>
          <w:numId w:val="4"/>
        </w:numPr>
        <w:spacing w:line="360" w:lineRule="auto"/>
        <w:ind w:left="-420" w:leftChars="-200" w:right="272" w:firstLine="643"/>
        <w:jc w:val="center"/>
        <w:outlineLvl w:val="0"/>
        <w:rPr>
          <w:rFonts w:ascii="宋体" w:hAnsi="宋体" w:cs="宋体"/>
          <w:b/>
          <w:bCs/>
          <w:kern w:val="44"/>
          <w:sz w:val="32"/>
          <w:szCs w:val="32"/>
          <w:highlight w:val="none"/>
        </w:rPr>
      </w:pPr>
      <w:bookmarkStart w:id="143" w:name="_Toc14408"/>
      <w:r>
        <w:rPr>
          <w:rFonts w:hint="eastAsia" w:ascii="宋体" w:hAnsi="宋体" w:cs="宋体"/>
          <w:b/>
          <w:bCs/>
          <w:kern w:val="44"/>
          <w:sz w:val="32"/>
          <w:szCs w:val="32"/>
          <w:highlight w:val="none"/>
        </w:rPr>
        <w:t>投标文件格式</w:t>
      </w:r>
      <w:bookmarkEnd w:id="143"/>
    </w:p>
    <w:p>
      <w:pPr>
        <w:spacing w:before="61" w:after="3"/>
        <w:ind w:left="24"/>
        <w:jc w:val="center"/>
        <w:outlineLvl w:val="0"/>
        <w:rPr>
          <w:rFonts w:ascii="宋体" w:hAnsi="宋体" w:cs="宋体"/>
          <w:b/>
          <w:sz w:val="29"/>
          <w:highlight w:val="none"/>
        </w:rPr>
      </w:pPr>
      <w:bookmarkStart w:id="144" w:name="_Toc15509"/>
      <w:bookmarkStart w:id="145" w:name="_Toc15142"/>
      <w:r>
        <w:rPr>
          <w:rFonts w:hint="eastAsia" w:ascii="宋体" w:hAnsi="宋体" w:cs="宋体"/>
          <w:b/>
          <w:sz w:val="29"/>
          <w:highlight w:val="none"/>
        </w:rPr>
        <w:t>资格索引表</w:t>
      </w:r>
      <w:bookmarkEnd w:id="144"/>
      <w:bookmarkEnd w:id="145"/>
    </w:p>
    <w:tbl>
      <w:tblPr>
        <w:tblStyle w:val="26"/>
        <w:tblW w:w="0" w:type="auto"/>
        <w:tblInd w:w="3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520"/>
        <w:gridCol w:w="1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8" w:hRule="atLeast"/>
        </w:trPr>
        <w:tc>
          <w:tcPr>
            <w:tcW w:w="5520" w:type="dxa"/>
          </w:tcPr>
          <w:p>
            <w:pPr>
              <w:pStyle w:val="34"/>
              <w:spacing w:before="122"/>
              <w:ind w:left="3256"/>
              <w:rPr>
                <w:b/>
                <w:sz w:val="20"/>
                <w:highlight w:val="none"/>
              </w:rPr>
            </w:pPr>
            <w:r>
              <w:rPr>
                <w:rFonts w:hint="eastAsia"/>
                <w:b/>
                <w:sz w:val="20"/>
                <w:highlight w:val="none"/>
              </w:rPr>
              <w:t>资格项</w:t>
            </w:r>
          </w:p>
        </w:tc>
        <w:tc>
          <w:tcPr>
            <w:tcW w:w="1820" w:type="dxa"/>
          </w:tcPr>
          <w:p>
            <w:pPr>
              <w:pStyle w:val="34"/>
              <w:spacing w:before="4"/>
              <w:rPr>
                <w:b/>
                <w:sz w:val="20"/>
                <w:highlight w:val="none"/>
              </w:rPr>
            </w:pPr>
            <w:r>
              <w:rPr>
                <w:rFonts w:hint="eastAsia"/>
                <w:b/>
                <w:sz w:val="20"/>
                <w:highlight w:val="none"/>
              </w:rPr>
              <w:t>在投标文件中的页码位置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trPr>
        <w:tc>
          <w:tcPr>
            <w:tcW w:w="5520" w:type="dxa"/>
          </w:tcPr>
          <w:p>
            <w:pPr>
              <w:pStyle w:val="34"/>
              <w:rPr>
                <w:sz w:val="20"/>
                <w:highlight w:val="none"/>
              </w:rPr>
            </w:pPr>
          </w:p>
        </w:tc>
        <w:tc>
          <w:tcPr>
            <w:tcW w:w="1820" w:type="dxa"/>
          </w:tcPr>
          <w:p>
            <w:pPr>
              <w:pStyle w:val="34"/>
              <w:rPr>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5520" w:type="dxa"/>
          </w:tcPr>
          <w:p>
            <w:pPr>
              <w:pStyle w:val="34"/>
              <w:rPr>
                <w:sz w:val="20"/>
                <w:highlight w:val="none"/>
              </w:rPr>
            </w:pPr>
          </w:p>
        </w:tc>
        <w:tc>
          <w:tcPr>
            <w:tcW w:w="1820" w:type="dxa"/>
          </w:tcPr>
          <w:p>
            <w:pPr>
              <w:pStyle w:val="34"/>
              <w:rPr>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trPr>
        <w:tc>
          <w:tcPr>
            <w:tcW w:w="5520" w:type="dxa"/>
          </w:tcPr>
          <w:p>
            <w:pPr>
              <w:pStyle w:val="34"/>
              <w:rPr>
                <w:sz w:val="20"/>
                <w:highlight w:val="none"/>
              </w:rPr>
            </w:pPr>
          </w:p>
        </w:tc>
        <w:tc>
          <w:tcPr>
            <w:tcW w:w="1820" w:type="dxa"/>
          </w:tcPr>
          <w:p>
            <w:pPr>
              <w:pStyle w:val="34"/>
              <w:rPr>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 w:hRule="atLeast"/>
        </w:trPr>
        <w:tc>
          <w:tcPr>
            <w:tcW w:w="5520" w:type="dxa"/>
          </w:tcPr>
          <w:p>
            <w:pPr>
              <w:pStyle w:val="34"/>
              <w:rPr>
                <w:sz w:val="20"/>
                <w:highlight w:val="none"/>
              </w:rPr>
            </w:pPr>
          </w:p>
        </w:tc>
        <w:tc>
          <w:tcPr>
            <w:tcW w:w="1820" w:type="dxa"/>
          </w:tcPr>
          <w:p>
            <w:pPr>
              <w:pStyle w:val="34"/>
              <w:rPr>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trPr>
        <w:tc>
          <w:tcPr>
            <w:tcW w:w="5520" w:type="dxa"/>
          </w:tcPr>
          <w:p>
            <w:pPr>
              <w:pStyle w:val="34"/>
              <w:rPr>
                <w:sz w:val="20"/>
                <w:highlight w:val="none"/>
              </w:rPr>
            </w:pPr>
          </w:p>
        </w:tc>
        <w:tc>
          <w:tcPr>
            <w:tcW w:w="1820" w:type="dxa"/>
          </w:tcPr>
          <w:p>
            <w:pPr>
              <w:pStyle w:val="34"/>
              <w:rPr>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5520" w:type="dxa"/>
          </w:tcPr>
          <w:p>
            <w:pPr>
              <w:pStyle w:val="34"/>
              <w:rPr>
                <w:sz w:val="20"/>
                <w:highlight w:val="none"/>
              </w:rPr>
            </w:pPr>
          </w:p>
        </w:tc>
        <w:tc>
          <w:tcPr>
            <w:tcW w:w="1820" w:type="dxa"/>
          </w:tcPr>
          <w:p>
            <w:pPr>
              <w:pStyle w:val="34"/>
              <w:rPr>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trPr>
        <w:tc>
          <w:tcPr>
            <w:tcW w:w="5520" w:type="dxa"/>
          </w:tcPr>
          <w:p>
            <w:pPr>
              <w:pStyle w:val="34"/>
              <w:rPr>
                <w:sz w:val="20"/>
                <w:highlight w:val="none"/>
              </w:rPr>
            </w:pPr>
          </w:p>
        </w:tc>
        <w:tc>
          <w:tcPr>
            <w:tcW w:w="1820" w:type="dxa"/>
          </w:tcPr>
          <w:p>
            <w:pPr>
              <w:pStyle w:val="34"/>
              <w:rPr>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 w:hRule="atLeast"/>
        </w:trPr>
        <w:tc>
          <w:tcPr>
            <w:tcW w:w="5520" w:type="dxa"/>
          </w:tcPr>
          <w:p>
            <w:pPr>
              <w:pStyle w:val="34"/>
              <w:rPr>
                <w:sz w:val="20"/>
                <w:highlight w:val="none"/>
              </w:rPr>
            </w:pPr>
          </w:p>
        </w:tc>
        <w:tc>
          <w:tcPr>
            <w:tcW w:w="1820" w:type="dxa"/>
          </w:tcPr>
          <w:p>
            <w:pPr>
              <w:pStyle w:val="34"/>
              <w:rPr>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trPr>
        <w:tc>
          <w:tcPr>
            <w:tcW w:w="5520" w:type="dxa"/>
          </w:tcPr>
          <w:p>
            <w:pPr>
              <w:pStyle w:val="34"/>
              <w:rPr>
                <w:sz w:val="20"/>
                <w:highlight w:val="none"/>
              </w:rPr>
            </w:pPr>
          </w:p>
        </w:tc>
        <w:tc>
          <w:tcPr>
            <w:tcW w:w="1820" w:type="dxa"/>
          </w:tcPr>
          <w:p>
            <w:pPr>
              <w:pStyle w:val="34"/>
              <w:rPr>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5520" w:type="dxa"/>
          </w:tcPr>
          <w:p>
            <w:pPr>
              <w:pStyle w:val="34"/>
              <w:rPr>
                <w:sz w:val="20"/>
                <w:highlight w:val="none"/>
              </w:rPr>
            </w:pPr>
          </w:p>
        </w:tc>
        <w:tc>
          <w:tcPr>
            <w:tcW w:w="1820" w:type="dxa"/>
          </w:tcPr>
          <w:p>
            <w:pPr>
              <w:pStyle w:val="34"/>
              <w:rPr>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7" w:hRule="atLeast"/>
        </w:trPr>
        <w:tc>
          <w:tcPr>
            <w:tcW w:w="5520" w:type="dxa"/>
          </w:tcPr>
          <w:p>
            <w:pPr>
              <w:pStyle w:val="34"/>
              <w:rPr>
                <w:sz w:val="20"/>
                <w:highlight w:val="none"/>
              </w:rPr>
            </w:pPr>
          </w:p>
        </w:tc>
        <w:tc>
          <w:tcPr>
            <w:tcW w:w="1820" w:type="dxa"/>
          </w:tcPr>
          <w:p>
            <w:pPr>
              <w:pStyle w:val="34"/>
              <w:rPr>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 w:hRule="atLeast"/>
        </w:trPr>
        <w:tc>
          <w:tcPr>
            <w:tcW w:w="5520" w:type="dxa"/>
          </w:tcPr>
          <w:p>
            <w:pPr>
              <w:pStyle w:val="34"/>
              <w:rPr>
                <w:sz w:val="20"/>
                <w:highlight w:val="none"/>
              </w:rPr>
            </w:pPr>
          </w:p>
        </w:tc>
        <w:tc>
          <w:tcPr>
            <w:tcW w:w="1820" w:type="dxa"/>
          </w:tcPr>
          <w:p>
            <w:pPr>
              <w:pStyle w:val="34"/>
              <w:rPr>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trPr>
        <w:tc>
          <w:tcPr>
            <w:tcW w:w="5520" w:type="dxa"/>
          </w:tcPr>
          <w:p>
            <w:pPr>
              <w:pStyle w:val="34"/>
              <w:rPr>
                <w:sz w:val="20"/>
                <w:highlight w:val="none"/>
              </w:rPr>
            </w:pPr>
          </w:p>
        </w:tc>
        <w:tc>
          <w:tcPr>
            <w:tcW w:w="1820" w:type="dxa"/>
          </w:tcPr>
          <w:p>
            <w:pPr>
              <w:pStyle w:val="34"/>
              <w:rPr>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5520" w:type="dxa"/>
          </w:tcPr>
          <w:p>
            <w:pPr>
              <w:pStyle w:val="34"/>
              <w:rPr>
                <w:sz w:val="20"/>
                <w:highlight w:val="none"/>
              </w:rPr>
            </w:pPr>
          </w:p>
        </w:tc>
        <w:tc>
          <w:tcPr>
            <w:tcW w:w="1820" w:type="dxa"/>
          </w:tcPr>
          <w:p>
            <w:pPr>
              <w:pStyle w:val="34"/>
              <w:rPr>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trPr>
        <w:tc>
          <w:tcPr>
            <w:tcW w:w="5520" w:type="dxa"/>
          </w:tcPr>
          <w:p>
            <w:pPr>
              <w:pStyle w:val="34"/>
              <w:rPr>
                <w:sz w:val="20"/>
                <w:highlight w:val="none"/>
              </w:rPr>
            </w:pPr>
          </w:p>
        </w:tc>
        <w:tc>
          <w:tcPr>
            <w:tcW w:w="1820" w:type="dxa"/>
          </w:tcPr>
          <w:p>
            <w:pPr>
              <w:pStyle w:val="34"/>
              <w:rPr>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 w:hRule="atLeast"/>
        </w:trPr>
        <w:tc>
          <w:tcPr>
            <w:tcW w:w="5520" w:type="dxa"/>
          </w:tcPr>
          <w:p>
            <w:pPr>
              <w:pStyle w:val="34"/>
              <w:rPr>
                <w:sz w:val="20"/>
                <w:highlight w:val="none"/>
              </w:rPr>
            </w:pPr>
          </w:p>
        </w:tc>
        <w:tc>
          <w:tcPr>
            <w:tcW w:w="1820" w:type="dxa"/>
          </w:tcPr>
          <w:p>
            <w:pPr>
              <w:pStyle w:val="34"/>
              <w:rPr>
                <w:sz w:val="20"/>
                <w:highlight w:val="none"/>
              </w:rPr>
            </w:pPr>
          </w:p>
        </w:tc>
      </w:tr>
    </w:tbl>
    <w:p>
      <w:pPr>
        <w:rPr>
          <w:rFonts w:ascii="宋体" w:hAnsi="宋体" w:cs="宋体"/>
          <w:b/>
          <w:sz w:val="29"/>
          <w:highlight w:val="none"/>
        </w:rPr>
      </w:pPr>
    </w:p>
    <w:p>
      <w:pPr>
        <w:rPr>
          <w:rFonts w:ascii="宋体" w:hAnsi="宋体" w:cs="宋体"/>
          <w:b/>
          <w:sz w:val="29"/>
          <w:highlight w:val="none"/>
        </w:rPr>
      </w:pPr>
      <w:r>
        <w:rPr>
          <w:rFonts w:hint="eastAsia" w:ascii="宋体" w:hAnsi="宋体" w:cs="宋体"/>
          <w:b/>
          <w:sz w:val="29"/>
          <w:highlight w:val="none"/>
        </w:rPr>
        <w:br w:type="page"/>
      </w:r>
    </w:p>
    <w:p>
      <w:pPr>
        <w:spacing w:before="61" w:after="3"/>
        <w:ind w:left="24"/>
        <w:jc w:val="center"/>
        <w:outlineLvl w:val="0"/>
        <w:rPr>
          <w:rFonts w:ascii="宋体" w:hAnsi="宋体" w:cs="宋体"/>
          <w:b/>
          <w:sz w:val="29"/>
          <w:highlight w:val="none"/>
        </w:rPr>
      </w:pPr>
      <w:bookmarkStart w:id="146" w:name="_Toc2756"/>
      <w:bookmarkStart w:id="147" w:name="_Toc12768"/>
      <w:r>
        <w:rPr>
          <w:rFonts w:hint="eastAsia" w:ascii="宋体" w:hAnsi="宋体" w:cs="宋体"/>
          <w:b/>
          <w:sz w:val="29"/>
          <w:highlight w:val="none"/>
        </w:rPr>
        <w:t>评分索引表</w:t>
      </w:r>
      <w:bookmarkEnd w:id="146"/>
      <w:bookmarkEnd w:id="147"/>
    </w:p>
    <w:tbl>
      <w:tblPr>
        <w:tblStyle w:val="26"/>
        <w:tblW w:w="0" w:type="auto"/>
        <w:tblInd w:w="3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520"/>
        <w:gridCol w:w="1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8" w:hRule="atLeast"/>
        </w:trPr>
        <w:tc>
          <w:tcPr>
            <w:tcW w:w="5520" w:type="dxa"/>
          </w:tcPr>
          <w:p>
            <w:pPr>
              <w:pStyle w:val="34"/>
              <w:spacing w:before="122"/>
              <w:ind w:left="3256"/>
              <w:rPr>
                <w:b/>
                <w:sz w:val="20"/>
                <w:highlight w:val="none"/>
              </w:rPr>
            </w:pPr>
            <w:r>
              <w:rPr>
                <w:rFonts w:hint="eastAsia"/>
                <w:b/>
                <w:sz w:val="20"/>
                <w:highlight w:val="none"/>
              </w:rPr>
              <w:t>评分项目</w:t>
            </w:r>
          </w:p>
        </w:tc>
        <w:tc>
          <w:tcPr>
            <w:tcW w:w="1820" w:type="dxa"/>
          </w:tcPr>
          <w:p>
            <w:pPr>
              <w:pStyle w:val="34"/>
              <w:spacing w:before="4"/>
              <w:rPr>
                <w:b/>
                <w:sz w:val="20"/>
                <w:highlight w:val="none"/>
              </w:rPr>
            </w:pPr>
            <w:r>
              <w:rPr>
                <w:rFonts w:hint="eastAsia"/>
                <w:b/>
                <w:sz w:val="20"/>
                <w:highlight w:val="none"/>
              </w:rPr>
              <w:t>在投标文件中的页码位置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trPr>
        <w:tc>
          <w:tcPr>
            <w:tcW w:w="5520" w:type="dxa"/>
          </w:tcPr>
          <w:p>
            <w:pPr>
              <w:pStyle w:val="34"/>
              <w:rPr>
                <w:sz w:val="20"/>
                <w:highlight w:val="none"/>
              </w:rPr>
            </w:pPr>
          </w:p>
        </w:tc>
        <w:tc>
          <w:tcPr>
            <w:tcW w:w="1820" w:type="dxa"/>
          </w:tcPr>
          <w:p>
            <w:pPr>
              <w:pStyle w:val="34"/>
              <w:rPr>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5520" w:type="dxa"/>
          </w:tcPr>
          <w:p>
            <w:pPr>
              <w:pStyle w:val="34"/>
              <w:rPr>
                <w:sz w:val="20"/>
                <w:highlight w:val="none"/>
              </w:rPr>
            </w:pPr>
          </w:p>
        </w:tc>
        <w:tc>
          <w:tcPr>
            <w:tcW w:w="1820" w:type="dxa"/>
          </w:tcPr>
          <w:p>
            <w:pPr>
              <w:pStyle w:val="34"/>
              <w:rPr>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trPr>
        <w:tc>
          <w:tcPr>
            <w:tcW w:w="5520" w:type="dxa"/>
          </w:tcPr>
          <w:p>
            <w:pPr>
              <w:pStyle w:val="34"/>
              <w:rPr>
                <w:sz w:val="20"/>
                <w:highlight w:val="none"/>
              </w:rPr>
            </w:pPr>
          </w:p>
        </w:tc>
        <w:tc>
          <w:tcPr>
            <w:tcW w:w="1820" w:type="dxa"/>
          </w:tcPr>
          <w:p>
            <w:pPr>
              <w:pStyle w:val="34"/>
              <w:rPr>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8" w:hRule="atLeast"/>
        </w:trPr>
        <w:tc>
          <w:tcPr>
            <w:tcW w:w="5520" w:type="dxa"/>
          </w:tcPr>
          <w:p>
            <w:pPr>
              <w:pStyle w:val="34"/>
              <w:rPr>
                <w:sz w:val="20"/>
                <w:highlight w:val="none"/>
              </w:rPr>
            </w:pPr>
          </w:p>
        </w:tc>
        <w:tc>
          <w:tcPr>
            <w:tcW w:w="1820" w:type="dxa"/>
          </w:tcPr>
          <w:p>
            <w:pPr>
              <w:pStyle w:val="34"/>
              <w:rPr>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6" w:hRule="atLeast"/>
        </w:trPr>
        <w:tc>
          <w:tcPr>
            <w:tcW w:w="5520" w:type="dxa"/>
          </w:tcPr>
          <w:p>
            <w:pPr>
              <w:pStyle w:val="34"/>
              <w:rPr>
                <w:sz w:val="20"/>
                <w:highlight w:val="none"/>
              </w:rPr>
            </w:pPr>
          </w:p>
        </w:tc>
        <w:tc>
          <w:tcPr>
            <w:tcW w:w="1820" w:type="dxa"/>
          </w:tcPr>
          <w:p>
            <w:pPr>
              <w:pStyle w:val="34"/>
              <w:rPr>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00" w:hRule="atLeast"/>
        </w:trPr>
        <w:tc>
          <w:tcPr>
            <w:tcW w:w="5520" w:type="dxa"/>
          </w:tcPr>
          <w:p>
            <w:pPr>
              <w:pStyle w:val="34"/>
              <w:rPr>
                <w:sz w:val="20"/>
                <w:highlight w:val="none"/>
              </w:rPr>
            </w:pPr>
          </w:p>
        </w:tc>
        <w:tc>
          <w:tcPr>
            <w:tcW w:w="1820" w:type="dxa"/>
          </w:tcPr>
          <w:p>
            <w:pPr>
              <w:pStyle w:val="34"/>
              <w:rPr>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82" w:hRule="atLeast"/>
        </w:trPr>
        <w:tc>
          <w:tcPr>
            <w:tcW w:w="5520" w:type="dxa"/>
          </w:tcPr>
          <w:p>
            <w:pPr>
              <w:pStyle w:val="34"/>
              <w:rPr>
                <w:sz w:val="20"/>
                <w:highlight w:val="none"/>
              </w:rPr>
            </w:pPr>
          </w:p>
        </w:tc>
        <w:tc>
          <w:tcPr>
            <w:tcW w:w="1820" w:type="dxa"/>
          </w:tcPr>
          <w:p>
            <w:pPr>
              <w:pStyle w:val="34"/>
              <w:rPr>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8" w:hRule="atLeast"/>
        </w:trPr>
        <w:tc>
          <w:tcPr>
            <w:tcW w:w="5520" w:type="dxa"/>
          </w:tcPr>
          <w:p>
            <w:pPr>
              <w:pStyle w:val="34"/>
              <w:rPr>
                <w:sz w:val="20"/>
                <w:highlight w:val="none"/>
              </w:rPr>
            </w:pPr>
          </w:p>
        </w:tc>
        <w:tc>
          <w:tcPr>
            <w:tcW w:w="1820" w:type="dxa"/>
          </w:tcPr>
          <w:p>
            <w:pPr>
              <w:pStyle w:val="34"/>
              <w:rPr>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6" w:hRule="atLeast"/>
        </w:trPr>
        <w:tc>
          <w:tcPr>
            <w:tcW w:w="5520" w:type="dxa"/>
          </w:tcPr>
          <w:p>
            <w:pPr>
              <w:pStyle w:val="34"/>
              <w:rPr>
                <w:sz w:val="20"/>
                <w:highlight w:val="none"/>
              </w:rPr>
            </w:pPr>
          </w:p>
        </w:tc>
        <w:tc>
          <w:tcPr>
            <w:tcW w:w="1820" w:type="dxa"/>
          </w:tcPr>
          <w:p>
            <w:pPr>
              <w:pStyle w:val="34"/>
              <w:rPr>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00" w:hRule="atLeast"/>
        </w:trPr>
        <w:tc>
          <w:tcPr>
            <w:tcW w:w="5520" w:type="dxa"/>
          </w:tcPr>
          <w:p>
            <w:pPr>
              <w:pStyle w:val="34"/>
              <w:rPr>
                <w:sz w:val="20"/>
                <w:highlight w:val="none"/>
              </w:rPr>
            </w:pPr>
          </w:p>
        </w:tc>
        <w:tc>
          <w:tcPr>
            <w:tcW w:w="1820" w:type="dxa"/>
          </w:tcPr>
          <w:p>
            <w:pPr>
              <w:pStyle w:val="34"/>
              <w:rPr>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7" w:hRule="atLeast"/>
        </w:trPr>
        <w:tc>
          <w:tcPr>
            <w:tcW w:w="5520" w:type="dxa"/>
          </w:tcPr>
          <w:p>
            <w:pPr>
              <w:pStyle w:val="34"/>
              <w:rPr>
                <w:sz w:val="20"/>
                <w:highlight w:val="none"/>
              </w:rPr>
            </w:pPr>
          </w:p>
        </w:tc>
        <w:tc>
          <w:tcPr>
            <w:tcW w:w="1820" w:type="dxa"/>
          </w:tcPr>
          <w:p>
            <w:pPr>
              <w:pStyle w:val="34"/>
              <w:rPr>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8" w:hRule="atLeast"/>
        </w:trPr>
        <w:tc>
          <w:tcPr>
            <w:tcW w:w="5520" w:type="dxa"/>
          </w:tcPr>
          <w:p>
            <w:pPr>
              <w:pStyle w:val="34"/>
              <w:rPr>
                <w:sz w:val="20"/>
                <w:highlight w:val="none"/>
              </w:rPr>
            </w:pPr>
          </w:p>
        </w:tc>
        <w:tc>
          <w:tcPr>
            <w:tcW w:w="1820" w:type="dxa"/>
          </w:tcPr>
          <w:p>
            <w:pPr>
              <w:pStyle w:val="34"/>
              <w:rPr>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6" w:hRule="atLeast"/>
        </w:trPr>
        <w:tc>
          <w:tcPr>
            <w:tcW w:w="5520" w:type="dxa"/>
          </w:tcPr>
          <w:p>
            <w:pPr>
              <w:pStyle w:val="34"/>
              <w:rPr>
                <w:sz w:val="20"/>
                <w:highlight w:val="none"/>
              </w:rPr>
            </w:pPr>
          </w:p>
        </w:tc>
        <w:tc>
          <w:tcPr>
            <w:tcW w:w="1820" w:type="dxa"/>
          </w:tcPr>
          <w:p>
            <w:pPr>
              <w:pStyle w:val="34"/>
              <w:rPr>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00" w:hRule="atLeast"/>
        </w:trPr>
        <w:tc>
          <w:tcPr>
            <w:tcW w:w="5520" w:type="dxa"/>
          </w:tcPr>
          <w:p>
            <w:pPr>
              <w:pStyle w:val="34"/>
              <w:rPr>
                <w:sz w:val="20"/>
                <w:highlight w:val="none"/>
              </w:rPr>
            </w:pPr>
          </w:p>
        </w:tc>
        <w:tc>
          <w:tcPr>
            <w:tcW w:w="1820" w:type="dxa"/>
          </w:tcPr>
          <w:p>
            <w:pPr>
              <w:pStyle w:val="34"/>
              <w:rPr>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6" w:hRule="atLeast"/>
        </w:trPr>
        <w:tc>
          <w:tcPr>
            <w:tcW w:w="5520" w:type="dxa"/>
          </w:tcPr>
          <w:p>
            <w:pPr>
              <w:pStyle w:val="34"/>
              <w:rPr>
                <w:sz w:val="20"/>
                <w:highlight w:val="none"/>
              </w:rPr>
            </w:pPr>
          </w:p>
        </w:tc>
        <w:tc>
          <w:tcPr>
            <w:tcW w:w="1820" w:type="dxa"/>
          </w:tcPr>
          <w:p>
            <w:pPr>
              <w:pStyle w:val="34"/>
              <w:rPr>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8" w:hRule="atLeast"/>
        </w:trPr>
        <w:tc>
          <w:tcPr>
            <w:tcW w:w="5520" w:type="dxa"/>
          </w:tcPr>
          <w:p>
            <w:pPr>
              <w:pStyle w:val="34"/>
              <w:rPr>
                <w:sz w:val="20"/>
                <w:highlight w:val="none"/>
              </w:rPr>
            </w:pPr>
          </w:p>
        </w:tc>
        <w:tc>
          <w:tcPr>
            <w:tcW w:w="1820" w:type="dxa"/>
          </w:tcPr>
          <w:p>
            <w:pPr>
              <w:pStyle w:val="34"/>
              <w:rPr>
                <w:sz w:val="20"/>
                <w:highlight w:val="none"/>
              </w:rPr>
            </w:pPr>
          </w:p>
        </w:tc>
      </w:tr>
    </w:tbl>
    <w:p>
      <w:pPr>
        <w:rPr>
          <w:rFonts w:ascii="宋体" w:hAnsi="宋体" w:cs="宋体"/>
          <w:sz w:val="28"/>
          <w:highlight w:val="none"/>
          <w:u w:val="single"/>
        </w:rPr>
      </w:pPr>
    </w:p>
    <w:p>
      <w:pPr>
        <w:rPr>
          <w:rFonts w:ascii="宋体" w:hAnsi="宋体" w:cs="宋体"/>
          <w:sz w:val="28"/>
          <w:highlight w:val="none"/>
          <w:u w:val="single"/>
        </w:rPr>
      </w:pPr>
      <w:r>
        <w:rPr>
          <w:rFonts w:hint="eastAsia" w:ascii="宋体" w:hAnsi="宋体" w:cs="宋体"/>
          <w:sz w:val="28"/>
          <w:highlight w:val="none"/>
          <w:u w:val="single"/>
        </w:rPr>
        <w:br w:type="page"/>
      </w:r>
    </w:p>
    <w:p>
      <w:pPr>
        <w:jc w:val="center"/>
        <w:rPr>
          <w:rFonts w:ascii="宋体" w:hAnsi="宋体" w:cs="宋体"/>
          <w:sz w:val="28"/>
          <w:highlight w:val="none"/>
          <w:u w:val="single"/>
        </w:rPr>
      </w:pPr>
    </w:p>
    <w:p>
      <w:pPr>
        <w:jc w:val="center"/>
        <w:rPr>
          <w:rFonts w:ascii="宋体" w:hAnsi="宋体" w:cs="宋体"/>
          <w:sz w:val="28"/>
          <w:highlight w:val="none"/>
          <w:u w:val="single"/>
        </w:rPr>
      </w:pPr>
    </w:p>
    <w:p>
      <w:pPr>
        <w:jc w:val="center"/>
        <w:rPr>
          <w:rFonts w:ascii="宋体" w:hAnsi="宋体" w:cs="宋体"/>
          <w:sz w:val="28"/>
          <w:highlight w:val="none"/>
          <w:u w:val="single"/>
        </w:rPr>
      </w:pPr>
    </w:p>
    <w:p>
      <w:pPr>
        <w:jc w:val="center"/>
        <w:rPr>
          <w:rFonts w:ascii="宋体" w:hAnsi="宋体" w:cs="宋体"/>
          <w:sz w:val="28"/>
          <w:highlight w:val="none"/>
          <w:u w:val="single"/>
        </w:rPr>
      </w:pPr>
    </w:p>
    <w:p>
      <w:pPr>
        <w:jc w:val="center"/>
        <w:rPr>
          <w:rFonts w:ascii="宋体" w:hAnsi="宋体" w:cs="宋体"/>
          <w:sz w:val="28"/>
          <w:highlight w:val="none"/>
          <w:u w:val="single"/>
        </w:rPr>
      </w:pPr>
    </w:p>
    <w:p>
      <w:pPr>
        <w:jc w:val="center"/>
        <w:rPr>
          <w:rFonts w:ascii="宋体" w:hAnsi="宋体" w:cs="宋体"/>
          <w:sz w:val="28"/>
          <w:highlight w:val="none"/>
          <w:u w:val="single"/>
        </w:rPr>
      </w:pPr>
    </w:p>
    <w:p>
      <w:pPr>
        <w:jc w:val="center"/>
        <w:rPr>
          <w:rFonts w:ascii="宋体" w:hAnsi="宋体" w:cs="宋体"/>
          <w:sz w:val="28"/>
          <w:highlight w:val="none"/>
          <w:u w:val="single"/>
        </w:rPr>
      </w:pPr>
    </w:p>
    <w:p>
      <w:pPr>
        <w:jc w:val="center"/>
        <w:rPr>
          <w:rFonts w:ascii="宋体" w:hAnsi="宋体" w:cs="宋体"/>
          <w:sz w:val="28"/>
          <w:highlight w:val="none"/>
          <w:u w:val="single"/>
        </w:rPr>
      </w:pPr>
    </w:p>
    <w:p>
      <w:pPr>
        <w:jc w:val="center"/>
        <w:outlineLvl w:val="0"/>
        <w:rPr>
          <w:rFonts w:ascii="宋体" w:hAnsi="宋体" w:cs="宋体"/>
          <w:sz w:val="28"/>
          <w:highlight w:val="none"/>
        </w:rPr>
      </w:pPr>
      <w:bookmarkStart w:id="148" w:name="_Toc18638"/>
      <w:bookmarkStart w:id="149" w:name="_Toc21019"/>
      <w:r>
        <w:rPr>
          <w:rFonts w:hint="eastAsia" w:ascii="宋体" w:hAnsi="宋体" w:cs="宋体"/>
          <w:sz w:val="28"/>
          <w:highlight w:val="none"/>
          <w:u w:val="single"/>
        </w:rPr>
        <w:t>（项目名称）</w:t>
      </w:r>
      <w:r>
        <w:rPr>
          <w:rFonts w:hint="eastAsia" w:ascii="宋体" w:hAnsi="宋体" w:cs="宋体"/>
          <w:sz w:val="28"/>
          <w:highlight w:val="none"/>
        </w:rPr>
        <w:t>施工招标</w:t>
      </w:r>
      <w:bookmarkEnd w:id="148"/>
      <w:bookmarkEnd w:id="149"/>
    </w:p>
    <w:p>
      <w:pPr>
        <w:rPr>
          <w:rFonts w:ascii="宋体" w:hAnsi="宋体" w:cs="宋体"/>
          <w:sz w:val="20"/>
          <w:highlight w:val="none"/>
        </w:rPr>
      </w:pPr>
    </w:p>
    <w:p>
      <w:pPr>
        <w:rPr>
          <w:rFonts w:ascii="宋体" w:hAnsi="宋体" w:cs="宋体"/>
          <w:sz w:val="20"/>
          <w:highlight w:val="none"/>
        </w:rPr>
      </w:pPr>
    </w:p>
    <w:p>
      <w:pPr>
        <w:jc w:val="center"/>
        <w:rPr>
          <w:rFonts w:ascii="宋体" w:hAnsi="宋体" w:cs="宋体"/>
          <w:sz w:val="44"/>
          <w:highlight w:val="none"/>
        </w:rPr>
      </w:pPr>
      <w:r>
        <w:rPr>
          <w:rFonts w:hint="eastAsia" w:ascii="宋体" w:hAnsi="宋体" w:cs="宋体"/>
          <w:sz w:val="44"/>
          <w:highlight w:val="none"/>
        </w:rPr>
        <w:t>投  标  文  件</w:t>
      </w:r>
    </w:p>
    <w:p>
      <w:pPr>
        <w:rPr>
          <w:rFonts w:ascii="宋体" w:hAnsi="宋体" w:cs="宋体"/>
          <w:sz w:val="28"/>
          <w:highlight w:val="none"/>
        </w:rPr>
      </w:pPr>
    </w:p>
    <w:p>
      <w:pPr>
        <w:rPr>
          <w:rFonts w:ascii="宋体" w:hAnsi="宋体" w:cs="宋体"/>
          <w:sz w:val="28"/>
          <w:highlight w:val="none"/>
        </w:rPr>
      </w:pPr>
    </w:p>
    <w:p>
      <w:pPr>
        <w:rPr>
          <w:rFonts w:ascii="宋体" w:hAnsi="宋体" w:cs="宋体"/>
          <w:sz w:val="28"/>
          <w:highlight w:val="none"/>
        </w:rPr>
      </w:pPr>
    </w:p>
    <w:p>
      <w:pPr>
        <w:rPr>
          <w:rFonts w:ascii="宋体" w:hAnsi="宋体" w:cs="宋体"/>
          <w:sz w:val="28"/>
          <w:highlight w:val="none"/>
        </w:rPr>
      </w:pPr>
    </w:p>
    <w:p>
      <w:pPr>
        <w:rPr>
          <w:rFonts w:ascii="宋体" w:hAnsi="宋体" w:cs="宋体"/>
          <w:sz w:val="28"/>
          <w:highlight w:val="none"/>
        </w:rPr>
      </w:pPr>
    </w:p>
    <w:p>
      <w:pPr>
        <w:rPr>
          <w:rFonts w:ascii="宋体" w:hAnsi="宋体" w:cs="宋体"/>
          <w:sz w:val="28"/>
          <w:highlight w:val="none"/>
        </w:rPr>
      </w:pPr>
    </w:p>
    <w:p>
      <w:pPr>
        <w:rPr>
          <w:rFonts w:ascii="宋体" w:hAnsi="宋体" w:cs="宋体"/>
          <w:sz w:val="28"/>
          <w:highlight w:val="none"/>
        </w:rPr>
      </w:pPr>
    </w:p>
    <w:p>
      <w:pPr>
        <w:rPr>
          <w:rFonts w:ascii="宋体" w:hAnsi="宋体" w:cs="宋体"/>
          <w:sz w:val="28"/>
          <w:highlight w:val="none"/>
        </w:rPr>
      </w:pPr>
    </w:p>
    <w:p>
      <w:pPr>
        <w:rPr>
          <w:rFonts w:ascii="宋体" w:hAnsi="宋体" w:cs="宋体"/>
          <w:sz w:val="28"/>
          <w:highlight w:val="none"/>
        </w:rPr>
      </w:pPr>
    </w:p>
    <w:p>
      <w:pPr>
        <w:rPr>
          <w:rFonts w:ascii="宋体" w:hAnsi="宋体" w:cs="宋体"/>
          <w:sz w:val="28"/>
          <w:highlight w:val="none"/>
        </w:rPr>
      </w:pPr>
    </w:p>
    <w:p>
      <w:pPr>
        <w:rPr>
          <w:rFonts w:ascii="宋体" w:hAnsi="宋体" w:cs="宋体"/>
          <w:sz w:val="28"/>
          <w:highlight w:val="none"/>
        </w:rPr>
      </w:pPr>
      <w:r>
        <w:rPr>
          <w:rFonts w:hint="eastAsia" w:ascii="宋体" w:hAnsi="宋体" w:cs="宋体"/>
          <w:sz w:val="28"/>
          <w:highlight w:val="none"/>
        </w:rPr>
        <w:t xml:space="preserve">            标段：</w:t>
      </w:r>
    </w:p>
    <w:p>
      <w:pPr>
        <w:ind w:firstLine="1680" w:firstLineChars="600"/>
        <w:rPr>
          <w:rFonts w:ascii="宋体" w:hAnsi="宋体" w:cs="宋体"/>
          <w:sz w:val="28"/>
          <w:highlight w:val="none"/>
          <w:u w:val="single"/>
        </w:rPr>
      </w:pPr>
      <w:r>
        <w:rPr>
          <w:rFonts w:hint="eastAsia" w:ascii="宋体" w:hAnsi="宋体" w:cs="宋体"/>
          <w:sz w:val="28"/>
          <w:highlight w:val="none"/>
        </w:rPr>
        <w:t>投标人：</w:t>
      </w:r>
    </w:p>
    <w:p>
      <w:pPr>
        <w:ind w:firstLine="1680" w:firstLineChars="600"/>
        <w:rPr>
          <w:rFonts w:ascii="宋体" w:hAnsi="宋体" w:cs="宋体"/>
          <w:sz w:val="28"/>
          <w:highlight w:val="none"/>
        </w:rPr>
      </w:pPr>
      <w:r>
        <w:rPr>
          <w:rFonts w:hint="eastAsia" w:ascii="宋体" w:hAnsi="宋体" w:cs="宋体"/>
          <w:sz w:val="28"/>
          <w:highlight w:val="none"/>
        </w:rPr>
        <w:t>法定代表人或其委托代理人：</w:t>
      </w:r>
    </w:p>
    <w:p>
      <w:pPr>
        <w:jc w:val="center"/>
        <w:outlineLvl w:val="0"/>
        <w:rPr>
          <w:rFonts w:ascii="宋体" w:hAnsi="宋体" w:cs="宋体"/>
          <w:sz w:val="28"/>
          <w:highlight w:val="none"/>
        </w:rPr>
      </w:pPr>
      <w:bookmarkStart w:id="150" w:name="_Toc7435"/>
      <w:bookmarkStart w:id="151" w:name="_Toc14193"/>
      <w:r>
        <w:rPr>
          <w:rFonts w:hint="eastAsia" w:ascii="宋体" w:hAnsi="宋体" w:cs="宋体"/>
          <w:sz w:val="28"/>
          <w:highlight w:val="none"/>
        </w:rPr>
        <w:t>年月日</w:t>
      </w:r>
      <w:bookmarkEnd w:id="150"/>
      <w:bookmarkEnd w:id="151"/>
    </w:p>
    <w:p>
      <w:pPr>
        <w:spacing w:line="440" w:lineRule="exact"/>
        <w:rPr>
          <w:rFonts w:ascii="宋体" w:hAnsi="宋体" w:cs="宋体"/>
          <w:sz w:val="20"/>
          <w:highlight w:val="none"/>
        </w:rPr>
      </w:pPr>
    </w:p>
    <w:p>
      <w:pPr>
        <w:spacing w:line="400" w:lineRule="exact"/>
        <w:rPr>
          <w:rFonts w:ascii="宋体" w:hAnsi="宋体" w:cs="宋体"/>
          <w:highlight w:val="none"/>
        </w:rPr>
      </w:pPr>
      <w:r>
        <w:rPr>
          <w:rFonts w:hint="eastAsia" w:ascii="宋体" w:hAnsi="宋体" w:cs="宋体"/>
          <w:highlight w:val="none"/>
        </w:rPr>
        <w:br w:type="page"/>
      </w:r>
    </w:p>
    <w:p>
      <w:pPr>
        <w:pStyle w:val="35"/>
        <w:jc w:val="center"/>
        <w:rPr>
          <w:rFonts w:ascii="宋体" w:hAnsi="宋体" w:eastAsia="宋体" w:cs="宋体"/>
          <w:highlight w:val="none"/>
        </w:rPr>
      </w:pPr>
      <w:bookmarkStart w:id="152" w:name="_Toc390413377"/>
      <w:bookmarkStart w:id="153" w:name="_Toc416273943"/>
      <w:bookmarkStart w:id="154" w:name="_Toc144974856"/>
      <w:bookmarkStart w:id="155" w:name="_Toc227984075"/>
      <w:bookmarkStart w:id="156" w:name="_Toc152042576"/>
      <w:bookmarkStart w:id="157" w:name="_Toc152045787"/>
      <w:bookmarkStart w:id="158" w:name="_Toc416273854"/>
      <w:bookmarkStart w:id="159" w:name="_Toc451622423"/>
      <w:bookmarkStart w:id="160" w:name="_Toc482980312"/>
      <w:r>
        <w:rPr>
          <w:rFonts w:hint="eastAsia" w:ascii="宋体" w:hAnsi="宋体" w:eastAsia="宋体" w:cs="宋体"/>
          <w:highlight w:val="none"/>
        </w:rPr>
        <w:t>目    录</w:t>
      </w:r>
      <w:bookmarkEnd w:id="152"/>
      <w:bookmarkEnd w:id="153"/>
      <w:bookmarkEnd w:id="154"/>
      <w:bookmarkEnd w:id="155"/>
      <w:bookmarkEnd w:id="156"/>
      <w:bookmarkEnd w:id="157"/>
      <w:bookmarkEnd w:id="158"/>
      <w:bookmarkEnd w:id="159"/>
      <w:bookmarkEnd w:id="160"/>
    </w:p>
    <w:p>
      <w:pPr>
        <w:spacing w:line="540" w:lineRule="exact"/>
        <w:rPr>
          <w:rFonts w:ascii="宋体" w:hAnsi="宋体" w:cs="宋体"/>
          <w:highlight w:val="none"/>
        </w:rPr>
      </w:pPr>
    </w:p>
    <w:p>
      <w:pPr>
        <w:spacing w:line="540" w:lineRule="exact"/>
        <w:outlineLvl w:val="0"/>
        <w:rPr>
          <w:rFonts w:ascii="宋体" w:hAnsi="宋体" w:cs="宋体"/>
          <w:highlight w:val="none"/>
        </w:rPr>
      </w:pPr>
      <w:bookmarkStart w:id="161" w:name="_Toc30086"/>
      <w:bookmarkStart w:id="162" w:name="_Toc8951"/>
      <w:r>
        <w:rPr>
          <w:rFonts w:hint="eastAsia" w:ascii="宋体" w:hAnsi="宋体" w:cs="宋体"/>
          <w:highlight w:val="none"/>
        </w:rPr>
        <w:t>一、投标函及投标函附录</w:t>
      </w:r>
      <w:bookmarkEnd w:id="161"/>
      <w:bookmarkEnd w:id="162"/>
    </w:p>
    <w:p>
      <w:pPr>
        <w:spacing w:line="540" w:lineRule="exact"/>
        <w:outlineLvl w:val="0"/>
        <w:rPr>
          <w:rFonts w:ascii="宋体" w:hAnsi="宋体" w:cs="宋体"/>
          <w:highlight w:val="none"/>
        </w:rPr>
      </w:pPr>
      <w:bookmarkStart w:id="163" w:name="_Toc25867"/>
      <w:bookmarkStart w:id="164" w:name="_Toc19360"/>
      <w:r>
        <w:rPr>
          <w:rFonts w:hint="eastAsia" w:ascii="宋体" w:hAnsi="宋体" w:cs="宋体"/>
          <w:highlight w:val="none"/>
        </w:rPr>
        <w:t>二、法定代表人身份证明和授权委托书</w:t>
      </w:r>
      <w:bookmarkEnd w:id="163"/>
      <w:bookmarkEnd w:id="164"/>
    </w:p>
    <w:p>
      <w:pPr>
        <w:spacing w:line="540" w:lineRule="exact"/>
        <w:outlineLvl w:val="0"/>
        <w:rPr>
          <w:rFonts w:ascii="宋体" w:hAnsi="宋体" w:cs="宋体"/>
          <w:highlight w:val="none"/>
        </w:rPr>
      </w:pPr>
      <w:bookmarkStart w:id="165" w:name="_Toc18527"/>
      <w:bookmarkStart w:id="166" w:name="_Toc20492"/>
      <w:r>
        <w:rPr>
          <w:rFonts w:hint="eastAsia" w:ascii="宋体" w:hAnsi="宋体" w:cs="宋体"/>
          <w:highlight w:val="none"/>
        </w:rPr>
        <w:t>三、投标保证金</w:t>
      </w:r>
      <w:bookmarkEnd w:id="165"/>
      <w:bookmarkEnd w:id="166"/>
    </w:p>
    <w:p>
      <w:pPr>
        <w:spacing w:line="540" w:lineRule="exact"/>
        <w:outlineLvl w:val="0"/>
        <w:rPr>
          <w:rFonts w:ascii="宋体" w:hAnsi="宋体" w:cs="宋体"/>
          <w:highlight w:val="none"/>
        </w:rPr>
      </w:pPr>
      <w:bookmarkStart w:id="167" w:name="_Toc32190"/>
      <w:bookmarkStart w:id="168" w:name="_Toc15339"/>
      <w:r>
        <w:rPr>
          <w:rFonts w:hint="eastAsia" w:ascii="宋体" w:hAnsi="宋体" w:cs="宋体"/>
          <w:highlight w:val="none"/>
        </w:rPr>
        <w:t>四、已标价工程量清单</w:t>
      </w:r>
      <w:bookmarkEnd w:id="167"/>
      <w:bookmarkEnd w:id="168"/>
    </w:p>
    <w:p>
      <w:pPr>
        <w:spacing w:line="540" w:lineRule="exact"/>
        <w:outlineLvl w:val="0"/>
        <w:rPr>
          <w:rFonts w:ascii="宋体" w:hAnsi="宋体" w:cs="宋体"/>
          <w:highlight w:val="none"/>
        </w:rPr>
      </w:pPr>
      <w:bookmarkStart w:id="169" w:name="_Toc24885"/>
      <w:bookmarkStart w:id="170" w:name="_Toc12059"/>
      <w:r>
        <w:rPr>
          <w:rFonts w:hint="eastAsia" w:ascii="宋体" w:hAnsi="宋体" w:cs="宋体"/>
          <w:highlight w:val="none"/>
        </w:rPr>
        <w:t>五、施工组织设计</w:t>
      </w:r>
      <w:bookmarkEnd w:id="169"/>
      <w:bookmarkEnd w:id="170"/>
    </w:p>
    <w:p>
      <w:pPr>
        <w:spacing w:line="540" w:lineRule="exact"/>
        <w:outlineLvl w:val="0"/>
        <w:rPr>
          <w:rFonts w:ascii="宋体" w:hAnsi="宋体" w:cs="宋体"/>
          <w:highlight w:val="none"/>
        </w:rPr>
      </w:pPr>
      <w:bookmarkStart w:id="171" w:name="_Toc1818"/>
      <w:bookmarkStart w:id="172" w:name="_Toc2685"/>
      <w:r>
        <w:rPr>
          <w:rFonts w:hint="eastAsia" w:ascii="宋体" w:hAnsi="宋体" w:cs="宋体"/>
          <w:highlight w:val="none"/>
        </w:rPr>
        <w:t>六、项目管理机构</w:t>
      </w:r>
      <w:bookmarkEnd w:id="171"/>
      <w:bookmarkEnd w:id="172"/>
    </w:p>
    <w:p>
      <w:pPr>
        <w:spacing w:line="540" w:lineRule="exact"/>
        <w:outlineLvl w:val="0"/>
        <w:rPr>
          <w:rFonts w:ascii="宋体" w:hAnsi="宋体" w:cs="宋体"/>
          <w:highlight w:val="none"/>
        </w:rPr>
      </w:pPr>
      <w:bookmarkStart w:id="173" w:name="_Toc8895"/>
      <w:bookmarkStart w:id="174" w:name="_Toc15923"/>
      <w:r>
        <w:rPr>
          <w:rFonts w:hint="eastAsia" w:ascii="宋体" w:hAnsi="宋体" w:cs="宋体"/>
          <w:highlight w:val="none"/>
        </w:rPr>
        <w:t>七、拟分包项目情况表</w:t>
      </w:r>
      <w:bookmarkEnd w:id="173"/>
      <w:bookmarkEnd w:id="174"/>
    </w:p>
    <w:p>
      <w:pPr>
        <w:spacing w:line="540" w:lineRule="exact"/>
        <w:outlineLvl w:val="0"/>
        <w:rPr>
          <w:rFonts w:ascii="宋体" w:hAnsi="宋体" w:cs="宋体"/>
          <w:highlight w:val="none"/>
        </w:rPr>
      </w:pPr>
      <w:bookmarkStart w:id="175" w:name="_Toc27976"/>
      <w:bookmarkStart w:id="176" w:name="_Toc25454"/>
      <w:r>
        <w:rPr>
          <w:rFonts w:hint="eastAsia" w:ascii="宋体" w:hAnsi="宋体" w:cs="宋体"/>
          <w:highlight w:val="none"/>
        </w:rPr>
        <w:t>八、资格审查资料</w:t>
      </w:r>
      <w:bookmarkEnd w:id="175"/>
      <w:bookmarkEnd w:id="176"/>
    </w:p>
    <w:p>
      <w:pPr>
        <w:spacing w:line="540" w:lineRule="exact"/>
        <w:outlineLvl w:val="0"/>
        <w:rPr>
          <w:rFonts w:ascii="宋体" w:hAnsi="宋体" w:cs="宋体"/>
          <w:highlight w:val="none"/>
        </w:rPr>
      </w:pPr>
      <w:bookmarkStart w:id="177" w:name="_Toc9458"/>
      <w:bookmarkStart w:id="178" w:name="_Toc15575"/>
      <w:r>
        <w:rPr>
          <w:rFonts w:hint="eastAsia" w:ascii="宋体" w:hAnsi="宋体" w:cs="宋体"/>
          <w:highlight w:val="none"/>
        </w:rPr>
        <w:t>九、其他材料</w:t>
      </w:r>
      <w:bookmarkEnd w:id="177"/>
      <w:bookmarkEnd w:id="178"/>
    </w:p>
    <w:p>
      <w:pPr>
        <w:spacing w:line="540" w:lineRule="exact"/>
        <w:rPr>
          <w:rFonts w:ascii="宋体" w:hAnsi="宋体" w:cs="宋体"/>
          <w:highlight w:val="none"/>
        </w:rPr>
      </w:pPr>
    </w:p>
    <w:p>
      <w:pPr>
        <w:spacing w:line="540" w:lineRule="exact"/>
        <w:jc w:val="center"/>
        <w:outlineLvl w:val="0"/>
        <w:rPr>
          <w:rFonts w:ascii="宋体" w:hAnsi="宋体" w:cs="宋体"/>
          <w:highlight w:val="none"/>
        </w:rPr>
      </w:pPr>
      <w:r>
        <w:rPr>
          <w:rFonts w:hint="eastAsia" w:ascii="宋体" w:hAnsi="宋体" w:cs="宋体"/>
          <w:highlight w:val="none"/>
        </w:rPr>
        <w:br w:type="page"/>
      </w:r>
      <w:bookmarkStart w:id="179" w:name="_Toc227984076"/>
      <w:bookmarkStart w:id="180" w:name="_Toc30399"/>
      <w:bookmarkStart w:id="181" w:name="_Toc144974857"/>
      <w:bookmarkStart w:id="182" w:name="_Toc390413378"/>
      <w:bookmarkStart w:id="183" w:name="_Toc152045788"/>
      <w:bookmarkStart w:id="184" w:name="_Toc10510"/>
      <w:bookmarkStart w:id="185" w:name="_Toc152042577"/>
      <w:r>
        <w:rPr>
          <w:rFonts w:hint="eastAsia" w:ascii="宋体" w:hAnsi="宋体" w:cs="宋体"/>
          <w:b/>
          <w:bCs/>
          <w:highlight w:val="none"/>
        </w:rPr>
        <w:t>一、投标函及投标函附录</w:t>
      </w:r>
      <w:bookmarkEnd w:id="179"/>
      <w:bookmarkEnd w:id="180"/>
      <w:bookmarkEnd w:id="181"/>
      <w:bookmarkEnd w:id="182"/>
      <w:bookmarkEnd w:id="183"/>
      <w:bookmarkEnd w:id="184"/>
      <w:bookmarkEnd w:id="185"/>
    </w:p>
    <w:p>
      <w:pPr>
        <w:pStyle w:val="18"/>
        <w:rPr>
          <w:rFonts w:hAnsi="宋体" w:eastAsia="宋体" w:cs="宋体"/>
          <w:highlight w:val="none"/>
        </w:rPr>
      </w:pPr>
      <w:bookmarkStart w:id="186" w:name="_Toc451622424"/>
      <w:bookmarkStart w:id="187" w:name="_Toc227984077"/>
      <w:bookmarkStart w:id="188" w:name="_Toc416273944"/>
      <w:bookmarkStart w:id="189" w:name="_Toc416273855"/>
      <w:bookmarkStart w:id="190" w:name="_Toc144974858"/>
      <w:bookmarkStart w:id="191" w:name="_Toc390413379"/>
      <w:bookmarkStart w:id="192" w:name="_Toc152042578"/>
      <w:bookmarkStart w:id="193" w:name="_Toc152045789"/>
    </w:p>
    <w:p>
      <w:pPr>
        <w:pStyle w:val="36"/>
        <w:jc w:val="center"/>
        <w:outlineLvl w:val="0"/>
        <w:rPr>
          <w:rFonts w:eastAsia="宋体"/>
          <w:highlight w:val="none"/>
        </w:rPr>
      </w:pPr>
      <w:bookmarkStart w:id="194" w:name="_Toc21069"/>
      <w:bookmarkStart w:id="195" w:name="_Toc482980313"/>
      <w:bookmarkStart w:id="196" w:name="_Toc2207"/>
      <w:r>
        <w:rPr>
          <w:rFonts w:hint="eastAsia" w:eastAsia="宋体"/>
          <w:highlight w:val="none"/>
        </w:rPr>
        <w:t>一、投标函</w:t>
      </w:r>
      <w:bookmarkEnd w:id="186"/>
      <w:bookmarkEnd w:id="187"/>
      <w:bookmarkEnd w:id="188"/>
      <w:bookmarkEnd w:id="189"/>
      <w:bookmarkEnd w:id="190"/>
      <w:bookmarkEnd w:id="191"/>
      <w:bookmarkEnd w:id="192"/>
      <w:bookmarkEnd w:id="193"/>
      <w:bookmarkEnd w:id="194"/>
      <w:bookmarkEnd w:id="195"/>
      <w:bookmarkEnd w:id="196"/>
    </w:p>
    <w:p>
      <w:pPr>
        <w:spacing w:line="440" w:lineRule="exact"/>
        <w:rPr>
          <w:rFonts w:ascii="宋体" w:hAnsi="宋体" w:cs="宋体"/>
          <w:highlight w:val="none"/>
        </w:rPr>
      </w:pPr>
      <w:r>
        <w:rPr>
          <w:rFonts w:hint="eastAsia" w:ascii="宋体" w:hAnsi="宋体" w:cs="宋体"/>
          <w:highlight w:val="none"/>
          <w:u w:val="single"/>
        </w:rPr>
        <w:t xml:space="preserve">     （招标人名称）     </w:t>
      </w:r>
      <w:r>
        <w:rPr>
          <w:rFonts w:hint="eastAsia" w:ascii="宋体" w:hAnsi="宋体" w:cs="宋体"/>
          <w:highlight w:val="none"/>
        </w:rPr>
        <w:t>：</w:t>
      </w:r>
    </w:p>
    <w:p>
      <w:pPr>
        <w:spacing w:line="440" w:lineRule="exact"/>
        <w:ind w:firstLine="420" w:firstLineChars="200"/>
        <w:rPr>
          <w:rFonts w:ascii="宋体" w:hAnsi="宋体" w:cs="宋体"/>
          <w:highlight w:val="none"/>
        </w:rPr>
      </w:pPr>
      <w:r>
        <w:rPr>
          <w:rFonts w:hint="eastAsia" w:ascii="宋体" w:hAnsi="宋体" w:cs="宋体"/>
          <w:highlight w:val="none"/>
        </w:rPr>
        <w:t>1．我方已仔细研究了</w:t>
      </w:r>
      <w:r>
        <w:rPr>
          <w:rFonts w:hint="eastAsia" w:ascii="宋体" w:hAnsi="宋体" w:cs="宋体"/>
          <w:highlight w:val="none"/>
          <w:u w:val="single"/>
        </w:rPr>
        <w:t xml:space="preserve"> （项目名称）(招标编号：      )</w:t>
      </w:r>
      <w:r>
        <w:rPr>
          <w:rFonts w:hint="eastAsia" w:ascii="宋体" w:hAnsi="宋体" w:cs="宋体"/>
          <w:highlight w:val="none"/>
        </w:rPr>
        <w:t xml:space="preserve">施工招标文件的全部内容，愿意以人民币（大写） </w:t>
      </w:r>
      <w:r>
        <w:rPr>
          <w:rFonts w:hint="eastAsia" w:ascii="宋体" w:hAnsi="宋体" w:cs="宋体"/>
          <w:highlight w:val="none"/>
          <w:u w:val="single"/>
        </w:rPr>
        <w:t xml:space="preserve">       </w:t>
      </w:r>
      <w:r>
        <w:rPr>
          <w:rFonts w:hint="eastAsia" w:ascii="宋体" w:hAnsi="宋体" w:cs="宋体"/>
          <w:highlight w:val="none"/>
        </w:rPr>
        <w:t>的投标总报价，工期</w:t>
      </w:r>
      <w:r>
        <w:rPr>
          <w:rFonts w:hint="eastAsia" w:ascii="宋体" w:hAnsi="宋体" w:cs="宋体"/>
          <w:highlight w:val="none"/>
          <w:u w:val="single"/>
        </w:rPr>
        <w:t xml:space="preserve">          </w:t>
      </w:r>
      <w:r>
        <w:rPr>
          <w:rFonts w:hint="eastAsia" w:ascii="宋体" w:hAnsi="宋体" w:cs="宋体"/>
          <w:highlight w:val="none"/>
        </w:rPr>
        <w:t xml:space="preserve"> 日历天，按合同约定实施和完成承包工程，修补工程中的任何缺陷，工程质量达到</w:t>
      </w:r>
      <w:r>
        <w:rPr>
          <w:rFonts w:hint="eastAsia" w:ascii="宋体" w:hAnsi="宋体" w:cs="宋体"/>
          <w:highlight w:val="none"/>
          <w:u w:val="single"/>
        </w:rPr>
        <w:t xml:space="preserve">          </w:t>
      </w:r>
      <w:r>
        <w:rPr>
          <w:rFonts w:hint="eastAsia" w:ascii="宋体" w:hAnsi="宋体" w:cs="宋体"/>
          <w:highlight w:val="none"/>
        </w:rPr>
        <w:t xml:space="preserve"> 。</w:t>
      </w:r>
    </w:p>
    <w:p>
      <w:pPr>
        <w:spacing w:line="440" w:lineRule="exact"/>
        <w:ind w:firstLine="420" w:firstLineChars="200"/>
        <w:rPr>
          <w:rFonts w:ascii="宋体" w:hAnsi="宋体" w:cs="宋体"/>
          <w:highlight w:val="none"/>
        </w:rPr>
      </w:pPr>
      <w:r>
        <w:rPr>
          <w:rFonts w:hint="eastAsia" w:ascii="宋体" w:hAnsi="宋体" w:cs="宋体"/>
          <w:highlight w:val="none"/>
        </w:rPr>
        <w:t>2．我方承诺在投标有效期内不修改、撤销投标文件</w:t>
      </w:r>
      <w:r>
        <w:rPr>
          <w:rFonts w:hint="eastAsia" w:ascii="宋体" w:hAnsi="宋体" w:cs="宋体"/>
          <w:color w:val="000000"/>
          <w:highlight w:val="none"/>
        </w:rPr>
        <w:t>及投标保证金</w:t>
      </w:r>
      <w:r>
        <w:rPr>
          <w:rFonts w:hint="eastAsia" w:ascii="宋体" w:hAnsi="宋体" w:cs="宋体"/>
          <w:highlight w:val="none"/>
        </w:rPr>
        <w:t>。</w:t>
      </w:r>
    </w:p>
    <w:p>
      <w:pPr>
        <w:spacing w:line="440" w:lineRule="exact"/>
        <w:ind w:firstLine="420" w:firstLineChars="200"/>
        <w:rPr>
          <w:rFonts w:ascii="宋体" w:hAnsi="宋体" w:cs="宋体"/>
          <w:highlight w:val="none"/>
        </w:rPr>
      </w:pPr>
      <w:r>
        <w:rPr>
          <w:rFonts w:hint="eastAsia" w:ascii="宋体" w:hAnsi="宋体" w:cs="宋体"/>
          <w:highlight w:val="none"/>
        </w:rPr>
        <w:t>3．随同本投标函提交投标保证金一份，金额为人民币（大写）元（¥ ）。</w:t>
      </w:r>
    </w:p>
    <w:p>
      <w:pPr>
        <w:spacing w:line="440" w:lineRule="exact"/>
        <w:ind w:firstLine="420" w:firstLineChars="200"/>
        <w:rPr>
          <w:rFonts w:ascii="宋体" w:hAnsi="宋体" w:cs="宋体"/>
          <w:highlight w:val="none"/>
        </w:rPr>
      </w:pPr>
      <w:r>
        <w:rPr>
          <w:rFonts w:hint="eastAsia" w:ascii="宋体" w:hAnsi="宋体" w:cs="宋体"/>
          <w:highlight w:val="none"/>
        </w:rPr>
        <w:t>4．如我方中标：</w:t>
      </w:r>
    </w:p>
    <w:p>
      <w:pPr>
        <w:spacing w:line="440" w:lineRule="exact"/>
        <w:ind w:firstLine="718" w:firstLineChars="342"/>
        <w:rPr>
          <w:rFonts w:ascii="宋体" w:hAnsi="宋体" w:cs="宋体"/>
          <w:highlight w:val="none"/>
        </w:rPr>
      </w:pPr>
      <w:r>
        <w:rPr>
          <w:rFonts w:hint="eastAsia" w:ascii="宋体" w:hAnsi="宋体" w:cs="宋体"/>
          <w:highlight w:val="none"/>
        </w:rPr>
        <w:t>（1）我方将派出</w:t>
      </w:r>
      <w:r>
        <w:rPr>
          <w:rFonts w:hint="eastAsia" w:ascii="宋体" w:hAnsi="宋体" w:cs="宋体"/>
          <w:highlight w:val="none"/>
          <w:u w:val="single"/>
        </w:rPr>
        <w:t xml:space="preserve">      </w:t>
      </w:r>
      <w:r>
        <w:rPr>
          <w:rFonts w:hint="eastAsia" w:ascii="宋体" w:hAnsi="宋体" w:cs="宋体"/>
          <w:highlight w:val="none"/>
        </w:rPr>
        <w:t>（姓名）作为本工程的项目经理。</w:t>
      </w:r>
    </w:p>
    <w:p>
      <w:pPr>
        <w:spacing w:line="440" w:lineRule="exact"/>
        <w:ind w:firstLine="735" w:firstLineChars="350"/>
        <w:rPr>
          <w:rFonts w:ascii="宋体" w:hAnsi="宋体" w:cs="宋体"/>
          <w:highlight w:val="none"/>
        </w:rPr>
      </w:pPr>
      <w:r>
        <w:rPr>
          <w:rFonts w:hint="eastAsia" w:ascii="宋体" w:hAnsi="宋体" w:cs="宋体"/>
          <w:highlight w:val="none"/>
        </w:rPr>
        <w:t>（2）我方承诺在收到中标通知书后，在中标通知书规定的期限内与你方签订合同。</w:t>
      </w:r>
    </w:p>
    <w:p>
      <w:pPr>
        <w:spacing w:line="440" w:lineRule="exact"/>
        <w:ind w:firstLine="718" w:firstLineChars="342"/>
        <w:rPr>
          <w:rFonts w:ascii="宋体" w:hAnsi="宋体" w:cs="宋体"/>
          <w:highlight w:val="none"/>
        </w:rPr>
      </w:pPr>
      <w:r>
        <w:rPr>
          <w:rFonts w:hint="eastAsia" w:ascii="宋体" w:hAnsi="宋体" w:cs="宋体"/>
          <w:highlight w:val="none"/>
        </w:rPr>
        <w:t>（3）我方承诺按照招标文件规定向你方递交履约担保。</w:t>
      </w:r>
    </w:p>
    <w:p>
      <w:pPr>
        <w:spacing w:line="440" w:lineRule="exact"/>
        <w:ind w:firstLine="718" w:firstLineChars="342"/>
        <w:rPr>
          <w:rFonts w:ascii="宋体" w:hAnsi="宋体" w:cs="宋体"/>
          <w:highlight w:val="none"/>
        </w:rPr>
      </w:pPr>
      <w:r>
        <w:rPr>
          <w:rFonts w:hint="eastAsia" w:ascii="宋体" w:hAnsi="宋体" w:cs="宋体"/>
          <w:highlight w:val="none"/>
        </w:rPr>
        <w:t>（4）我方承诺在合同约定的期限内完成并移交全部合同工程。</w:t>
      </w:r>
    </w:p>
    <w:p>
      <w:pPr>
        <w:spacing w:line="440" w:lineRule="exact"/>
        <w:ind w:firstLine="718" w:firstLineChars="342"/>
        <w:rPr>
          <w:rFonts w:ascii="宋体" w:hAnsi="宋体" w:cs="宋体"/>
          <w:highlight w:val="none"/>
        </w:rPr>
      </w:pPr>
      <w:r>
        <w:rPr>
          <w:rFonts w:hint="eastAsia" w:ascii="宋体" w:hAnsi="宋体" w:cs="宋体"/>
          <w:highlight w:val="none"/>
        </w:rPr>
        <w:t>（5）我方承诺在提交投标文件截止时间后到招标文件中规定的投标有效期终止之前，不补充、修改、替代或者撤回其投标文件。</w:t>
      </w:r>
    </w:p>
    <w:p>
      <w:pPr>
        <w:spacing w:line="440" w:lineRule="exact"/>
        <w:ind w:firstLine="718" w:firstLineChars="342"/>
        <w:rPr>
          <w:rFonts w:ascii="宋体" w:hAnsi="宋体" w:cs="宋体"/>
          <w:highlight w:val="none"/>
        </w:rPr>
      </w:pPr>
      <w:r>
        <w:rPr>
          <w:rFonts w:hint="eastAsia" w:ascii="宋体" w:hAnsi="宋体" w:cs="宋体"/>
          <w:highlight w:val="none"/>
        </w:rPr>
        <w:t>（6）我方承诺按招标文件第四章“合同条款及格式”的相关规定履行我方的权利和义务。</w:t>
      </w:r>
    </w:p>
    <w:p>
      <w:pPr>
        <w:spacing w:line="440" w:lineRule="exact"/>
        <w:ind w:firstLine="420" w:firstLineChars="200"/>
        <w:rPr>
          <w:rFonts w:ascii="宋体" w:hAnsi="宋体" w:cs="宋体"/>
          <w:highlight w:val="none"/>
        </w:rPr>
      </w:pPr>
      <w:r>
        <w:rPr>
          <w:rFonts w:hint="eastAsia" w:ascii="宋体" w:hAnsi="宋体" w:cs="宋体"/>
          <w:highlight w:val="none"/>
        </w:rPr>
        <w:t>5．我方在此声明，所递交的投标文件及有关资料内容完整、真实和准确，且不存在第二章“投标人须知”第1.4.3项规定的任何一种情形。</w:t>
      </w:r>
    </w:p>
    <w:p>
      <w:pPr>
        <w:spacing w:line="440" w:lineRule="exact"/>
        <w:ind w:firstLine="420" w:firstLineChars="200"/>
        <w:rPr>
          <w:rFonts w:ascii="宋体" w:hAnsi="宋体" w:cs="宋体"/>
          <w:highlight w:val="none"/>
        </w:rPr>
      </w:pPr>
      <w:r>
        <w:rPr>
          <w:rFonts w:hint="eastAsia" w:ascii="宋体" w:hAnsi="宋体" w:cs="宋体"/>
          <w:highlight w:val="none"/>
        </w:rPr>
        <w:t>6．（其他补充说明）。</w:t>
      </w:r>
    </w:p>
    <w:p>
      <w:pPr>
        <w:spacing w:line="440" w:lineRule="exact"/>
        <w:ind w:firstLine="3675" w:firstLineChars="1750"/>
        <w:rPr>
          <w:rFonts w:ascii="宋体" w:hAnsi="宋体" w:cs="宋体"/>
          <w:highlight w:val="none"/>
        </w:rPr>
      </w:pPr>
      <w:r>
        <w:rPr>
          <w:rFonts w:hint="eastAsia" w:ascii="宋体" w:hAnsi="宋体" w:cs="宋体"/>
          <w:highlight w:val="none"/>
        </w:rPr>
        <w:t>投 标 人：盖印章</w:t>
      </w:r>
    </w:p>
    <w:p>
      <w:pPr>
        <w:spacing w:line="440" w:lineRule="exact"/>
        <w:ind w:firstLine="3675" w:firstLineChars="1750"/>
        <w:rPr>
          <w:rFonts w:ascii="宋体" w:hAnsi="宋体" w:cs="宋体"/>
          <w:highlight w:val="none"/>
        </w:rPr>
      </w:pPr>
      <w:r>
        <w:rPr>
          <w:rFonts w:hint="eastAsia" w:ascii="宋体" w:hAnsi="宋体" w:cs="宋体"/>
          <w:highlight w:val="none"/>
        </w:rPr>
        <w:t>法定代表人或其委托代理人：</w:t>
      </w:r>
    </w:p>
    <w:p>
      <w:pPr>
        <w:spacing w:line="440" w:lineRule="exact"/>
        <w:ind w:firstLine="3675" w:firstLineChars="1750"/>
        <w:rPr>
          <w:rFonts w:ascii="宋体" w:hAnsi="宋体" w:cs="宋体"/>
          <w:highlight w:val="none"/>
          <w:u w:val="single"/>
        </w:rPr>
      </w:pPr>
      <w:r>
        <w:rPr>
          <w:rFonts w:hint="eastAsia" w:ascii="宋体" w:hAnsi="宋体" w:cs="宋体"/>
          <w:highlight w:val="none"/>
        </w:rPr>
        <w:t>地址：</w:t>
      </w:r>
    </w:p>
    <w:p>
      <w:pPr>
        <w:spacing w:line="440" w:lineRule="exact"/>
        <w:ind w:firstLine="3675" w:firstLineChars="1750"/>
        <w:rPr>
          <w:rFonts w:ascii="宋体" w:hAnsi="宋体" w:cs="宋体"/>
          <w:highlight w:val="none"/>
        </w:rPr>
      </w:pPr>
      <w:r>
        <w:rPr>
          <w:rFonts w:hint="eastAsia" w:ascii="宋体" w:hAnsi="宋体" w:cs="宋体"/>
          <w:highlight w:val="none"/>
        </w:rPr>
        <w:t>网址：</w:t>
      </w:r>
    </w:p>
    <w:p>
      <w:pPr>
        <w:spacing w:line="440" w:lineRule="exact"/>
        <w:ind w:firstLine="3675" w:firstLineChars="1750"/>
        <w:rPr>
          <w:rFonts w:ascii="宋体" w:hAnsi="宋体" w:cs="宋体"/>
          <w:highlight w:val="none"/>
          <w:u w:val="single"/>
        </w:rPr>
      </w:pPr>
      <w:r>
        <w:rPr>
          <w:rFonts w:hint="eastAsia" w:ascii="宋体" w:hAnsi="宋体" w:cs="宋体"/>
          <w:highlight w:val="none"/>
        </w:rPr>
        <w:t>电话：</w:t>
      </w:r>
    </w:p>
    <w:p>
      <w:pPr>
        <w:spacing w:line="440" w:lineRule="exact"/>
        <w:ind w:firstLine="3675" w:firstLineChars="1750"/>
        <w:rPr>
          <w:rFonts w:ascii="宋体" w:hAnsi="宋体" w:cs="宋体"/>
          <w:highlight w:val="none"/>
        </w:rPr>
      </w:pPr>
      <w:r>
        <w:rPr>
          <w:rFonts w:hint="eastAsia" w:ascii="宋体" w:hAnsi="宋体" w:cs="宋体"/>
          <w:highlight w:val="none"/>
        </w:rPr>
        <w:t>传真：</w:t>
      </w:r>
    </w:p>
    <w:p>
      <w:pPr>
        <w:spacing w:line="440" w:lineRule="exact"/>
        <w:ind w:firstLine="5040" w:firstLineChars="2400"/>
        <w:rPr>
          <w:rFonts w:ascii="宋体" w:hAnsi="宋体" w:cs="宋体"/>
          <w:highlight w:val="none"/>
        </w:rPr>
      </w:pPr>
      <w:r>
        <w:rPr>
          <w:rFonts w:hint="eastAsia" w:ascii="宋体" w:hAnsi="宋体" w:cs="宋体"/>
          <w:highlight w:val="none"/>
        </w:rPr>
        <w:t>年月日</w:t>
      </w:r>
    </w:p>
    <w:p>
      <w:pPr>
        <w:rPr>
          <w:highlight w:val="none"/>
        </w:rPr>
      </w:pPr>
      <w:bookmarkStart w:id="197" w:name="_Toc227984078"/>
      <w:bookmarkStart w:id="198" w:name="_Toc416273856"/>
      <w:bookmarkStart w:id="199" w:name="_Toc451622425"/>
      <w:bookmarkStart w:id="200" w:name="_Toc390413380"/>
      <w:bookmarkStart w:id="201" w:name="_Toc482980314"/>
      <w:bookmarkStart w:id="202" w:name="_Toc416273945"/>
      <w:r>
        <w:rPr>
          <w:rFonts w:hint="eastAsia"/>
          <w:highlight w:val="none"/>
        </w:rPr>
        <w:br w:type="page"/>
      </w:r>
    </w:p>
    <w:p>
      <w:pPr>
        <w:pStyle w:val="36"/>
        <w:jc w:val="center"/>
        <w:rPr>
          <w:rFonts w:eastAsia="宋体"/>
          <w:sz w:val="20"/>
          <w:highlight w:val="none"/>
        </w:rPr>
      </w:pPr>
      <w:r>
        <w:rPr>
          <w:rFonts w:hint="eastAsia" w:eastAsia="宋体"/>
          <w:highlight w:val="none"/>
        </w:rPr>
        <w:t>（一）投标函附录</w:t>
      </w:r>
      <w:bookmarkEnd w:id="197"/>
      <w:r>
        <w:rPr>
          <w:rFonts w:hint="eastAsia" w:eastAsia="宋体"/>
          <w:szCs w:val="24"/>
          <w:highlight w:val="none"/>
          <w:u w:val="single" w:color="000000"/>
        </w:rPr>
        <w:br w:type="page"/>
      </w:r>
      <w:bookmarkStart w:id="203" w:name="_Toc152042580"/>
      <w:bookmarkStart w:id="204" w:name="_Toc144974860"/>
      <w:bookmarkStart w:id="205" w:name="_Toc152045791"/>
      <w:bookmarkStart w:id="206" w:name="_Toc451622426"/>
      <w:bookmarkStart w:id="207" w:name="_Toc227984079"/>
      <w:bookmarkStart w:id="208" w:name="_Toc390413381"/>
      <w:bookmarkStart w:id="209" w:name="_Toc416273857"/>
      <w:bookmarkStart w:id="210" w:name="_Toc416273946"/>
      <w:r>
        <w:rPr>
          <w:rFonts w:hint="eastAsia" w:eastAsia="宋体"/>
          <w:highlight w:val="none"/>
        </w:rPr>
        <w:t>二、法定代表人身份证明</w:t>
      </w:r>
      <w:bookmarkEnd w:id="203"/>
      <w:bookmarkEnd w:id="204"/>
      <w:bookmarkEnd w:id="205"/>
      <w:r>
        <w:rPr>
          <w:rFonts w:hint="eastAsia" w:eastAsia="宋体"/>
          <w:highlight w:val="none"/>
        </w:rPr>
        <w:t>和授权委托书</w:t>
      </w:r>
      <w:bookmarkEnd w:id="198"/>
      <w:bookmarkEnd w:id="199"/>
      <w:bookmarkEnd w:id="200"/>
      <w:bookmarkEnd w:id="201"/>
      <w:bookmarkEnd w:id="202"/>
      <w:bookmarkEnd w:id="206"/>
      <w:bookmarkEnd w:id="207"/>
      <w:bookmarkEnd w:id="208"/>
      <w:bookmarkEnd w:id="209"/>
      <w:bookmarkEnd w:id="210"/>
    </w:p>
    <w:p>
      <w:pPr>
        <w:spacing w:line="440" w:lineRule="exact"/>
        <w:rPr>
          <w:rFonts w:ascii="宋体" w:hAnsi="宋体" w:cs="宋体"/>
          <w:highlight w:val="none"/>
        </w:rPr>
      </w:pPr>
      <w:r>
        <w:rPr>
          <w:rFonts w:hint="eastAsia" w:ascii="宋体" w:hAnsi="宋体" w:cs="宋体"/>
          <w:highlight w:val="none"/>
        </w:rPr>
        <w:t>投标人名称：</w:t>
      </w:r>
    </w:p>
    <w:p>
      <w:pPr>
        <w:spacing w:line="440" w:lineRule="exact"/>
        <w:rPr>
          <w:rFonts w:ascii="宋体" w:hAnsi="宋体" w:cs="宋体"/>
          <w:highlight w:val="none"/>
        </w:rPr>
      </w:pPr>
      <w:r>
        <w:rPr>
          <w:rFonts w:hint="eastAsia" w:ascii="宋体" w:hAnsi="宋体" w:cs="宋体"/>
          <w:highlight w:val="none"/>
        </w:rPr>
        <w:t>地址：</w:t>
      </w:r>
    </w:p>
    <w:p>
      <w:pPr>
        <w:spacing w:line="440" w:lineRule="exact"/>
        <w:rPr>
          <w:rFonts w:ascii="宋体" w:hAnsi="宋体" w:cs="宋体"/>
          <w:highlight w:val="none"/>
        </w:rPr>
      </w:pPr>
      <w:r>
        <w:rPr>
          <w:rFonts w:hint="eastAsia" w:ascii="宋体" w:hAnsi="宋体" w:cs="宋体"/>
          <w:highlight w:val="none"/>
        </w:rPr>
        <w:t>姓名： 性别： 年龄：职务：</w:t>
      </w:r>
    </w:p>
    <w:p>
      <w:pPr>
        <w:spacing w:line="440" w:lineRule="exact"/>
        <w:rPr>
          <w:rFonts w:ascii="宋体" w:hAnsi="宋体" w:cs="宋体"/>
          <w:highlight w:val="none"/>
          <w:u w:val="single"/>
        </w:rPr>
      </w:pPr>
      <w:r>
        <w:rPr>
          <w:rFonts w:hint="eastAsia" w:ascii="宋体" w:hAnsi="宋体" w:cs="宋体"/>
          <w:highlight w:val="none"/>
        </w:rPr>
        <w:t>身份证号码：</w:t>
      </w:r>
    </w:p>
    <w:p>
      <w:pPr>
        <w:spacing w:line="440" w:lineRule="exact"/>
        <w:rPr>
          <w:rFonts w:ascii="宋体" w:hAnsi="宋体" w:cs="宋体"/>
          <w:highlight w:val="none"/>
        </w:rPr>
      </w:pPr>
      <w:r>
        <w:rPr>
          <w:rFonts w:hint="eastAsia" w:ascii="宋体" w:hAnsi="宋体" w:cs="宋体"/>
          <w:highlight w:val="none"/>
        </w:rPr>
        <w:t>系</w:t>
      </w:r>
      <w:r>
        <w:rPr>
          <w:rFonts w:hint="eastAsia" w:ascii="宋体" w:hAnsi="宋体" w:cs="宋体"/>
          <w:highlight w:val="none"/>
          <w:u w:val="single"/>
        </w:rPr>
        <w:t xml:space="preserve">    （投标人名称）   </w:t>
      </w:r>
      <w:r>
        <w:rPr>
          <w:rFonts w:hint="eastAsia" w:ascii="宋体" w:hAnsi="宋体" w:cs="宋体"/>
          <w:highlight w:val="none"/>
        </w:rPr>
        <w:t>的法定代表人。</w:t>
      </w:r>
    </w:p>
    <w:p>
      <w:pPr>
        <w:spacing w:line="440" w:lineRule="exact"/>
        <w:ind w:firstLine="420" w:firstLineChars="200"/>
        <w:rPr>
          <w:rFonts w:ascii="宋体" w:hAnsi="宋体" w:cs="宋体"/>
          <w:highlight w:val="none"/>
        </w:rPr>
      </w:pPr>
      <w:r>
        <w:rPr>
          <w:rFonts w:hint="eastAsia" w:ascii="宋体" w:hAnsi="宋体" w:cs="宋体"/>
          <w:highlight w:val="none"/>
        </w:rPr>
        <w:t>特此证明。</w:t>
      </w:r>
    </w:p>
    <w:p>
      <w:pPr>
        <w:spacing w:line="440" w:lineRule="exact"/>
        <w:outlineLvl w:val="0"/>
        <w:rPr>
          <w:rFonts w:ascii="宋体" w:hAnsi="宋体" w:cs="宋体"/>
          <w:sz w:val="20"/>
          <w:highlight w:val="none"/>
        </w:rPr>
      </w:pPr>
      <w:bookmarkStart w:id="211" w:name="_Toc7858"/>
      <w:bookmarkStart w:id="212" w:name="_Toc20673"/>
      <w:r>
        <w:rPr>
          <w:rFonts w:hint="eastAsia" w:ascii="宋体" w:hAnsi="宋体" w:cs="宋体"/>
          <w:sz w:val="20"/>
          <w:highlight w:val="none"/>
        </w:rPr>
        <w:t>是否授权：是</w:t>
      </w:r>
      <w:bookmarkEnd w:id="211"/>
      <w:bookmarkEnd w:id="212"/>
    </w:p>
    <w:p>
      <w:pPr>
        <w:spacing w:line="440" w:lineRule="exact"/>
        <w:outlineLvl w:val="0"/>
        <w:rPr>
          <w:rFonts w:ascii="宋体" w:hAnsi="宋体" w:cs="宋体"/>
          <w:highlight w:val="none"/>
        </w:rPr>
      </w:pPr>
      <w:bookmarkStart w:id="213" w:name="_Toc5334"/>
      <w:bookmarkStart w:id="214" w:name="_Toc23360"/>
      <w:r>
        <w:rPr>
          <w:rFonts w:hint="eastAsia" w:ascii="宋体" w:hAnsi="宋体" w:cs="宋体"/>
          <w:sz w:val="20"/>
          <w:highlight w:val="none"/>
        </w:rPr>
        <w:t>授权内容：</w:t>
      </w:r>
      <w:bookmarkEnd w:id="213"/>
      <w:bookmarkEnd w:id="214"/>
    </w:p>
    <w:p>
      <w:pPr>
        <w:spacing w:line="440" w:lineRule="exact"/>
        <w:rPr>
          <w:rFonts w:ascii="宋体" w:hAnsi="宋体" w:cs="宋体"/>
          <w:highlight w:val="none"/>
        </w:rPr>
      </w:pPr>
      <w:r>
        <w:rPr>
          <w:rFonts w:hint="eastAsia" w:ascii="宋体" w:hAnsi="宋体" w:cs="宋体"/>
          <w:highlight w:val="none"/>
        </w:rPr>
        <w:t>本人</w:t>
      </w:r>
      <w:r>
        <w:rPr>
          <w:rFonts w:hint="eastAsia" w:ascii="宋体" w:hAnsi="宋体" w:cs="宋体"/>
          <w:highlight w:val="none"/>
          <w:u w:val="single"/>
        </w:rPr>
        <w:t xml:space="preserve">  （姓名） </w:t>
      </w:r>
      <w:r>
        <w:rPr>
          <w:rFonts w:hint="eastAsia" w:ascii="宋体" w:hAnsi="宋体" w:cs="宋体"/>
          <w:highlight w:val="none"/>
        </w:rPr>
        <w:t>系</w:t>
      </w:r>
      <w:r>
        <w:rPr>
          <w:rFonts w:hint="eastAsia" w:ascii="宋体" w:hAnsi="宋体" w:cs="宋体"/>
          <w:highlight w:val="none"/>
          <w:u w:val="single"/>
        </w:rPr>
        <w:t xml:space="preserve">    （投标人名称）   </w:t>
      </w:r>
      <w:r>
        <w:rPr>
          <w:rFonts w:hint="eastAsia" w:ascii="宋体" w:hAnsi="宋体" w:cs="宋体"/>
          <w:highlight w:val="none"/>
        </w:rPr>
        <w:t>的法定代表人，现委托</w:t>
      </w:r>
      <w:r>
        <w:rPr>
          <w:rFonts w:hint="eastAsia" w:ascii="宋体" w:hAnsi="宋体" w:cs="宋体"/>
          <w:highlight w:val="none"/>
          <w:u w:val="single"/>
        </w:rPr>
        <w:t xml:space="preserve">  （姓名）  </w:t>
      </w:r>
      <w:r>
        <w:rPr>
          <w:rFonts w:hint="eastAsia" w:ascii="宋体" w:hAnsi="宋体" w:cs="宋体"/>
          <w:highlight w:val="none"/>
        </w:rPr>
        <w:t>，</w:t>
      </w:r>
    </w:p>
    <w:p>
      <w:pPr>
        <w:spacing w:line="440" w:lineRule="exact"/>
        <w:rPr>
          <w:rFonts w:ascii="宋体" w:hAnsi="宋体" w:cs="宋体"/>
          <w:highlight w:val="none"/>
        </w:rPr>
      </w:pPr>
      <w:r>
        <w:rPr>
          <w:rFonts w:hint="eastAsia" w:ascii="宋体" w:hAnsi="宋体" w:cs="宋体"/>
          <w:highlight w:val="none"/>
        </w:rPr>
        <w:t>身份证号码：为我方</w:t>
      </w:r>
      <w:r>
        <w:rPr>
          <w:rFonts w:hint="eastAsia" w:ascii="宋体" w:hAnsi="宋体" w:cs="宋体"/>
          <w:color w:val="000000"/>
          <w:highlight w:val="none"/>
        </w:rPr>
        <w:t>法定代表人委托</w:t>
      </w:r>
      <w:r>
        <w:rPr>
          <w:rFonts w:hint="eastAsia" w:ascii="宋体" w:hAnsi="宋体" w:cs="宋体"/>
          <w:highlight w:val="none"/>
        </w:rPr>
        <w:t>代理人。</w:t>
      </w:r>
      <w:r>
        <w:rPr>
          <w:rFonts w:hint="eastAsia" w:ascii="宋体" w:hAnsi="宋体" w:cs="宋体"/>
          <w:color w:val="000000"/>
          <w:highlight w:val="none"/>
        </w:rPr>
        <w:t>法定代表人委托</w:t>
      </w:r>
      <w:r>
        <w:rPr>
          <w:rFonts w:hint="eastAsia" w:ascii="宋体" w:hAnsi="宋体" w:cs="宋体"/>
          <w:highlight w:val="none"/>
        </w:rPr>
        <w:t>代理人根据授权，以我方名义签署、澄清、说明、补正、递交、撤回、修改</w:t>
      </w:r>
      <w:r>
        <w:rPr>
          <w:rFonts w:hint="eastAsia" w:ascii="宋体" w:hAnsi="宋体" w:cs="宋体"/>
          <w:highlight w:val="none"/>
          <w:u w:val="single"/>
        </w:rPr>
        <w:t>（项目名称）</w:t>
      </w:r>
      <w:r>
        <w:rPr>
          <w:rFonts w:hint="eastAsia" w:ascii="宋体" w:hAnsi="宋体" w:cs="宋体"/>
          <w:highlight w:val="none"/>
        </w:rPr>
        <w:t>施工投标文件、签订合同和处理有关事宜，其法律后果由我方承担。</w:t>
      </w:r>
    </w:p>
    <w:p>
      <w:pPr>
        <w:spacing w:line="440" w:lineRule="exact"/>
        <w:rPr>
          <w:rFonts w:ascii="宋体" w:hAnsi="宋体" w:cs="宋体"/>
          <w:highlight w:val="none"/>
        </w:rPr>
      </w:pPr>
      <w:r>
        <w:rPr>
          <w:rFonts w:hint="eastAsia" w:ascii="宋体" w:hAnsi="宋体" w:cs="宋体"/>
          <w:highlight w:val="none"/>
        </w:rPr>
        <w:t xml:space="preserve">    委托期限：。</w:t>
      </w:r>
    </w:p>
    <w:p>
      <w:pPr>
        <w:spacing w:line="440" w:lineRule="exact"/>
        <w:ind w:firstLine="420" w:firstLineChars="200"/>
        <w:rPr>
          <w:rFonts w:ascii="宋体" w:hAnsi="宋体" w:cs="宋体"/>
          <w:highlight w:val="none"/>
        </w:rPr>
      </w:pPr>
      <w:r>
        <w:rPr>
          <w:rFonts w:hint="eastAsia" w:ascii="宋体" w:hAnsi="宋体" w:cs="宋体"/>
          <w:color w:val="000000"/>
          <w:highlight w:val="none"/>
        </w:rPr>
        <w:t>法定代表人委托</w:t>
      </w:r>
      <w:r>
        <w:rPr>
          <w:rFonts w:hint="eastAsia" w:ascii="宋体" w:hAnsi="宋体" w:cs="宋体"/>
          <w:highlight w:val="none"/>
        </w:rPr>
        <w:t>代理人无转委托权。</w:t>
      </w:r>
    </w:p>
    <w:p>
      <w:pPr>
        <w:spacing w:line="440" w:lineRule="exact"/>
        <w:rPr>
          <w:rFonts w:ascii="宋体" w:hAnsi="宋体" w:cs="宋体"/>
          <w:sz w:val="20"/>
          <w:highlight w:val="none"/>
        </w:rPr>
      </w:pPr>
    </w:p>
    <w:p>
      <w:pPr>
        <w:spacing w:line="440" w:lineRule="exact"/>
        <w:rPr>
          <w:rFonts w:ascii="宋体" w:hAnsi="宋体" w:cs="宋体"/>
          <w:highlight w:val="none"/>
        </w:rPr>
      </w:pPr>
    </w:p>
    <w:p>
      <w:pPr>
        <w:spacing w:line="440" w:lineRule="exact"/>
        <w:rPr>
          <w:rFonts w:ascii="宋体" w:hAnsi="宋体" w:cs="宋体"/>
          <w:highlight w:val="none"/>
        </w:rPr>
      </w:pPr>
      <w:r>
        <w:rPr>
          <w:rFonts w:hint="eastAsia" w:ascii="宋体" w:hAnsi="宋体" w:cs="宋体"/>
          <w:highlight w:val="none"/>
        </w:rPr>
        <w:t xml:space="preserve">                          投标人：（签章）</w:t>
      </w:r>
    </w:p>
    <w:p>
      <w:pPr>
        <w:spacing w:line="440" w:lineRule="exact"/>
        <w:rPr>
          <w:rFonts w:ascii="宋体" w:hAnsi="宋体" w:cs="宋体"/>
          <w:highlight w:val="none"/>
        </w:rPr>
      </w:pPr>
      <w:r>
        <w:rPr>
          <w:rFonts w:hint="eastAsia" w:ascii="宋体" w:hAnsi="宋体" w:cs="宋体"/>
          <w:highlight w:val="none"/>
        </w:rPr>
        <w:t xml:space="preserve">                          法定代表人：（签章） </w:t>
      </w:r>
    </w:p>
    <w:p>
      <w:pPr>
        <w:spacing w:line="440" w:lineRule="exact"/>
        <w:rPr>
          <w:rFonts w:ascii="宋体" w:hAnsi="宋体" w:cs="宋体"/>
          <w:highlight w:val="none"/>
        </w:rPr>
      </w:pPr>
      <w:r>
        <w:rPr>
          <w:rFonts w:hint="eastAsia" w:ascii="宋体" w:hAnsi="宋体" w:cs="宋体"/>
          <w:highlight w:val="none"/>
        </w:rPr>
        <w:t xml:space="preserve">年月日           </w:t>
      </w:r>
    </w:p>
    <w:p>
      <w:pPr>
        <w:spacing w:line="440" w:lineRule="exact"/>
        <w:rPr>
          <w:rFonts w:ascii="宋体" w:hAnsi="宋体" w:cs="宋体"/>
          <w:sz w:val="20"/>
          <w:highlight w:val="none"/>
        </w:rPr>
      </w:pPr>
    </w:p>
    <w:p>
      <w:pPr>
        <w:spacing w:line="400" w:lineRule="exact"/>
        <w:outlineLvl w:val="0"/>
        <w:rPr>
          <w:rFonts w:ascii="宋体" w:hAnsi="宋体" w:cs="宋体"/>
          <w:sz w:val="20"/>
          <w:highlight w:val="none"/>
        </w:rPr>
      </w:pPr>
      <w:bookmarkStart w:id="215" w:name="_Toc16034"/>
      <w:bookmarkStart w:id="216" w:name="_Toc17729"/>
      <w:r>
        <w:rPr>
          <w:rFonts w:hint="eastAsia" w:ascii="宋体" w:hAnsi="宋体" w:cs="宋体"/>
          <w:sz w:val="20"/>
          <w:highlight w:val="none"/>
        </w:rPr>
        <w:t>代理人身份证复印件：</w:t>
      </w:r>
      <w:bookmarkEnd w:id="215"/>
      <w:bookmarkEnd w:id="216"/>
    </w:p>
    <w:p>
      <w:pPr>
        <w:spacing w:line="400" w:lineRule="exact"/>
        <w:rPr>
          <w:rFonts w:ascii="宋体" w:hAnsi="宋体" w:cs="宋体"/>
          <w:sz w:val="20"/>
          <w:highlight w:val="none"/>
        </w:rPr>
      </w:pPr>
    </w:p>
    <w:p>
      <w:pPr>
        <w:spacing w:line="400" w:lineRule="exact"/>
        <w:rPr>
          <w:rFonts w:ascii="宋体" w:hAnsi="宋体" w:cs="宋体"/>
          <w:sz w:val="20"/>
          <w:highlight w:val="none"/>
        </w:rPr>
      </w:pPr>
    </w:p>
    <w:p>
      <w:pPr>
        <w:spacing w:line="400" w:lineRule="exact"/>
        <w:rPr>
          <w:rFonts w:ascii="宋体" w:hAnsi="宋体" w:cs="宋体"/>
          <w:sz w:val="20"/>
          <w:highlight w:val="none"/>
        </w:rPr>
      </w:pPr>
    </w:p>
    <w:p>
      <w:pPr>
        <w:spacing w:line="400" w:lineRule="exact"/>
        <w:rPr>
          <w:rFonts w:ascii="宋体" w:hAnsi="宋体" w:cs="宋体"/>
          <w:sz w:val="20"/>
          <w:highlight w:val="none"/>
        </w:rPr>
      </w:pPr>
    </w:p>
    <w:p>
      <w:pPr>
        <w:spacing w:line="400" w:lineRule="exact"/>
        <w:rPr>
          <w:rFonts w:ascii="宋体" w:hAnsi="宋体" w:cs="宋体"/>
          <w:sz w:val="20"/>
          <w:highlight w:val="none"/>
        </w:rPr>
      </w:pPr>
    </w:p>
    <w:p>
      <w:pPr>
        <w:spacing w:line="400" w:lineRule="exact"/>
        <w:rPr>
          <w:rFonts w:ascii="宋体" w:hAnsi="宋体" w:cs="宋体"/>
          <w:sz w:val="20"/>
          <w:highlight w:val="none"/>
        </w:rPr>
      </w:pPr>
    </w:p>
    <w:p>
      <w:pPr>
        <w:spacing w:line="400" w:lineRule="exact"/>
        <w:rPr>
          <w:rFonts w:ascii="宋体" w:hAnsi="宋体" w:cs="宋体"/>
          <w:sz w:val="20"/>
          <w:highlight w:val="none"/>
        </w:rPr>
      </w:pPr>
    </w:p>
    <w:p>
      <w:pPr>
        <w:spacing w:line="400" w:lineRule="exact"/>
        <w:rPr>
          <w:rFonts w:ascii="宋体" w:hAnsi="宋体" w:cs="宋体"/>
          <w:sz w:val="20"/>
          <w:highlight w:val="none"/>
        </w:rPr>
      </w:pPr>
    </w:p>
    <w:p>
      <w:pPr>
        <w:spacing w:line="400" w:lineRule="exact"/>
        <w:rPr>
          <w:rFonts w:ascii="宋体" w:hAnsi="宋体" w:cs="宋体"/>
          <w:sz w:val="20"/>
          <w:highlight w:val="none"/>
        </w:rPr>
      </w:pPr>
      <w:bookmarkStart w:id="217" w:name="_Toc227984081"/>
      <w:bookmarkStart w:id="218" w:name="_Toc152045794"/>
      <w:bookmarkStart w:id="219" w:name="_Toc152042583"/>
      <w:bookmarkStart w:id="220" w:name="_Toc144974862"/>
    </w:p>
    <w:p>
      <w:pPr>
        <w:spacing w:line="400" w:lineRule="exact"/>
        <w:rPr>
          <w:rFonts w:ascii="宋体" w:hAnsi="宋体" w:cs="宋体"/>
          <w:sz w:val="20"/>
          <w:highlight w:val="none"/>
        </w:rPr>
      </w:pPr>
      <w:r>
        <w:rPr>
          <w:rFonts w:hint="eastAsia" w:ascii="宋体" w:hAnsi="宋体" w:cs="宋体"/>
          <w:sz w:val="20"/>
          <w:highlight w:val="none"/>
        </w:rPr>
        <w:br w:type="page"/>
      </w:r>
    </w:p>
    <w:p>
      <w:pPr>
        <w:spacing w:line="400" w:lineRule="exact"/>
        <w:jc w:val="center"/>
        <w:rPr>
          <w:rFonts w:ascii="宋体" w:hAnsi="宋体" w:cs="宋体"/>
          <w:b/>
          <w:sz w:val="28"/>
          <w:szCs w:val="28"/>
          <w:highlight w:val="none"/>
        </w:rPr>
      </w:pPr>
      <w:r>
        <w:rPr>
          <w:rFonts w:hint="eastAsia" w:ascii="宋体" w:hAnsi="宋体" w:cs="宋体"/>
          <w:b/>
          <w:sz w:val="28"/>
          <w:szCs w:val="28"/>
          <w:highlight w:val="none"/>
        </w:rPr>
        <w:t>三、投标保证金</w:t>
      </w:r>
      <w:bookmarkEnd w:id="217"/>
      <w:bookmarkEnd w:id="218"/>
      <w:bookmarkEnd w:id="219"/>
      <w:bookmarkEnd w:id="220"/>
    </w:p>
    <w:p>
      <w:pPr>
        <w:spacing w:line="440" w:lineRule="exact"/>
        <w:rPr>
          <w:rFonts w:ascii="宋体" w:hAnsi="宋体" w:cs="宋体"/>
          <w:highlight w:val="none"/>
        </w:rPr>
      </w:pPr>
    </w:p>
    <w:p>
      <w:pPr>
        <w:spacing w:line="440" w:lineRule="exact"/>
        <w:rPr>
          <w:rFonts w:ascii="宋体" w:hAnsi="宋体" w:cs="宋体"/>
          <w:highlight w:val="none"/>
        </w:rPr>
      </w:pPr>
      <w:r>
        <w:rPr>
          <w:rFonts w:hint="eastAsia" w:ascii="宋体" w:hAnsi="宋体" w:cs="宋体"/>
          <w:highlight w:val="none"/>
        </w:rPr>
        <w:t>注释：</w:t>
      </w:r>
    </w:p>
    <w:p>
      <w:pPr>
        <w:spacing w:line="440" w:lineRule="exact"/>
        <w:rPr>
          <w:rFonts w:ascii="宋体" w:hAnsi="宋体" w:cs="宋体"/>
          <w:highlight w:val="none"/>
        </w:rPr>
      </w:pPr>
      <w:r>
        <w:rPr>
          <w:rFonts w:hint="eastAsia" w:ascii="宋体" w:hAnsi="宋体" w:cs="宋体"/>
          <w:highlight w:val="none"/>
        </w:rPr>
        <w:t>1、投标人将投标保证金作为图片后附加在本页。</w:t>
      </w:r>
    </w:p>
    <w:p>
      <w:pPr>
        <w:spacing w:line="440" w:lineRule="exact"/>
        <w:rPr>
          <w:rFonts w:ascii="宋体" w:hAnsi="宋体" w:cs="宋体"/>
          <w:highlight w:val="none"/>
        </w:rPr>
      </w:pPr>
      <w:r>
        <w:rPr>
          <w:rFonts w:hint="eastAsia" w:ascii="宋体" w:hAnsi="宋体" w:cs="宋体"/>
          <w:highlight w:val="none"/>
        </w:rPr>
        <w:br w:type="page"/>
      </w:r>
    </w:p>
    <w:p>
      <w:pPr>
        <w:pStyle w:val="35"/>
        <w:jc w:val="center"/>
        <w:rPr>
          <w:rFonts w:ascii="宋体" w:hAnsi="宋体" w:eastAsia="宋体" w:cs="宋体"/>
          <w:highlight w:val="none"/>
        </w:rPr>
      </w:pPr>
      <w:bookmarkStart w:id="221" w:name="_Toc451622427"/>
      <w:bookmarkStart w:id="222" w:name="_Toc416273858"/>
      <w:bookmarkStart w:id="223" w:name="_Toc390413382"/>
      <w:bookmarkStart w:id="224" w:name="_Toc482980315"/>
      <w:bookmarkStart w:id="225" w:name="_Toc227984082"/>
      <w:bookmarkStart w:id="226" w:name="_Toc152045795"/>
      <w:bookmarkStart w:id="227" w:name="_Toc152042584"/>
      <w:bookmarkStart w:id="228" w:name="_Toc144974863"/>
      <w:bookmarkStart w:id="229" w:name="_Toc416273947"/>
      <w:r>
        <w:rPr>
          <w:rFonts w:hint="eastAsia" w:ascii="宋体" w:hAnsi="宋体" w:eastAsia="宋体" w:cs="宋体"/>
          <w:highlight w:val="none"/>
        </w:rPr>
        <w:t>四、已标价工程量清单</w:t>
      </w:r>
      <w:bookmarkEnd w:id="221"/>
      <w:bookmarkEnd w:id="222"/>
      <w:bookmarkEnd w:id="223"/>
      <w:bookmarkEnd w:id="224"/>
      <w:bookmarkEnd w:id="225"/>
      <w:bookmarkEnd w:id="226"/>
      <w:bookmarkEnd w:id="227"/>
      <w:bookmarkEnd w:id="228"/>
      <w:bookmarkEnd w:id="229"/>
    </w:p>
    <w:p>
      <w:pPr>
        <w:spacing w:line="440" w:lineRule="exact"/>
        <w:jc w:val="center"/>
        <w:rPr>
          <w:rFonts w:ascii="宋体" w:hAnsi="宋体" w:cs="宋体"/>
          <w:sz w:val="20"/>
          <w:highlight w:val="none"/>
        </w:rPr>
      </w:pPr>
      <w:r>
        <w:rPr>
          <w:rFonts w:hint="eastAsia" w:ascii="宋体" w:hAnsi="宋体" w:cs="宋体"/>
          <w:sz w:val="20"/>
          <w:highlight w:val="none"/>
        </w:rPr>
        <w:t>符合GB50500-2013《建设工程工程量清单计价规范》格式要求</w:t>
      </w:r>
    </w:p>
    <w:p>
      <w:pPr>
        <w:spacing w:line="440" w:lineRule="exact"/>
        <w:jc w:val="center"/>
        <w:rPr>
          <w:rFonts w:ascii="宋体" w:hAnsi="宋体" w:cs="宋体"/>
          <w:sz w:val="20"/>
          <w:highlight w:val="none"/>
        </w:rPr>
      </w:pPr>
    </w:p>
    <w:p>
      <w:pPr>
        <w:spacing w:line="440" w:lineRule="exact"/>
        <w:jc w:val="center"/>
        <w:rPr>
          <w:rFonts w:ascii="宋体" w:hAnsi="宋体" w:cs="宋体"/>
          <w:sz w:val="20"/>
          <w:highlight w:val="none"/>
        </w:rPr>
      </w:pPr>
    </w:p>
    <w:p>
      <w:pPr>
        <w:rPr>
          <w:rFonts w:ascii="宋体" w:hAnsi="宋体" w:cs="宋体"/>
          <w:highlight w:val="none"/>
        </w:rPr>
      </w:pPr>
      <w:bookmarkStart w:id="230" w:name="_Toc152042585"/>
      <w:bookmarkStart w:id="231" w:name="_Toc227984083"/>
      <w:bookmarkStart w:id="232" w:name="_Toc416273859"/>
      <w:bookmarkStart w:id="233" w:name="_Toc451622428"/>
      <w:bookmarkStart w:id="234" w:name="_Toc144974864"/>
      <w:bookmarkStart w:id="235" w:name="_Toc390413383"/>
      <w:bookmarkStart w:id="236" w:name="_Toc416273948"/>
      <w:bookmarkStart w:id="237" w:name="_Toc482980316"/>
      <w:bookmarkStart w:id="238" w:name="_Toc152045796"/>
      <w:r>
        <w:rPr>
          <w:rFonts w:hint="eastAsia" w:ascii="宋体" w:hAnsi="宋体" w:cs="宋体"/>
          <w:highlight w:val="none"/>
        </w:rPr>
        <w:br w:type="page"/>
      </w:r>
    </w:p>
    <w:p>
      <w:pPr>
        <w:pStyle w:val="35"/>
        <w:jc w:val="center"/>
        <w:rPr>
          <w:rFonts w:ascii="宋体" w:hAnsi="宋体" w:eastAsia="宋体" w:cs="宋体"/>
          <w:highlight w:val="none"/>
        </w:rPr>
      </w:pPr>
      <w:r>
        <w:rPr>
          <w:rFonts w:hint="eastAsia" w:ascii="宋体" w:hAnsi="宋体" w:eastAsia="宋体" w:cs="宋体"/>
          <w:highlight w:val="none"/>
        </w:rPr>
        <w:t>五、施工组织设计</w:t>
      </w:r>
      <w:bookmarkEnd w:id="230"/>
      <w:bookmarkEnd w:id="231"/>
      <w:bookmarkEnd w:id="232"/>
      <w:bookmarkEnd w:id="233"/>
      <w:bookmarkEnd w:id="234"/>
      <w:bookmarkEnd w:id="235"/>
      <w:bookmarkEnd w:id="236"/>
      <w:bookmarkEnd w:id="237"/>
      <w:bookmarkEnd w:id="238"/>
    </w:p>
    <w:p>
      <w:pPr>
        <w:spacing w:line="440" w:lineRule="exact"/>
        <w:rPr>
          <w:rFonts w:ascii="宋体" w:hAnsi="宋体" w:cs="宋体"/>
          <w:highlight w:val="none"/>
        </w:rPr>
      </w:pPr>
    </w:p>
    <w:p>
      <w:pPr>
        <w:numPr>
          <w:ilvl w:val="0"/>
          <w:numId w:val="9"/>
        </w:numPr>
        <w:tabs>
          <w:tab w:val="left" w:pos="720"/>
        </w:tabs>
        <w:spacing w:line="440" w:lineRule="exact"/>
        <w:rPr>
          <w:rFonts w:ascii="宋体" w:hAnsi="宋体" w:cs="宋体"/>
          <w:highlight w:val="none"/>
        </w:rPr>
      </w:pPr>
      <w:r>
        <w:rPr>
          <w:rFonts w:hint="eastAsia" w:ascii="宋体" w:hAnsi="宋体" w:cs="宋体"/>
          <w:highlight w:val="none"/>
        </w:rPr>
        <w:t>投标人编制施工组织设计的要求：</w:t>
      </w:r>
    </w:p>
    <w:p>
      <w:pPr>
        <w:tabs>
          <w:tab w:val="left" w:pos="720"/>
        </w:tabs>
        <w:spacing w:line="440" w:lineRule="exact"/>
        <w:ind w:firstLine="630" w:firstLineChars="300"/>
        <w:rPr>
          <w:rFonts w:ascii="宋体" w:hAnsi="宋体" w:cs="宋体"/>
          <w:szCs w:val="21"/>
          <w:highlight w:val="none"/>
        </w:rPr>
      </w:pPr>
      <w:r>
        <w:rPr>
          <w:rFonts w:hint="eastAsia" w:ascii="宋体" w:hAnsi="宋体" w:cs="宋体"/>
          <w:szCs w:val="21"/>
          <w:highlight w:val="none"/>
        </w:rPr>
        <w:t>编制时应针对第三章评标办法中施工组织设计的评审标准，可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pPr>
        <w:tabs>
          <w:tab w:val="left" w:pos="720"/>
        </w:tabs>
        <w:spacing w:line="440" w:lineRule="exact"/>
        <w:ind w:firstLine="420" w:firstLineChars="200"/>
        <w:rPr>
          <w:rFonts w:ascii="宋体" w:hAnsi="宋体" w:cs="宋体"/>
          <w:highlight w:val="none"/>
        </w:rPr>
      </w:pPr>
      <w:r>
        <w:rPr>
          <w:rFonts w:hint="eastAsia" w:ascii="宋体" w:hAnsi="宋体" w:cs="宋体"/>
          <w:highlight w:val="none"/>
        </w:rPr>
        <w:t xml:space="preserve">2. </w:t>
      </w:r>
      <w:r>
        <w:rPr>
          <w:rFonts w:hint="eastAsia" w:ascii="宋体" w:hAnsi="宋体" w:cs="宋体"/>
          <w:highlight w:val="none"/>
        </w:rPr>
        <w:tab/>
      </w:r>
      <w:r>
        <w:rPr>
          <w:rFonts w:hint="eastAsia" w:ascii="宋体" w:hAnsi="宋体" w:cs="宋体"/>
          <w:highlight w:val="none"/>
        </w:rPr>
        <w:t>施工组织设计除采用文字表述外可附下列图表，图表及格式要求附后。</w:t>
      </w:r>
    </w:p>
    <w:p>
      <w:pPr>
        <w:tabs>
          <w:tab w:val="left" w:pos="720"/>
        </w:tabs>
        <w:spacing w:line="440" w:lineRule="exact"/>
        <w:ind w:firstLine="756" w:firstLineChars="360"/>
        <w:rPr>
          <w:rFonts w:ascii="宋体" w:hAnsi="宋体" w:cs="宋体"/>
          <w:highlight w:val="none"/>
        </w:rPr>
      </w:pPr>
      <w:r>
        <w:rPr>
          <w:rFonts w:hint="eastAsia" w:ascii="宋体" w:hAnsi="宋体" w:cs="宋体"/>
          <w:highlight w:val="none"/>
        </w:rPr>
        <w:t>附表一  拟投入本标段的主要施工设备表</w:t>
      </w:r>
    </w:p>
    <w:p>
      <w:pPr>
        <w:tabs>
          <w:tab w:val="left" w:pos="720"/>
        </w:tabs>
        <w:spacing w:line="440" w:lineRule="exact"/>
        <w:ind w:firstLine="756" w:firstLineChars="360"/>
        <w:rPr>
          <w:rFonts w:ascii="宋体" w:hAnsi="宋体" w:cs="宋体"/>
          <w:highlight w:val="none"/>
        </w:rPr>
      </w:pPr>
      <w:r>
        <w:rPr>
          <w:rFonts w:hint="eastAsia" w:ascii="宋体" w:hAnsi="宋体" w:cs="宋体"/>
          <w:highlight w:val="none"/>
        </w:rPr>
        <w:t>附表二  拟配备本标段的试验和检测仪器设备表</w:t>
      </w:r>
    </w:p>
    <w:p>
      <w:pPr>
        <w:tabs>
          <w:tab w:val="left" w:pos="720"/>
        </w:tabs>
        <w:spacing w:line="440" w:lineRule="exact"/>
        <w:ind w:firstLine="756" w:firstLineChars="360"/>
        <w:rPr>
          <w:rFonts w:ascii="宋体" w:hAnsi="宋体" w:cs="宋体"/>
          <w:highlight w:val="none"/>
        </w:rPr>
      </w:pPr>
      <w:r>
        <w:rPr>
          <w:rFonts w:hint="eastAsia" w:ascii="宋体" w:hAnsi="宋体" w:cs="宋体"/>
          <w:highlight w:val="none"/>
        </w:rPr>
        <w:t>附表三  劳动力计划表</w:t>
      </w:r>
    </w:p>
    <w:p>
      <w:pPr>
        <w:tabs>
          <w:tab w:val="left" w:pos="720"/>
        </w:tabs>
        <w:spacing w:line="440" w:lineRule="exact"/>
        <w:ind w:firstLine="756" w:firstLineChars="360"/>
        <w:rPr>
          <w:rFonts w:ascii="宋体" w:hAnsi="宋体" w:cs="宋体"/>
          <w:highlight w:val="none"/>
        </w:rPr>
      </w:pPr>
      <w:r>
        <w:rPr>
          <w:rFonts w:hint="eastAsia" w:ascii="宋体" w:hAnsi="宋体" w:cs="宋体"/>
          <w:highlight w:val="none"/>
        </w:rPr>
        <w:t>附表四  计划开、竣工日期和施工进度网络图</w:t>
      </w:r>
    </w:p>
    <w:p>
      <w:pPr>
        <w:tabs>
          <w:tab w:val="left" w:pos="720"/>
        </w:tabs>
        <w:spacing w:line="440" w:lineRule="exact"/>
        <w:ind w:firstLine="756" w:firstLineChars="360"/>
        <w:rPr>
          <w:rFonts w:ascii="宋体" w:hAnsi="宋体" w:cs="宋体"/>
          <w:highlight w:val="none"/>
        </w:rPr>
      </w:pPr>
      <w:r>
        <w:rPr>
          <w:rFonts w:hint="eastAsia" w:ascii="宋体" w:hAnsi="宋体" w:cs="宋体"/>
          <w:highlight w:val="none"/>
        </w:rPr>
        <w:t>附表五  施工总平面图</w:t>
      </w:r>
    </w:p>
    <w:p>
      <w:pPr>
        <w:spacing w:line="440" w:lineRule="exact"/>
        <w:rPr>
          <w:rFonts w:ascii="宋体" w:hAnsi="宋体" w:cs="宋体"/>
          <w:sz w:val="20"/>
          <w:highlight w:val="none"/>
        </w:rPr>
      </w:pPr>
    </w:p>
    <w:p>
      <w:pPr>
        <w:pStyle w:val="36"/>
        <w:rPr>
          <w:rFonts w:eastAsia="宋体"/>
          <w:highlight w:val="none"/>
        </w:rPr>
      </w:pPr>
      <w:bookmarkStart w:id="239" w:name="_Toc152045797"/>
      <w:bookmarkStart w:id="240" w:name="_Toc416273860"/>
      <w:bookmarkStart w:id="241" w:name="_Toc227984084"/>
      <w:bookmarkStart w:id="242" w:name="_Toc451622429"/>
      <w:bookmarkStart w:id="243" w:name="_Toc416273949"/>
      <w:bookmarkStart w:id="244" w:name="_Toc144974865"/>
      <w:bookmarkStart w:id="245" w:name="_Toc152042586"/>
      <w:bookmarkStart w:id="246" w:name="_Toc390413384"/>
      <w:bookmarkStart w:id="247" w:name="_Toc482980317"/>
      <w:r>
        <w:rPr>
          <w:rFonts w:hint="eastAsia" w:eastAsia="宋体"/>
          <w:highlight w:val="none"/>
        </w:rPr>
        <w:t>附表一：拟投入本标段的主要施工设备表</w:t>
      </w:r>
      <w:bookmarkEnd w:id="239"/>
      <w:bookmarkEnd w:id="240"/>
      <w:bookmarkEnd w:id="241"/>
      <w:bookmarkEnd w:id="242"/>
      <w:bookmarkEnd w:id="243"/>
      <w:bookmarkEnd w:id="244"/>
      <w:bookmarkEnd w:id="245"/>
      <w:bookmarkEnd w:id="246"/>
      <w:bookmarkEnd w:id="247"/>
    </w:p>
    <w:p>
      <w:pPr>
        <w:spacing w:line="440" w:lineRule="exact"/>
        <w:rPr>
          <w:rFonts w:ascii="宋体" w:hAnsi="宋体" w:cs="宋体"/>
          <w:sz w:val="20"/>
          <w:highlight w:val="none"/>
        </w:rPr>
      </w:pPr>
    </w:p>
    <w:tbl>
      <w:tblPr>
        <w:tblStyle w:val="2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1097"/>
        <w:gridCol w:w="769"/>
        <w:gridCol w:w="1000"/>
        <w:gridCol w:w="679"/>
        <w:gridCol w:w="746"/>
        <w:gridCol w:w="1224"/>
        <w:gridCol w:w="883"/>
        <w:gridCol w:w="1066"/>
        <w:gridCol w:w="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672" w:type="dxa"/>
            <w:vAlign w:val="center"/>
          </w:tcPr>
          <w:p>
            <w:pPr>
              <w:spacing w:line="440" w:lineRule="exact"/>
              <w:rPr>
                <w:rFonts w:ascii="宋体" w:hAnsi="宋体" w:cs="宋体"/>
                <w:highlight w:val="none"/>
              </w:rPr>
            </w:pPr>
            <w:r>
              <w:rPr>
                <w:rFonts w:hint="eastAsia" w:ascii="宋体" w:hAnsi="宋体" w:cs="宋体"/>
                <w:highlight w:val="none"/>
              </w:rPr>
              <w:t>序号</w:t>
            </w:r>
          </w:p>
        </w:tc>
        <w:tc>
          <w:tcPr>
            <w:tcW w:w="1097" w:type="dxa"/>
            <w:vAlign w:val="center"/>
          </w:tcPr>
          <w:p>
            <w:pPr>
              <w:spacing w:line="440" w:lineRule="exact"/>
              <w:jc w:val="center"/>
              <w:rPr>
                <w:rFonts w:ascii="宋体" w:hAnsi="宋体" w:cs="宋体"/>
                <w:highlight w:val="none"/>
              </w:rPr>
            </w:pPr>
            <w:r>
              <w:rPr>
                <w:rFonts w:hint="eastAsia" w:ascii="宋体" w:hAnsi="宋体" w:cs="宋体"/>
                <w:highlight w:val="none"/>
              </w:rPr>
              <w:t>设备名称</w:t>
            </w:r>
          </w:p>
        </w:tc>
        <w:tc>
          <w:tcPr>
            <w:tcW w:w="769" w:type="dxa"/>
            <w:vAlign w:val="center"/>
          </w:tcPr>
          <w:p>
            <w:pPr>
              <w:spacing w:line="440" w:lineRule="exact"/>
              <w:jc w:val="center"/>
              <w:rPr>
                <w:rFonts w:ascii="宋体" w:hAnsi="宋体" w:cs="宋体"/>
                <w:highlight w:val="none"/>
              </w:rPr>
            </w:pPr>
            <w:r>
              <w:rPr>
                <w:rFonts w:hint="eastAsia" w:ascii="宋体" w:hAnsi="宋体" w:cs="宋体"/>
                <w:highlight w:val="none"/>
              </w:rPr>
              <w:t>型号</w:t>
            </w:r>
          </w:p>
          <w:p>
            <w:pPr>
              <w:spacing w:line="440" w:lineRule="exact"/>
              <w:jc w:val="center"/>
              <w:rPr>
                <w:rFonts w:ascii="宋体" w:hAnsi="宋体" w:cs="宋体"/>
                <w:highlight w:val="none"/>
              </w:rPr>
            </w:pPr>
            <w:r>
              <w:rPr>
                <w:rFonts w:hint="eastAsia" w:ascii="宋体" w:hAnsi="宋体" w:cs="宋体"/>
                <w:highlight w:val="none"/>
              </w:rPr>
              <w:t>规格</w:t>
            </w:r>
          </w:p>
        </w:tc>
        <w:tc>
          <w:tcPr>
            <w:tcW w:w="1000" w:type="dxa"/>
            <w:vAlign w:val="center"/>
          </w:tcPr>
          <w:p>
            <w:pPr>
              <w:spacing w:line="440" w:lineRule="exact"/>
              <w:jc w:val="center"/>
              <w:rPr>
                <w:rFonts w:ascii="宋体" w:hAnsi="宋体" w:cs="宋体"/>
                <w:highlight w:val="none"/>
              </w:rPr>
            </w:pPr>
            <w:r>
              <w:rPr>
                <w:rFonts w:hint="eastAsia" w:ascii="宋体" w:hAnsi="宋体" w:cs="宋体"/>
                <w:highlight w:val="none"/>
              </w:rPr>
              <w:t>数量</w:t>
            </w:r>
          </w:p>
        </w:tc>
        <w:tc>
          <w:tcPr>
            <w:tcW w:w="679" w:type="dxa"/>
            <w:vAlign w:val="center"/>
          </w:tcPr>
          <w:p>
            <w:pPr>
              <w:spacing w:line="440" w:lineRule="exact"/>
              <w:jc w:val="center"/>
              <w:rPr>
                <w:rFonts w:ascii="宋体" w:hAnsi="宋体" w:cs="宋体"/>
                <w:highlight w:val="none"/>
              </w:rPr>
            </w:pPr>
            <w:r>
              <w:rPr>
                <w:rFonts w:hint="eastAsia" w:ascii="宋体" w:hAnsi="宋体" w:cs="宋体"/>
                <w:highlight w:val="none"/>
              </w:rPr>
              <w:t>国别</w:t>
            </w:r>
          </w:p>
          <w:p>
            <w:pPr>
              <w:spacing w:line="440" w:lineRule="exact"/>
              <w:jc w:val="center"/>
              <w:rPr>
                <w:rFonts w:ascii="宋体" w:hAnsi="宋体" w:cs="宋体"/>
                <w:highlight w:val="none"/>
              </w:rPr>
            </w:pPr>
            <w:r>
              <w:rPr>
                <w:rFonts w:hint="eastAsia" w:ascii="宋体" w:hAnsi="宋体" w:cs="宋体"/>
                <w:highlight w:val="none"/>
              </w:rPr>
              <w:t>产地</w:t>
            </w:r>
          </w:p>
        </w:tc>
        <w:tc>
          <w:tcPr>
            <w:tcW w:w="746" w:type="dxa"/>
            <w:vAlign w:val="center"/>
          </w:tcPr>
          <w:p>
            <w:pPr>
              <w:spacing w:line="440" w:lineRule="exact"/>
              <w:jc w:val="center"/>
              <w:rPr>
                <w:rFonts w:ascii="宋体" w:hAnsi="宋体" w:cs="宋体"/>
                <w:highlight w:val="none"/>
              </w:rPr>
            </w:pPr>
            <w:r>
              <w:rPr>
                <w:rFonts w:hint="eastAsia" w:ascii="宋体" w:hAnsi="宋体" w:cs="宋体"/>
                <w:highlight w:val="none"/>
              </w:rPr>
              <w:t>制造</w:t>
            </w:r>
          </w:p>
          <w:p>
            <w:pPr>
              <w:spacing w:line="440" w:lineRule="exact"/>
              <w:jc w:val="center"/>
              <w:rPr>
                <w:rFonts w:ascii="宋体" w:hAnsi="宋体" w:cs="宋体"/>
                <w:highlight w:val="none"/>
              </w:rPr>
            </w:pPr>
            <w:r>
              <w:rPr>
                <w:rFonts w:hint="eastAsia" w:ascii="宋体" w:hAnsi="宋体" w:cs="宋体"/>
                <w:highlight w:val="none"/>
              </w:rPr>
              <w:t>年份</w:t>
            </w:r>
          </w:p>
        </w:tc>
        <w:tc>
          <w:tcPr>
            <w:tcW w:w="1224" w:type="dxa"/>
            <w:vAlign w:val="center"/>
          </w:tcPr>
          <w:p>
            <w:pPr>
              <w:spacing w:line="440" w:lineRule="exact"/>
              <w:jc w:val="center"/>
              <w:rPr>
                <w:rFonts w:ascii="宋体" w:hAnsi="宋体" w:cs="宋体"/>
                <w:highlight w:val="none"/>
              </w:rPr>
            </w:pPr>
            <w:r>
              <w:rPr>
                <w:rFonts w:hint="eastAsia" w:ascii="宋体" w:hAnsi="宋体" w:cs="宋体"/>
                <w:highlight w:val="none"/>
              </w:rPr>
              <w:t>额定功率（KW）</w:t>
            </w:r>
          </w:p>
        </w:tc>
        <w:tc>
          <w:tcPr>
            <w:tcW w:w="883" w:type="dxa"/>
            <w:vAlign w:val="center"/>
          </w:tcPr>
          <w:p>
            <w:pPr>
              <w:spacing w:line="440" w:lineRule="exact"/>
              <w:jc w:val="center"/>
              <w:rPr>
                <w:rFonts w:ascii="宋体" w:hAnsi="宋体" w:cs="宋体"/>
                <w:highlight w:val="none"/>
              </w:rPr>
            </w:pPr>
            <w:r>
              <w:rPr>
                <w:rFonts w:hint="eastAsia" w:ascii="宋体" w:hAnsi="宋体" w:cs="宋体"/>
                <w:highlight w:val="none"/>
              </w:rPr>
              <w:t>生产</w:t>
            </w:r>
          </w:p>
          <w:p>
            <w:pPr>
              <w:spacing w:line="440" w:lineRule="exact"/>
              <w:jc w:val="center"/>
              <w:rPr>
                <w:rFonts w:ascii="宋体" w:hAnsi="宋体" w:cs="宋体"/>
                <w:highlight w:val="none"/>
              </w:rPr>
            </w:pPr>
            <w:r>
              <w:rPr>
                <w:rFonts w:hint="eastAsia" w:ascii="宋体" w:hAnsi="宋体" w:cs="宋体"/>
                <w:highlight w:val="none"/>
              </w:rPr>
              <w:t>能力</w:t>
            </w:r>
          </w:p>
        </w:tc>
        <w:tc>
          <w:tcPr>
            <w:tcW w:w="1066" w:type="dxa"/>
            <w:vAlign w:val="center"/>
          </w:tcPr>
          <w:p>
            <w:pPr>
              <w:spacing w:line="440" w:lineRule="exact"/>
              <w:jc w:val="center"/>
              <w:rPr>
                <w:rFonts w:ascii="宋体" w:hAnsi="宋体" w:cs="宋体"/>
                <w:highlight w:val="none"/>
              </w:rPr>
            </w:pPr>
            <w:r>
              <w:rPr>
                <w:rFonts w:hint="eastAsia" w:ascii="宋体" w:hAnsi="宋体" w:cs="宋体"/>
                <w:highlight w:val="none"/>
              </w:rPr>
              <w:t>用于施工部位</w:t>
            </w:r>
          </w:p>
        </w:tc>
        <w:tc>
          <w:tcPr>
            <w:tcW w:w="698" w:type="dxa"/>
            <w:vAlign w:val="center"/>
          </w:tcPr>
          <w:p>
            <w:pPr>
              <w:spacing w:line="440" w:lineRule="exact"/>
              <w:jc w:val="center"/>
              <w:rPr>
                <w:rFonts w:ascii="宋体" w:hAnsi="宋体" w:cs="宋体"/>
                <w:highlight w:val="none"/>
              </w:rPr>
            </w:pPr>
            <w:r>
              <w:rPr>
                <w:rFonts w:hint="eastAsia" w:ascii="宋体" w:hAnsi="宋体" w:cs="宋体"/>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672" w:type="dxa"/>
            <w:vAlign w:val="center"/>
          </w:tcPr>
          <w:p>
            <w:pPr>
              <w:spacing w:line="440" w:lineRule="exact"/>
              <w:jc w:val="center"/>
              <w:rPr>
                <w:rFonts w:ascii="宋体" w:hAnsi="宋体" w:cs="宋体"/>
                <w:highlight w:val="none"/>
              </w:rPr>
            </w:pPr>
          </w:p>
        </w:tc>
        <w:tc>
          <w:tcPr>
            <w:tcW w:w="1097" w:type="dxa"/>
            <w:vAlign w:val="center"/>
          </w:tcPr>
          <w:p>
            <w:pPr>
              <w:spacing w:line="440" w:lineRule="exact"/>
              <w:jc w:val="center"/>
              <w:rPr>
                <w:rFonts w:ascii="宋体" w:hAnsi="宋体" w:cs="宋体"/>
                <w:highlight w:val="none"/>
              </w:rPr>
            </w:pPr>
          </w:p>
        </w:tc>
        <w:tc>
          <w:tcPr>
            <w:tcW w:w="769" w:type="dxa"/>
            <w:vAlign w:val="center"/>
          </w:tcPr>
          <w:p>
            <w:pPr>
              <w:spacing w:line="440" w:lineRule="exact"/>
              <w:jc w:val="center"/>
              <w:rPr>
                <w:rFonts w:ascii="宋体" w:hAnsi="宋体" w:cs="宋体"/>
                <w:highlight w:val="none"/>
              </w:rPr>
            </w:pPr>
          </w:p>
        </w:tc>
        <w:tc>
          <w:tcPr>
            <w:tcW w:w="1000" w:type="dxa"/>
            <w:vAlign w:val="center"/>
          </w:tcPr>
          <w:p>
            <w:pPr>
              <w:spacing w:line="440" w:lineRule="exact"/>
              <w:jc w:val="center"/>
              <w:rPr>
                <w:rFonts w:ascii="宋体" w:hAnsi="宋体" w:cs="宋体"/>
                <w:highlight w:val="none"/>
              </w:rPr>
            </w:pPr>
          </w:p>
        </w:tc>
        <w:tc>
          <w:tcPr>
            <w:tcW w:w="679" w:type="dxa"/>
            <w:vAlign w:val="center"/>
          </w:tcPr>
          <w:p>
            <w:pPr>
              <w:spacing w:line="440" w:lineRule="exact"/>
              <w:jc w:val="center"/>
              <w:rPr>
                <w:rFonts w:ascii="宋体" w:hAnsi="宋体" w:cs="宋体"/>
                <w:highlight w:val="none"/>
              </w:rPr>
            </w:pPr>
          </w:p>
        </w:tc>
        <w:tc>
          <w:tcPr>
            <w:tcW w:w="746" w:type="dxa"/>
            <w:vAlign w:val="center"/>
          </w:tcPr>
          <w:p>
            <w:pPr>
              <w:spacing w:line="440" w:lineRule="exact"/>
              <w:jc w:val="center"/>
              <w:rPr>
                <w:rFonts w:ascii="宋体" w:hAnsi="宋体" w:cs="宋体"/>
                <w:highlight w:val="none"/>
              </w:rPr>
            </w:pPr>
          </w:p>
        </w:tc>
        <w:tc>
          <w:tcPr>
            <w:tcW w:w="1224" w:type="dxa"/>
            <w:vAlign w:val="center"/>
          </w:tcPr>
          <w:p>
            <w:pPr>
              <w:spacing w:line="440" w:lineRule="exact"/>
              <w:jc w:val="center"/>
              <w:rPr>
                <w:rFonts w:ascii="宋体" w:hAnsi="宋体" w:cs="宋体"/>
                <w:highlight w:val="none"/>
              </w:rPr>
            </w:pPr>
          </w:p>
        </w:tc>
        <w:tc>
          <w:tcPr>
            <w:tcW w:w="883" w:type="dxa"/>
            <w:vAlign w:val="center"/>
          </w:tcPr>
          <w:p>
            <w:pPr>
              <w:spacing w:line="440" w:lineRule="exact"/>
              <w:jc w:val="center"/>
              <w:rPr>
                <w:rFonts w:ascii="宋体" w:hAnsi="宋体" w:cs="宋体"/>
                <w:highlight w:val="none"/>
              </w:rPr>
            </w:pPr>
          </w:p>
        </w:tc>
        <w:tc>
          <w:tcPr>
            <w:tcW w:w="1066" w:type="dxa"/>
            <w:vAlign w:val="center"/>
          </w:tcPr>
          <w:p>
            <w:pPr>
              <w:spacing w:line="440" w:lineRule="exact"/>
              <w:jc w:val="center"/>
              <w:rPr>
                <w:rFonts w:ascii="宋体" w:hAnsi="宋体" w:cs="宋体"/>
                <w:highlight w:val="none"/>
              </w:rPr>
            </w:pPr>
          </w:p>
        </w:tc>
        <w:tc>
          <w:tcPr>
            <w:tcW w:w="698" w:type="dxa"/>
            <w:vAlign w:val="center"/>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672" w:type="dxa"/>
            <w:vAlign w:val="center"/>
          </w:tcPr>
          <w:p>
            <w:pPr>
              <w:spacing w:line="440" w:lineRule="exact"/>
              <w:jc w:val="center"/>
              <w:rPr>
                <w:rFonts w:ascii="宋体" w:hAnsi="宋体" w:cs="宋体"/>
                <w:highlight w:val="none"/>
              </w:rPr>
            </w:pPr>
          </w:p>
        </w:tc>
        <w:tc>
          <w:tcPr>
            <w:tcW w:w="1097" w:type="dxa"/>
            <w:vAlign w:val="center"/>
          </w:tcPr>
          <w:p>
            <w:pPr>
              <w:spacing w:line="440" w:lineRule="exact"/>
              <w:jc w:val="center"/>
              <w:rPr>
                <w:rFonts w:ascii="宋体" w:hAnsi="宋体" w:cs="宋体"/>
                <w:highlight w:val="none"/>
              </w:rPr>
            </w:pPr>
          </w:p>
        </w:tc>
        <w:tc>
          <w:tcPr>
            <w:tcW w:w="769" w:type="dxa"/>
            <w:vAlign w:val="center"/>
          </w:tcPr>
          <w:p>
            <w:pPr>
              <w:spacing w:line="440" w:lineRule="exact"/>
              <w:jc w:val="center"/>
              <w:rPr>
                <w:rFonts w:ascii="宋体" w:hAnsi="宋体" w:cs="宋体"/>
                <w:highlight w:val="none"/>
              </w:rPr>
            </w:pPr>
          </w:p>
        </w:tc>
        <w:tc>
          <w:tcPr>
            <w:tcW w:w="1000" w:type="dxa"/>
            <w:vAlign w:val="center"/>
          </w:tcPr>
          <w:p>
            <w:pPr>
              <w:spacing w:line="440" w:lineRule="exact"/>
              <w:jc w:val="center"/>
              <w:rPr>
                <w:rFonts w:ascii="宋体" w:hAnsi="宋体" w:cs="宋体"/>
                <w:highlight w:val="none"/>
              </w:rPr>
            </w:pPr>
          </w:p>
        </w:tc>
        <w:tc>
          <w:tcPr>
            <w:tcW w:w="679" w:type="dxa"/>
            <w:vAlign w:val="center"/>
          </w:tcPr>
          <w:p>
            <w:pPr>
              <w:spacing w:line="440" w:lineRule="exact"/>
              <w:jc w:val="center"/>
              <w:rPr>
                <w:rFonts w:ascii="宋体" w:hAnsi="宋体" w:cs="宋体"/>
                <w:highlight w:val="none"/>
              </w:rPr>
            </w:pPr>
          </w:p>
        </w:tc>
        <w:tc>
          <w:tcPr>
            <w:tcW w:w="746" w:type="dxa"/>
            <w:vAlign w:val="center"/>
          </w:tcPr>
          <w:p>
            <w:pPr>
              <w:spacing w:line="440" w:lineRule="exact"/>
              <w:jc w:val="center"/>
              <w:rPr>
                <w:rFonts w:ascii="宋体" w:hAnsi="宋体" w:cs="宋体"/>
                <w:highlight w:val="none"/>
              </w:rPr>
            </w:pPr>
          </w:p>
        </w:tc>
        <w:tc>
          <w:tcPr>
            <w:tcW w:w="1224" w:type="dxa"/>
            <w:vAlign w:val="center"/>
          </w:tcPr>
          <w:p>
            <w:pPr>
              <w:spacing w:line="440" w:lineRule="exact"/>
              <w:jc w:val="center"/>
              <w:rPr>
                <w:rFonts w:ascii="宋体" w:hAnsi="宋体" w:cs="宋体"/>
                <w:highlight w:val="none"/>
              </w:rPr>
            </w:pPr>
          </w:p>
        </w:tc>
        <w:tc>
          <w:tcPr>
            <w:tcW w:w="883" w:type="dxa"/>
            <w:vAlign w:val="center"/>
          </w:tcPr>
          <w:p>
            <w:pPr>
              <w:spacing w:line="440" w:lineRule="exact"/>
              <w:jc w:val="center"/>
              <w:rPr>
                <w:rFonts w:ascii="宋体" w:hAnsi="宋体" w:cs="宋体"/>
                <w:highlight w:val="none"/>
              </w:rPr>
            </w:pPr>
          </w:p>
        </w:tc>
        <w:tc>
          <w:tcPr>
            <w:tcW w:w="1066" w:type="dxa"/>
            <w:vAlign w:val="center"/>
          </w:tcPr>
          <w:p>
            <w:pPr>
              <w:spacing w:line="440" w:lineRule="exact"/>
              <w:jc w:val="center"/>
              <w:rPr>
                <w:rFonts w:ascii="宋体" w:hAnsi="宋体" w:cs="宋体"/>
                <w:highlight w:val="none"/>
              </w:rPr>
            </w:pPr>
          </w:p>
        </w:tc>
        <w:tc>
          <w:tcPr>
            <w:tcW w:w="698" w:type="dxa"/>
            <w:vAlign w:val="center"/>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672" w:type="dxa"/>
          </w:tcPr>
          <w:p>
            <w:pPr>
              <w:spacing w:line="440" w:lineRule="exact"/>
              <w:jc w:val="center"/>
              <w:rPr>
                <w:rFonts w:ascii="宋体" w:hAnsi="宋体" w:cs="宋体"/>
                <w:highlight w:val="none"/>
              </w:rPr>
            </w:pPr>
          </w:p>
        </w:tc>
        <w:tc>
          <w:tcPr>
            <w:tcW w:w="1097" w:type="dxa"/>
          </w:tcPr>
          <w:p>
            <w:pPr>
              <w:spacing w:line="440" w:lineRule="exact"/>
              <w:jc w:val="center"/>
              <w:rPr>
                <w:rFonts w:ascii="宋体" w:hAnsi="宋体" w:cs="宋体"/>
                <w:highlight w:val="none"/>
              </w:rPr>
            </w:pPr>
          </w:p>
        </w:tc>
        <w:tc>
          <w:tcPr>
            <w:tcW w:w="769" w:type="dxa"/>
          </w:tcPr>
          <w:p>
            <w:pPr>
              <w:spacing w:line="440" w:lineRule="exact"/>
              <w:jc w:val="center"/>
              <w:rPr>
                <w:rFonts w:ascii="宋体" w:hAnsi="宋体" w:cs="宋体"/>
                <w:highlight w:val="none"/>
              </w:rPr>
            </w:pPr>
          </w:p>
        </w:tc>
        <w:tc>
          <w:tcPr>
            <w:tcW w:w="1000" w:type="dxa"/>
          </w:tcPr>
          <w:p>
            <w:pPr>
              <w:spacing w:line="440" w:lineRule="exact"/>
              <w:jc w:val="center"/>
              <w:rPr>
                <w:rFonts w:ascii="宋体" w:hAnsi="宋体" w:cs="宋体"/>
                <w:highlight w:val="none"/>
              </w:rPr>
            </w:pPr>
          </w:p>
        </w:tc>
        <w:tc>
          <w:tcPr>
            <w:tcW w:w="679" w:type="dxa"/>
          </w:tcPr>
          <w:p>
            <w:pPr>
              <w:spacing w:line="440" w:lineRule="exact"/>
              <w:jc w:val="center"/>
              <w:rPr>
                <w:rFonts w:ascii="宋体" w:hAnsi="宋体" w:cs="宋体"/>
                <w:highlight w:val="none"/>
              </w:rPr>
            </w:pPr>
          </w:p>
        </w:tc>
        <w:tc>
          <w:tcPr>
            <w:tcW w:w="746" w:type="dxa"/>
          </w:tcPr>
          <w:p>
            <w:pPr>
              <w:spacing w:line="440" w:lineRule="exact"/>
              <w:jc w:val="center"/>
              <w:rPr>
                <w:rFonts w:ascii="宋体" w:hAnsi="宋体" w:cs="宋体"/>
                <w:highlight w:val="none"/>
              </w:rPr>
            </w:pPr>
          </w:p>
        </w:tc>
        <w:tc>
          <w:tcPr>
            <w:tcW w:w="1224" w:type="dxa"/>
          </w:tcPr>
          <w:p>
            <w:pPr>
              <w:spacing w:line="440" w:lineRule="exact"/>
              <w:jc w:val="center"/>
              <w:rPr>
                <w:rFonts w:ascii="宋体" w:hAnsi="宋体" w:cs="宋体"/>
                <w:highlight w:val="none"/>
              </w:rPr>
            </w:pPr>
          </w:p>
        </w:tc>
        <w:tc>
          <w:tcPr>
            <w:tcW w:w="883" w:type="dxa"/>
          </w:tcPr>
          <w:p>
            <w:pPr>
              <w:spacing w:line="440" w:lineRule="exact"/>
              <w:jc w:val="center"/>
              <w:rPr>
                <w:rFonts w:ascii="宋体" w:hAnsi="宋体" w:cs="宋体"/>
                <w:highlight w:val="none"/>
              </w:rPr>
            </w:pPr>
          </w:p>
        </w:tc>
        <w:tc>
          <w:tcPr>
            <w:tcW w:w="1066" w:type="dxa"/>
          </w:tcPr>
          <w:p>
            <w:pPr>
              <w:spacing w:line="440" w:lineRule="exact"/>
              <w:jc w:val="center"/>
              <w:rPr>
                <w:rFonts w:ascii="宋体" w:hAnsi="宋体" w:cs="宋体"/>
                <w:highlight w:val="none"/>
              </w:rPr>
            </w:pPr>
          </w:p>
        </w:tc>
        <w:tc>
          <w:tcPr>
            <w:tcW w:w="698"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672" w:type="dxa"/>
          </w:tcPr>
          <w:p>
            <w:pPr>
              <w:spacing w:line="440" w:lineRule="exact"/>
              <w:jc w:val="center"/>
              <w:rPr>
                <w:rFonts w:ascii="宋体" w:hAnsi="宋体" w:cs="宋体"/>
                <w:highlight w:val="none"/>
              </w:rPr>
            </w:pPr>
          </w:p>
        </w:tc>
        <w:tc>
          <w:tcPr>
            <w:tcW w:w="1097" w:type="dxa"/>
          </w:tcPr>
          <w:p>
            <w:pPr>
              <w:spacing w:line="440" w:lineRule="exact"/>
              <w:jc w:val="center"/>
              <w:rPr>
                <w:rFonts w:ascii="宋体" w:hAnsi="宋体" w:cs="宋体"/>
                <w:highlight w:val="none"/>
              </w:rPr>
            </w:pPr>
          </w:p>
        </w:tc>
        <w:tc>
          <w:tcPr>
            <w:tcW w:w="769" w:type="dxa"/>
          </w:tcPr>
          <w:p>
            <w:pPr>
              <w:spacing w:line="440" w:lineRule="exact"/>
              <w:jc w:val="center"/>
              <w:rPr>
                <w:rFonts w:ascii="宋体" w:hAnsi="宋体" w:cs="宋体"/>
                <w:highlight w:val="none"/>
              </w:rPr>
            </w:pPr>
          </w:p>
        </w:tc>
        <w:tc>
          <w:tcPr>
            <w:tcW w:w="1000" w:type="dxa"/>
          </w:tcPr>
          <w:p>
            <w:pPr>
              <w:spacing w:line="440" w:lineRule="exact"/>
              <w:jc w:val="center"/>
              <w:rPr>
                <w:rFonts w:ascii="宋体" w:hAnsi="宋体" w:cs="宋体"/>
                <w:highlight w:val="none"/>
              </w:rPr>
            </w:pPr>
          </w:p>
        </w:tc>
        <w:tc>
          <w:tcPr>
            <w:tcW w:w="679" w:type="dxa"/>
          </w:tcPr>
          <w:p>
            <w:pPr>
              <w:spacing w:line="440" w:lineRule="exact"/>
              <w:jc w:val="center"/>
              <w:rPr>
                <w:rFonts w:ascii="宋体" w:hAnsi="宋体" w:cs="宋体"/>
                <w:highlight w:val="none"/>
              </w:rPr>
            </w:pPr>
          </w:p>
        </w:tc>
        <w:tc>
          <w:tcPr>
            <w:tcW w:w="746" w:type="dxa"/>
          </w:tcPr>
          <w:p>
            <w:pPr>
              <w:spacing w:line="440" w:lineRule="exact"/>
              <w:jc w:val="center"/>
              <w:rPr>
                <w:rFonts w:ascii="宋体" w:hAnsi="宋体" w:cs="宋体"/>
                <w:highlight w:val="none"/>
              </w:rPr>
            </w:pPr>
          </w:p>
        </w:tc>
        <w:tc>
          <w:tcPr>
            <w:tcW w:w="1224" w:type="dxa"/>
          </w:tcPr>
          <w:p>
            <w:pPr>
              <w:spacing w:line="440" w:lineRule="exact"/>
              <w:jc w:val="center"/>
              <w:rPr>
                <w:rFonts w:ascii="宋体" w:hAnsi="宋体" w:cs="宋体"/>
                <w:highlight w:val="none"/>
              </w:rPr>
            </w:pPr>
          </w:p>
        </w:tc>
        <w:tc>
          <w:tcPr>
            <w:tcW w:w="883" w:type="dxa"/>
          </w:tcPr>
          <w:p>
            <w:pPr>
              <w:spacing w:line="440" w:lineRule="exact"/>
              <w:jc w:val="center"/>
              <w:rPr>
                <w:rFonts w:ascii="宋体" w:hAnsi="宋体" w:cs="宋体"/>
                <w:highlight w:val="none"/>
              </w:rPr>
            </w:pPr>
          </w:p>
        </w:tc>
        <w:tc>
          <w:tcPr>
            <w:tcW w:w="1066" w:type="dxa"/>
          </w:tcPr>
          <w:p>
            <w:pPr>
              <w:spacing w:line="440" w:lineRule="exact"/>
              <w:jc w:val="center"/>
              <w:rPr>
                <w:rFonts w:ascii="宋体" w:hAnsi="宋体" w:cs="宋体"/>
                <w:highlight w:val="none"/>
              </w:rPr>
            </w:pPr>
          </w:p>
        </w:tc>
        <w:tc>
          <w:tcPr>
            <w:tcW w:w="698"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672" w:type="dxa"/>
          </w:tcPr>
          <w:p>
            <w:pPr>
              <w:spacing w:line="440" w:lineRule="exact"/>
              <w:jc w:val="center"/>
              <w:rPr>
                <w:rFonts w:ascii="宋体" w:hAnsi="宋体" w:cs="宋体"/>
                <w:highlight w:val="none"/>
              </w:rPr>
            </w:pPr>
          </w:p>
        </w:tc>
        <w:tc>
          <w:tcPr>
            <w:tcW w:w="1097" w:type="dxa"/>
          </w:tcPr>
          <w:p>
            <w:pPr>
              <w:spacing w:line="440" w:lineRule="exact"/>
              <w:jc w:val="center"/>
              <w:rPr>
                <w:rFonts w:ascii="宋体" w:hAnsi="宋体" w:cs="宋体"/>
                <w:highlight w:val="none"/>
              </w:rPr>
            </w:pPr>
          </w:p>
        </w:tc>
        <w:tc>
          <w:tcPr>
            <w:tcW w:w="769" w:type="dxa"/>
          </w:tcPr>
          <w:p>
            <w:pPr>
              <w:spacing w:line="440" w:lineRule="exact"/>
              <w:jc w:val="center"/>
              <w:rPr>
                <w:rFonts w:ascii="宋体" w:hAnsi="宋体" w:cs="宋体"/>
                <w:highlight w:val="none"/>
              </w:rPr>
            </w:pPr>
          </w:p>
        </w:tc>
        <w:tc>
          <w:tcPr>
            <w:tcW w:w="1000" w:type="dxa"/>
          </w:tcPr>
          <w:p>
            <w:pPr>
              <w:spacing w:line="440" w:lineRule="exact"/>
              <w:jc w:val="center"/>
              <w:rPr>
                <w:rFonts w:ascii="宋体" w:hAnsi="宋体" w:cs="宋体"/>
                <w:highlight w:val="none"/>
              </w:rPr>
            </w:pPr>
          </w:p>
        </w:tc>
        <w:tc>
          <w:tcPr>
            <w:tcW w:w="679" w:type="dxa"/>
          </w:tcPr>
          <w:p>
            <w:pPr>
              <w:spacing w:line="440" w:lineRule="exact"/>
              <w:jc w:val="center"/>
              <w:rPr>
                <w:rFonts w:ascii="宋体" w:hAnsi="宋体" w:cs="宋体"/>
                <w:highlight w:val="none"/>
              </w:rPr>
            </w:pPr>
          </w:p>
        </w:tc>
        <w:tc>
          <w:tcPr>
            <w:tcW w:w="746" w:type="dxa"/>
          </w:tcPr>
          <w:p>
            <w:pPr>
              <w:spacing w:line="440" w:lineRule="exact"/>
              <w:jc w:val="center"/>
              <w:rPr>
                <w:rFonts w:ascii="宋体" w:hAnsi="宋体" w:cs="宋体"/>
                <w:highlight w:val="none"/>
              </w:rPr>
            </w:pPr>
          </w:p>
        </w:tc>
        <w:tc>
          <w:tcPr>
            <w:tcW w:w="1224" w:type="dxa"/>
          </w:tcPr>
          <w:p>
            <w:pPr>
              <w:spacing w:line="440" w:lineRule="exact"/>
              <w:jc w:val="center"/>
              <w:rPr>
                <w:rFonts w:ascii="宋体" w:hAnsi="宋体" w:cs="宋体"/>
                <w:highlight w:val="none"/>
              </w:rPr>
            </w:pPr>
          </w:p>
        </w:tc>
        <w:tc>
          <w:tcPr>
            <w:tcW w:w="883" w:type="dxa"/>
          </w:tcPr>
          <w:p>
            <w:pPr>
              <w:spacing w:line="440" w:lineRule="exact"/>
              <w:jc w:val="center"/>
              <w:rPr>
                <w:rFonts w:ascii="宋体" w:hAnsi="宋体" w:cs="宋体"/>
                <w:highlight w:val="none"/>
              </w:rPr>
            </w:pPr>
          </w:p>
        </w:tc>
        <w:tc>
          <w:tcPr>
            <w:tcW w:w="1066" w:type="dxa"/>
          </w:tcPr>
          <w:p>
            <w:pPr>
              <w:spacing w:line="440" w:lineRule="exact"/>
              <w:jc w:val="center"/>
              <w:rPr>
                <w:rFonts w:ascii="宋体" w:hAnsi="宋体" w:cs="宋体"/>
                <w:highlight w:val="none"/>
              </w:rPr>
            </w:pPr>
          </w:p>
        </w:tc>
        <w:tc>
          <w:tcPr>
            <w:tcW w:w="698"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672" w:type="dxa"/>
          </w:tcPr>
          <w:p>
            <w:pPr>
              <w:spacing w:line="440" w:lineRule="exact"/>
              <w:jc w:val="center"/>
              <w:rPr>
                <w:rFonts w:ascii="宋体" w:hAnsi="宋体" w:cs="宋体"/>
                <w:highlight w:val="none"/>
              </w:rPr>
            </w:pPr>
          </w:p>
        </w:tc>
        <w:tc>
          <w:tcPr>
            <w:tcW w:w="1097" w:type="dxa"/>
          </w:tcPr>
          <w:p>
            <w:pPr>
              <w:spacing w:line="440" w:lineRule="exact"/>
              <w:jc w:val="center"/>
              <w:rPr>
                <w:rFonts w:ascii="宋体" w:hAnsi="宋体" w:cs="宋体"/>
                <w:highlight w:val="none"/>
              </w:rPr>
            </w:pPr>
          </w:p>
        </w:tc>
        <w:tc>
          <w:tcPr>
            <w:tcW w:w="769" w:type="dxa"/>
          </w:tcPr>
          <w:p>
            <w:pPr>
              <w:spacing w:line="440" w:lineRule="exact"/>
              <w:jc w:val="center"/>
              <w:rPr>
                <w:rFonts w:ascii="宋体" w:hAnsi="宋体" w:cs="宋体"/>
                <w:highlight w:val="none"/>
              </w:rPr>
            </w:pPr>
          </w:p>
        </w:tc>
        <w:tc>
          <w:tcPr>
            <w:tcW w:w="1000" w:type="dxa"/>
          </w:tcPr>
          <w:p>
            <w:pPr>
              <w:spacing w:line="440" w:lineRule="exact"/>
              <w:jc w:val="center"/>
              <w:rPr>
                <w:rFonts w:ascii="宋体" w:hAnsi="宋体" w:cs="宋体"/>
                <w:highlight w:val="none"/>
              </w:rPr>
            </w:pPr>
          </w:p>
        </w:tc>
        <w:tc>
          <w:tcPr>
            <w:tcW w:w="679" w:type="dxa"/>
          </w:tcPr>
          <w:p>
            <w:pPr>
              <w:spacing w:line="440" w:lineRule="exact"/>
              <w:jc w:val="center"/>
              <w:rPr>
                <w:rFonts w:ascii="宋体" w:hAnsi="宋体" w:cs="宋体"/>
                <w:highlight w:val="none"/>
              </w:rPr>
            </w:pPr>
          </w:p>
        </w:tc>
        <w:tc>
          <w:tcPr>
            <w:tcW w:w="746" w:type="dxa"/>
          </w:tcPr>
          <w:p>
            <w:pPr>
              <w:spacing w:line="440" w:lineRule="exact"/>
              <w:jc w:val="center"/>
              <w:rPr>
                <w:rFonts w:ascii="宋体" w:hAnsi="宋体" w:cs="宋体"/>
                <w:highlight w:val="none"/>
              </w:rPr>
            </w:pPr>
          </w:p>
        </w:tc>
        <w:tc>
          <w:tcPr>
            <w:tcW w:w="1224" w:type="dxa"/>
          </w:tcPr>
          <w:p>
            <w:pPr>
              <w:spacing w:line="440" w:lineRule="exact"/>
              <w:jc w:val="center"/>
              <w:rPr>
                <w:rFonts w:ascii="宋体" w:hAnsi="宋体" w:cs="宋体"/>
                <w:highlight w:val="none"/>
              </w:rPr>
            </w:pPr>
          </w:p>
        </w:tc>
        <w:tc>
          <w:tcPr>
            <w:tcW w:w="883" w:type="dxa"/>
          </w:tcPr>
          <w:p>
            <w:pPr>
              <w:spacing w:line="440" w:lineRule="exact"/>
              <w:jc w:val="center"/>
              <w:rPr>
                <w:rFonts w:ascii="宋体" w:hAnsi="宋体" w:cs="宋体"/>
                <w:highlight w:val="none"/>
              </w:rPr>
            </w:pPr>
          </w:p>
        </w:tc>
        <w:tc>
          <w:tcPr>
            <w:tcW w:w="1066" w:type="dxa"/>
          </w:tcPr>
          <w:p>
            <w:pPr>
              <w:spacing w:line="440" w:lineRule="exact"/>
              <w:jc w:val="center"/>
              <w:rPr>
                <w:rFonts w:ascii="宋体" w:hAnsi="宋体" w:cs="宋体"/>
                <w:highlight w:val="none"/>
              </w:rPr>
            </w:pPr>
          </w:p>
        </w:tc>
        <w:tc>
          <w:tcPr>
            <w:tcW w:w="698"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672" w:type="dxa"/>
          </w:tcPr>
          <w:p>
            <w:pPr>
              <w:spacing w:line="440" w:lineRule="exact"/>
              <w:jc w:val="center"/>
              <w:rPr>
                <w:rFonts w:ascii="宋体" w:hAnsi="宋体" w:cs="宋体"/>
                <w:highlight w:val="none"/>
              </w:rPr>
            </w:pPr>
          </w:p>
        </w:tc>
        <w:tc>
          <w:tcPr>
            <w:tcW w:w="1097" w:type="dxa"/>
          </w:tcPr>
          <w:p>
            <w:pPr>
              <w:spacing w:line="440" w:lineRule="exact"/>
              <w:jc w:val="center"/>
              <w:rPr>
                <w:rFonts w:ascii="宋体" w:hAnsi="宋体" w:cs="宋体"/>
                <w:highlight w:val="none"/>
              </w:rPr>
            </w:pPr>
          </w:p>
        </w:tc>
        <w:tc>
          <w:tcPr>
            <w:tcW w:w="769" w:type="dxa"/>
          </w:tcPr>
          <w:p>
            <w:pPr>
              <w:spacing w:line="440" w:lineRule="exact"/>
              <w:jc w:val="center"/>
              <w:rPr>
                <w:rFonts w:ascii="宋体" w:hAnsi="宋体" w:cs="宋体"/>
                <w:highlight w:val="none"/>
              </w:rPr>
            </w:pPr>
          </w:p>
        </w:tc>
        <w:tc>
          <w:tcPr>
            <w:tcW w:w="1000" w:type="dxa"/>
          </w:tcPr>
          <w:p>
            <w:pPr>
              <w:spacing w:line="440" w:lineRule="exact"/>
              <w:jc w:val="center"/>
              <w:rPr>
                <w:rFonts w:ascii="宋体" w:hAnsi="宋体" w:cs="宋体"/>
                <w:highlight w:val="none"/>
              </w:rPr>
            </w:pPr>
          </w:p>
        </w:tc>
        <w:tc>
          <w:tcPr>
            <w:tcW w:w="679" w:type="dxa"/>
          </w:tcPr>
          <w:p>
            <w:pPr>
              <w:spacing w:line="440" w:lineRule="exact"/>
              <w:jc w:val="center"/>
              <w:rPr>
                <w:rFonts w:ascii="宋体" w:hAnsi="宋体" w:cs="宋体"/>
                <w:highlight w:val="none"/>
              </w:rPr>
            </w:pPr>
          </w:p>
        </w:tc>
        <w:tc>
          <w:tcPr>
            <w:tcW w:w="746" w:type="dxa"/>
          </w:tcPr>
          <w:p>
            <w:pPr>
              <w:spacing w:line="440" w:lineRule="exact"/>
              <w:jc w:val="center"/>
              <w:rPr>
                <w:rFonts w:ascii="宋体" w:hAnsi="宋体" w:cs="宋体"/>
                <w:highlight w:val="none"/>
              </w:rPr>
            </w:pPr>
          </w:p>
        </w:tc>
        <w:tc>
          <w:tcPr>
            <w:tcW w:w="1224" w:type="dxa"/>
          </w:tcPr>
          <w:p>
            <w:pPr>
              <w:spacing w:line="440" w:lineRule="exact"/>
              <w:jc w:val="center"/>
              <w:rPr>
                <w:rFonts w:ascii="宋体" w:hAnsi="宋体" w:cs="宋体"/>
                <w:highlight w:val="none"/>
              </w:rPr>
            </w:pPr>
          </w:p>
        </w:tc>
        <w:tc>
          <w:tcPr>
            <w:tcW w:w="883" w:type="dxa"/>
          </w:tcPr>
          <w:p>
            <w:pPr>
              <w:spacing w:line="440" w:lineRule="exact"/>
              <w:jc w:val="center"/>
              <w:rPr>
                <w:rFonts w:ascii="宋体" w:hAnsi="宋体" w:cs="宋体"/>
                <w:highlight w:val="none"/>
              </w:rPr>
            </w:pPr>
          </w:p>
        </w:tc>
        <w:tc>
          <w:tcPr>
            <w:tcW w:w="1066" w:type="dxa"/>
          </w:tcPr>
          <w:p>
            <w:pPr>
              <w:spacing w:line="440" w:lineRule="exact"/>
              <w:jc w:val="center"/>
              <w:rPr>
                <w:rFonts w:ascii="宋体" w:hAnsi="宋体" w:cs="宋体"/>
                <w:highlight w:val="none"/>
              </w:rPr>
            </w:pPr>
          </w:p>
        </w:tc>
        <w:tc>
          <w:tcPr>
            <w:tcW w:w="698"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672" w:type="dxa"/>
          </w:tcPr>
          <w:p>
            <w:pPr>
              <w:spacing w:line="440" w:lineRule="exact"/>
              <w:jc w:val="center"/>
              <w:rPr>
                <w:rFonts w:ascii="宋体" w:hAnsi="宋体" w:cs="宋体"/>
                <w:highlight w:val="none"/>
              </w:rPr>
            </w:pPr>
          </w:p>
        </w:tc>
        <w:tc>
          <w:tcPr>
            <w:tcW w:w="1097" w:type="dxa"/>
          </w:tcPr>
          <w:p>
            <w:pPr>
              <w:spacing w:line="440" w:lineRule="exact"/>
              <w:jc w:val="center"/>
              <w:rPr>
                <w:rFonts w:ascii="宋体" w:hAnsi="宋体" w:cs="宋体"/>
                <w:highlight w:val="none"/>
              </w:rPr>
            </w:pPr>
          </w:p>
        </w:tc>
        <w:tc>
          <w:tcPr>
            <w:tcW w:w="769" w:type="dxa"/>
          </w:tcPr>
          <w:p>
            <w:pPr>
              <w:spacing w:line="440" w:lineRule="exact"/>
              <w:jc w:val="center"/>
              <w:rPr>
                <w:rFonts w:ascii="宋体" w:hAnsi="宋体" w:cs="宋体"/>
                <w:highlight w:val="none"/>
              </w:rPr>
            </w:pPr>
          </w:p>
        </w:tc>
        <w:tc>
          <w:tcPr>
            <w:tcW w:w="1000" w:type="dxa"/>
          </w:tcPr>
          <w:p>
            <w:pPr>
              <w:spacing w:line="440" w:lineRule="exact"/>
              <w:jc w:val="center"/>
              <w:rPr>
                <w:rFonts w:ascii="宋体" w:hAnsi="宋体" w:cs="宋体"/>
                <w:highlight w:val="none"/>
              </w:rPr>
            </w:pPr>
          </w:p>
        </w:tc>
        <w:tc>
          <w:tcPr>
            <w:tcW w:w="679" w:type="dxa"/>
          </w:tcPr>
          <w:p>
            <w:pPr>
              <w:spacing w:line="440" w:lineRule="exact"/>
              <w:jc w:val="center"/>
              <w:rPr>
                <w:rFonts w:ascii="宋体" w:hAnsi="宋体" w:cs="宋体"/>
                <w:highlight w:val="none"/>
              </w:rPr>
            </w:pPr>
          </w:p>
        </w:tc>
        <w:tc>
          <w:tcPr>
            <w:tcW w:w="746" w:type="dxa"/>
          </w:tcPr>
          <w:p>
            <w:pPr>
              <w:spacing w:line="440" w:lineRule="exact"/>
              <w:jc w:val="center"/>
              <w:rPr>
                <w:rFonts w:ascii="宋体" w:hAnsi="宋体" w:cs="宋体"/>
                <w:highlight w:val="none"/>
              </w:rPr>
            </w:pPr>
          </w:p>
        </w:tc>
        <w:tc>
          <w:tcPr>
            <w:tcW w:w="1224" w:type="dxa"/>
          </w:tcPr>
          <w:p>
            <w:pPr>
              <w:spacing w:line="440" w:lineRule="exact"/>
              <w:jc w:val="center"/>
              <w:rPr>
                <w:rFonts w:ascii="宋体" w:hAnsi="宋体" w:cs="宋体"/>
                <w:highlight w:val="none"/>
              </w:rPr>
            </w:pPr>
          </w:p>
        </w:tc>
        <w:tc>
          <w:tcPr>
            <w:tcW w:w="883" w:type="dxa"/>
          </w:tcPr>
          <w:p>
            <w:pPr>
              <w:spacing w:line="440" w:lineRule="exact"/>
              <w:jc w:val="center"/>
              <w:rPr>
                <w:rFonts w:ascii="宋体" w:hAnsi="宋体" w:cs="宋体"/>
                <w:highlight w:val="none"/>
              </w:rPr>
            </w:pPr>
          </w:p>
        </w:tc>
        <w:tc>
          <w:tcPr>
            <w:tcW w:w="1066" w:type="dxa"/>
          </w:tcPr>
          <w:p>
            <w:pPr>
              <w:spacing w:line="440" w:lineRule="exact"/>
              <w:jc w:val="center"/>
              <w:rPr>
                <w:rFonts w:ascii="宋体" w:hAnsi="宋体" w:cs="宋体"/>
                <w:highlight w:val="none"/>
              </w:rPr>
            </w:pPr>
          </w:p>
        </w:tc>
        <w:tc>
          <w:tcPr>
            <w:tcW w:w="698"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672" w:type="dxa"/>
          </w:tcPr>
          <w:p>
            <w:pPr>
              <w:spacing w:line="440" w:lineRule="exact"/>
              <w:jc w:val="center"/>
              <w:rPr>
                <w:rFonts w:ascii="宋体" w:hAnsi="宋体" w:cs="宋体"/>
                <w:highlight w:val="none"/>
              </w:rPr>
            </w:pPr>
          </w:p>
        </w:tc>
        <w:tc>
          <w:tcPr>
            <w:tcW w:w="1097" w:type="dxa"/>
          </w:tcPr>
          <w:p>
            <w:pPr>
              <w:spacing w:line="440" w:lineRule="exact"/>
              <w:jc w:val="center"/>
              <w:rPr>
                <w:rFonts w:ascii="宋体" w:hAnsi="宋体" w:cs="宋体"/>
                <w:highlight w:val="none"/>
              </w:rPr>
            </w:pPr>
          </w:p>
        </w:tc>
        <w:tc>
          <w:tcPr>
            <w:tcW w:w="769" w:type="dxa"/>
          </w:tcPr>
          <w:p>
            <w:pPr>
              <w:spacing w:line="440" w:lineRule="exact"/>
              <w:jc w:val="center"/>
              <w:rPr>
                <w:rFonts w:ascii="宋体" w:hAnsi="宋体" w:cs="宋体"/>
                <w:highlight w:val="none"/>
              </w:rPr>
            </w:pPr>
          </w:p>
        </w:tc>
        <w:tc>
          <w:tcPr>
            <w:tcW w:w="1000" w:type="dxa"/>
          </w:tcPr>
          <w:p>
            <w:pPr>
              <w:spacing w:line="440" w:lineRule="exact"/>
              <w:jc w:val="center"/>
              <w:rPr>
                <w:rFonts w:ascii="宋体" w:hAnsi="宋体" w:cs="宋体"/>
                <w:highlight w:val="none"/>
              </w:rPr>
            </w:pPr>
          </w:p>
        </w:tc>
        <w:tc>
          <w:tcPr>
            <w:tcW w:w="679" w:type="dxa"/>
          </w:tcPr>
          <w:p>
            <w:pPr>
              <w:spacing w:line="440" w:lineRule="exact"/>
              <w:jc w:val="center"/>
              <w:rPr>
                <w:rFonts w:ascii="宋体" w:hAnsi="宋体" w:cs="宋体"/>
                <w:highlight w:val="none"/>
              </w:rPr>
            </w:pPr>
          </w:p>
        </w:tc>
        <w:tc>
          <w:tcPr>
            <w:tcW w:w="746" w:type="dxa"/>
          </w:tcPr>
          <w:p>
            <w:pPr>
              <w:spacing w:line="440" w:lineRule="exact"/>
              <w:jc w:val="center"/>
              <w:rPr>
                <w:rFonts w:ascii="宋体" w:hAnsi="宋体" w:cs="宋体"/>
                <w:highlight w:val="none"/>
              </w:rPr>
            </w:pPr>
          </w:p>
        </w:tc>
        <w:tc>
          <w:tcPr>
            <w:tcW w:w="1224" w:type="dxa"/>
          </w:tcPr>
          <w:p>
            <w:pPr>
              <w:spacing w:line="440" w:lineRule="exact"/>
              <w:jc w:val="center"/>
              <w:rPr>
                <w:rFonts w:ascii="宋体" w:hAnsi="宋体" w:cs="宋体"/>
                <w:highlight w:val="none"/>
              </w:rPr>
            </w:pPr>
          </w:p>
        </w:tc>
        <w:tc>
          <w:tcPr>
            <w:tcW w:w="883" w:type="dxa"/>
          </w:tcPr>
          <w:p>
            <w:pPr>
              <w:spacing w:line="440" w:lineRule="exact"/>
              <w:jc w:val="center"/>
              <w:rPr>
                <w:rFonts w:ascii="宋体" w:hAnsi="宋体" w:cs="宋体"/>
                <w:highlight w:val="none"/>
              </w:rPr>
            </w:pPr>
          </w:p>
        </w:tc>
        <w:tc>
          <w:tcPr>
            <w:tcW w:w="1066" w:type="dxa"/>
          </w:tcPr>
          <w:p>
            <w:pPr>
              <w:spacing w:line="440" w:lineRule="exact"/>
              <w:jc w:val="center"/>
              <w:rPr>
                <w:rFonts w:ascii="宋体" w:hAnsi="宋体" w:cs="宋体"/>
                <w:highlight w:val="none"/>
              </w:rPr>
            </w:pPr>
          </w:p>
        </w:tc>
        <w:tc>
          <w:tcPr>
            <w:tcW w:w="698"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672" w:type="dxa"/>
          </w:tcPr>
          <w:p>
            <w:pPr>
              <w:spacing w:line="440" w:lineRule="exact"/>
              <w:jc w:val="center"/>
              <w:rPr>
                <w:rFonts w:ascii="宋体" w:hAnsi="宋体" w:cs="宋体"/>
                <w:highlight w:val="none"/>
              </w:rPr>
            </w:pPr>
          </w:p>
        </w:tc>
        <w:tc>
          <w:tcPr>
            <w:tcW w:w="1097" w:type="dxa"/>
          </w:tcPr>
          <w:p>
            <w:pPr>
              <w:spacing w:line="440" w:lineRule="exact"/>
              <w:jc w:val="center"/>
              <w:rPr>
                <w:rFonts w:ascii="宋体" w:hAnsi="宋体" w:cs="宋体"/>
                <w:highlight w:val="none"/>
              </w:rPr>
            </w:pPr>
          </w:p>
        </w:tc>
        <w:tc>
          <w:tcPr>
            <w:tcW w:w="769" w:type="dxa"/>
          </w:tcPr>
          <w:p>
            <w:pPr>
              <w:spacing w:line="440" w:lineRule="exact"/>
              <w:jc w:val="center"/>
              <w:rPr>
                <w:rFonts w:ascii="宋体" w:hAnsi="宋体" w:cs="宋体"/>
                <w:highlight w:val="none"/>
              </w:rPr>
            </w:pPr>
          </w:p>
        </w:tc>
        <w:tc>
          <w:tcPr>
            <w:tcW w:w="1000" w:type="dxa"/>
          </w:tcPr>
          <w:p>
            <w:pPr>
              <w:spacing w:line="440" w:lineRule="exact"/>
              <w:jc w:val="center"/>
              <w:rPr>
                <w:rFonts w:ascii="宋体" w:hAnsi="宋体" w:cs="宋体"/>
                <w:highlight w:val="none"/>
              </w:rPr>
            </w:pPr>
          </w:p>
        </w:tc>
        <w:tc>
          <w:tcPr>
            <w:tcW w:w="679" w:type="dxa"/>
          </w:tcPr>
          <w:p>
            <w:pPr>
              <w:spacing w:line="440" w:lineRule="exact"/>
              <w:jc w:val="center"/>
              <w:rPr>
                <w:rFonts w:ascii="宋体" w:hAnsi="宋体" w:cs="宋体"/>
                <w:highlight w:val="none"/>
              </w:rPr>
            </w:pPr>
          </w:p>
        </w:tc>
        <w:tc>
          <w:tcPr>
            <w:tcW w:w="746" w:type="dxa"/>
          </w:tcPr>
          <w:p>
            <w:pPr>
              <w:spacing w:line="440" w:lineRule="exact"/>
              <w:jc w:val="center"/>
              <w:rPr>
                <w:rFonts w:ascii="宋体" w:hAnsi="宋体" w:cs="宋体"/>
                <w:highlight w:val="none"/>
              </w:rPr>
            </w:pPr>
          </w:p>
        </w:tc>
        <w:tc>
          <w:tcPr>
            <w:tcW w:w="1224" w:type="dxa"/>
          </w:tcPr>
          <w:p>
            <w:pPr>
              <w:spacing w:line="440" w:lineRule="exact"/>
              <w:jc w:val="center"/>
              <w:rPr>
                <w:rFonts w:ascii="宋体" w:hAnsi="宋体" w:cs="宋体"/>
                <w:highlight w:val="none"/>
              </w:rPr>
            </w:pPr>
          </w:p>
        </w:tc>
        <w:tc>
          <w:tcPr>
            <w:tcW w:w="883" w:type="dxa"/>
          </w:tcPr>
          <w:p>
            <w:pPr>
              <w:spacing w:line="440" w:lineRule="exact"/>
              <w:jc w:val="center"/>
              <w:rPr>
                <w:rFonts w:ascii="宋体" w:hAnsi="宋体" w:cs="宋体"/>
                <w:highlight w:val="none"/>
              </w:rPr>
            </w:pPr>
          </w:p>
        </w:tc>
        <w:tc>
          <w:tcPr>
            <w:tcW w:w="1066" w:type="dxa"/>
          </w:tcPr>
          <w:p>
            <w:pPr>
              <w:spacing w:line="440" w:lineRule="exact"/>
              <w:jc w:val="center"/>
              <w:rPr>
                <w:rFonts w:ascii="宋体" w:hAnsi="宋体" w:cs="宋体"/>
                <w:highlight w:val="none"/>
              </w:rPr>
            </w:pPr>
          </w:p>
        </w:tc>
        <w:tc>
          <w:tcPr>
            <w:tcW w:w="698" w:type="dxa"/>
          </w:tcPr>
          <w:p>
            <w:pPr>
              <w:spacing w:line="440" w:lineRule="exact"/>
              <w:jc w:val="center"/>
              <w:rPr>
                <w:rFonts w:ascii="宋体" w:hAnsi="宋体" w:cs="宋体"/>
                <w:highlight w:val="none"/>
              </w:rPr>
            </w:pPr>
          </w:p>
        </w:tc>
      </w:tr>
    </w:tbl>
    <w:p>
      <w:pPr>
        <w:spacing w:line="440" w:lineRule="exact"/>
        <w:rPr>
          <w:rFonts w:ascii="宋体" w:hAnsi="宋体" w:cs="宋体"/>
          <w:sz w:val="20"/>
          <w:highlight w:val="none"/>
        </w:rPr>
      </w:pPr>
      <w:r>
        <w:rPr>
          <w:rFonts w:hint="eastAsia" w:ascii="宋体" w:hAnsi="宋体" w:cs="宋体"/>
          <w:sz w:val="20"/>
          <w:highlight w:val="none"/>
        </w:rPr>
        <w:br w:type="page"/>
      </w:r>
    </w:p>
    <w:p>
      <w:pPr>
        <w:pStyle w:val="36"/>
        <w:rPr>
          <w:rFonts w:eastAsia="宋体"/>
          <w:highlight w:val="none"/>
        </w:rPr>
      </w:pPr>
      <w:bookmarkStart w:id="248" w:name="_Toc482980318"/>
      <w:bookmarkStart w:id="249" w:name="_Toc416273950"/>
      <w:bookmarkStart w:id="250" w:name="_Toc451622430"/>
      <w:bookmarkStart w:id="251" w:name="_Toc152042587"/>
      <w:bookmarkStart w:id="252" w:name="_Toc227984085"/>
      <w:bookmarkStart w:id="253" w:name="_Toc390413385"/>
      <w:bookmarkStart w:id="254" w:name="_Toc152045798"/>
      <w:bookmarkStart w:id="255" w:name="_Toc144974866"/>
      <w:bookmarkStart w:id="256" w:name="_Toc416273861"/>
      <w:r>
        <w:rPr>
          <w:rFonts w:hint="eastAsia" w:eastAsia="宋体"/>
          <w:highlight w:val="none"/>
        </w:rPr>
        <w:t>附表二：拟配备本标段的试验和检测仪器设备表</w:t>
      </w:r>
      <w:bookmarkEnd w:id="248"/>
      <w:bookmarkEnd w:id="249"/>
      <w:bookmarkEnd w:id="250"/>
      <w:bookmarkEnd w:id="251"/>
      <w:bookmarkEnd w:id="252"/>
      <w:bookmarkEnd w:id="253"/>
      <w:bookmarkEnd w:id="254"/>
      <w:bookmarkEnd w:id="255"/>
      <w:bookmarkEnd w:id="256"/>
    </w:p>
    <w:p>
      <w:pPr>
        <w:spacing w:line="440" w:lineRule="exact"/>
        <w:rPr>
          <w:rFonts w:ascii="宋体" w:hAnsi="宋体" w:cs="宋体"/>
          <w:sz w:val="20"/>
          <w:highlight w:val="none"/>
        </w:rPr>
      </w:pPr>
    </w:p>
    <w:tbl>
      <w:tblPr>
        <w:tblStyle w:val="2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1087"/>
        <w:gridCol w:w="760"/>
        <w:gridCol w:w="991"/>
        <w:gridCol w:w="672"/>
        <w:gridCol w:w="738"/>
        <w:gridCol w:w="1212"/>
        <w:gridCol w:w="1653"/>
        <w:gridCol w:w="6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vAlign w:val="center"/>
          </w:tcPr>
          <w:p>
            <w:pPr>
              <w:spacing w:line="440" w:lineRule="exact"/>
              <w:rPr>
                <w:rFonts w:ascii="宋体" w:hAnsi="宋体" w:cs="宋体"/>
                <w:highlight w:val="none"/>
              </w:rPr>
            </w:pPr>
            <w:r>
              <w:rPr>
                <w:rFonts w:hint="eastAsia" w:ascii="宋体" w:hAnsi="宋体" w:cs="宋体"/>
                <w:highlight w:val="none"/>
              </w:rPr>
              <w:t>序号</w:t>
            </w:r>
          </w:p>
        </w:tc>
        <w:tc>
          <w:tcPr>
            <w:tcW w:w="1087" w:type="dxa"/>
            <w:vAlign w:val="center"/>
          </w:tcPr>
          <w:p>
            <w:pPr>
              <w:spacing w:line="440" w:lineRule="exact"/>
              <w:jc w:val="center"/>
              <w:rPr>
                <w:rFonts w:ascii="宋体" w:hAnsi="宋体" w:cs="宋体"/>
                <w:highlight w:val="none"/>
              </w:rPr>
            </w:pPr>
            <w:r>
              <w:rPr>
                <w:rFonts w:hint="eastAsia" w:ascii="宋体" w:hAnsi="宋体" w:cs="宋体"/>
                <w:highlight w:val="none"/>
              </w:rPr>
              <w:t>仪器设备名称</w:t>
            </w:r>
          </w:p>
        </w:tc>
        <w:tc>
          <w:tcPr>
            <w:tcW w:w="760" w:type="dxa"/>
            <w:vAlign w:val="center"/>
          </w:tcPr>
          <w:p>
            <w:pPr>
              <w:spacing w:line="440" w:lineRule="exact"/>
              <w:jc w:val="center"/>
              <w:rPr>
                <w:rFonts w:ascii="宋体" w:hAnsi="宋体" w:cs="宋体"/>
                <w:highlight w:val="none"/>
              </w:rPr>
            </w:pPr>
            <w:r>
              <w:rPr>
                <w:rFonts w:hint="eastAsia" w:ascii="宋体" w:hAnsi="宋体" w:cs="宋体"/>
                <w:highlight w:val="none"/>
              </w:rPr>
              <w:t>型号</w:t>
            </w:r>
          </w:p>
          <w:p>
            <w:pPr>
              <w:spacing w:line="440" w:lineRule="exact"/>
              <w:jc w:val="center"/>
              <w:rPr>
                <w:rFonts w:ascii="宋体" w:hAnsi="宋体" w:cs="宋体"/>
                <w:highlight w:val="none"/>
              </w:rPr>
            </w:pPr>
            <w:r>
              <w:rPr>
                <w:rFonts w:hint="eastAsia" w:ascii="宋体" w:hAnsi="宋体" w:cs="宋体"/>
                <w:highlight w:val="none"/>
              </w:rPr>
              <w:t>规格</w:t>
            </w:r>
          </w:p>
        </w:tc>
        <w:tc>
          <w:tcPr>
            <w:tcW w:w="991" w:type="dxa"/>
            <w:vAlign w:val="center"/>
          </w:tcPr>
          <w:p>
            <w:pPr>
              <w:spacing w:line="440" w:lineRule="exact"/>
              <w:jc w:val="center"/>
              <w:rPr>
                <w:rFonts w:ascii="宋体" w:hAnsi="宋体" w:cs="宋体"/>
                <w:highlight w:val="none"/>
              </w:rPr>
            </w:pPr>
            <w:r>
              <w:rPr>
                <w:rFonts w:hint="eastAsia" w:ascii="宋体" w:hAnsi="宋体" w:cs="宋体"/>
                <w:highlight w:val="none"/>
              </w:rPr>
              <w:t>数量</w:t>
            </w:r>
          </w:p>
        </w:tc>
        <w:tc>
          <w:tcPr>
            <w:tcW w:w="672" w:type="dxa"/>
            <w:vAlign w:val="center"/>
          </w:tcPr>
          <w:p>
            <w:pPr>
              <w:spacing w:line="440" w:lineRule="exact"/>
              <w:jc w:val="center"/>
              <w:rPr>
                <w:rFonts w:ascii="宋体" w:hAnsi="宋体" w:cs="宋体"/>
                <w:highlight w:val="none"/>
              </w:rPr>
            </w:pPr>
            <w:r>
              <w:rPr>
                <w:rFonts w:hint="eastAsia" w:ascii="宋体" w:hAnsi="宋体" w:cs="宋体"/>
                <w:highlight w:val="none"/>
              </w:rPr>
              <w:t>国别</w:t>
            </w:r>
          </w:p>
          <w:p>
            <w:pPr>
              <w:spacing w:line="440" w:lineRule="exact"/>
              <w:jc w:val="center"/>
              <w:rPr>
                <w:rFonts w:ascii="宋体" w:hAnsi="宋体" w:cs="宋体"/>
                <w:highlight w:val="none"/>
              </w:rPr>
            </w:pPr>
            <w:r>
              <w:rPr>
                <w:rFonts w:hint="eastAsia" w:ascii="宋体" w:hAnsi="宋体" w:cs="宋体"/>
                <w:highlight w:val="none"/>
              </w:rPr>
              <w:t>产地</w:t>
            </w:r>
          </w:p>
        </w:tc>
        <w:tc>
          <w:tcPr>
            <w:tcW w:w="738" w:type="dxa"/>
            <w:vAlign w:val="center"/>
          </w:tcPr>
          <w:p>
            <w:pPr>
              <w:spacing w:line="440" w:lineRule="exact"/>
              <w:jc w:val="center"/>
              <w:rPr>
                <w:rFonts w:ascii="宋体" w:hAnsi="宋体" w:cs="宋体"/>
                <w:highlight w:val="none"/>
              </w:rPr>
            </w:pPr>
            <w:r>
              <w:rPr>
                <w:rFonts w:hint="eastAsia" w:ascii="宋体" w:hAnsi="宋体" w:cs="宋体"/>
                <w:highlight w:val="none"/>
              </w:rPr>
              <w:t>制造</w:t>
            </w:r>
          </w:p>
          <w:p>
            <w:pPr>
              <w:spacing w:line="440" w:lineRule="exact"/>
              <w:jc w:val="center"/>
              <w:rPr>
                <w:rFonts w:ascii="宋体" w:hAnsi="宋体" w:cs="宋体"/>
                <w:highlight w:val="none"/>
              </w:rPr>
            </w:pPr>
            <w:r>
              <w:rPr>
                <w:rFonts w:hint="eastAsia" w:ascii="宋体" w:hAnsi="宋体" w:cs="宋体"/>
                <w:highlight w:val="none"/>
              </w:rPr>
              <w:t>年份</w:t>
            </w:r>
          </w:p>
        </w:tc>
        <w:tc>
          <w:tcPr>
            <w:tcW w:w="1212" w:type="dxa"/>
            <w:vAlign w:val="center"/>
          </w:tcPr>
          <w:p>
            <w:pPr>
              <w:spacing w:line="440" w:lineRule="exact"/>
              <w:jc w:val="center"/>
              <w:rPr>
                <w:rFonts w:ascii="宋体" w:hAnsi="宋体" w:cs="宋体"/>
                <w:highlight w:val="none"/>
              </w:rPr>
            </w:pPr>
            <w:r>
              <w:rPr>
                <w:rFonts w:hint="eastAsia" w:ascii="宋体" w:hAnsi="宋体" w:cs="宋体"/>
                <w:highlight w:val="none"/>
              </w:rPr>
              <w:t>已使用台时数</w:t>
            </w:r>
          </w:p>
        </w:tc>
        <w:tc>
          <w:tcPr>
            <w:tcW w:w="1653" w:type="dxa"/>
            <w:vAlign w:val="center"/>
          </w:tcPr>
          <w:p>
            <w:pPr>
              <w:spacing w:line="440" w:lineRule="exact"/>
              <w:jc w:val="center"/>
              <w:rPr>
                <w:rFonts w:ascii="宋体" w:hAnsi="宋体" w:cs="宋体"/>
                <w:highlight w:val="none"/>
              </w:rPr>
            </w:pPr>
            <w:r>
              <w:rPr>
                <w:rFonts w:hint="eastAsia" w:ascii="宋体" w:hAnsi="宋体" w:cs="宋体"/>
                <w:highlight w:val="none"/>
              </w:rPr>
              <w:t>用途</w:t>
            </w:r>
          </w:p>
        </w:tc>
        <w:tc>
          <w:tcPr>
            <w:tcW w:w="688" w:type="dxa"/>
            <w:vAlign w:val="center"/>
          </w:tcPr>
          <w:p>
            <w:pPr>
              <w:spacing w:line="440" w:lineRule="exact"/>
              <w:jc w:val="center"/>
              <w:rPr>
                <w:rFonts w:ascii="宋体" w:hAnsi="宋体" w:cs="宋体"/>
                <w:highlight w:val="none"/>
              </w:rPr>
            </w:pPr>
            <w:r>
              <w:rPr>
                <w:rFonts w:hint="eastAsia" w:ascii="宋体" w:hAnsi="宋体" w:cs="宋体"/>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vAlign w:val="center"/>
          </w:tcPr>
          <w:p>
            <w:pPr>
              <w:spacing w:line="440" w:lineRule="exact"/>
              <w:jc w:val="center"/>
              <w:rPr>
                <w:rFonts w:ascii="宋体" w:hAnsi="宋体" w:cs="宋体"/>
                <w:highlight w:val="none"/>
              </w:rPr>
            </w:pPr>
          </w:p>
        </w:tc>
        <w:tc>
          <w:tcPr>
            <w:tcW w:w="1087" w:type="dxa"/>
            <w:vAlign w:val="center"/>
          </w:tcPr>
          <w:p>
            <w:pPr>
              <w:spacing w:line="440" w:lineRule="exact"/>
              <w:jc w:val="center"/>
              <w:rPr>
                <w:rFonts w:ascii="宋体" w:hAnsi="宋体" w:cs="宋体"/>
                <w:highlight w:val="none"/>
              </w:rPr>
            </w:pPr>
          </w:p>
        </w:tc>
        <w:tc>
          <w:tcPr>
            <w:tcW w:w="760" w:type="dxa"/>
            <w:vAlign w:val="center"/>
          </w:tcPr>
          <w:p>
            <w:pPr>
              <w:spacing w:line="440" w:lineRule="exact"/>
              <w:jc w:val="center"/>
              <w:rPr>
                <w:rFonts w:ascii="宋体" w:hAnsi="宋体" w:cs="宋体"/>
                <w:highlight w:val="none"/>
              </w:rPr>
            </w:pPr>
          </w:p>
        </w:tc>
        <w:tc>
          <w:tcPr>
            <w:tcW w:w="991" w:type="dxa"/>
            <w:vAlign w:val="center"/>
          </w:tcPr>
          <w:p>
            <w:pPr>
              <w:spacing w:line="440" w:lineRule="exact"/>
              <w:jc w:val="center"/>
              <w:rPr>
                <w:rFonts w:ascii="宋体" w:hAnsi="宋体" w:cs="宋体"/>
                <w:highlight w:val="none"/>
              </w:rPr>
            </w:pPr>
          </w:p>
        </w:tc>
        <w:tc>
          <w:tcPr>
            <w:tcW w:w="672" w:type="dxa"/>
            <w:vAlign w:val="center"/>
          </w:tcPr>
          <w:p>
            <w:pPr>
              <w:spacing w:line="440" w:lineRule="exact"/>
              <w:jc w:val="center"/>
              <w:rPr>
                <w:rFonts w:ascii="宋体" w:hAnsi="宋体" w:cs="宋体"/>
                <w:highlight w:val="none"/>
              </w:rPr>
            </w:pPr>
          </w:p>
        </w:tc>
        <w:tc>
          <w:tcPr>
            <w:tcW w:w="738" w:type="dxa"/>
            <w:vAlign w:val="center"/>
          </w:tcPr>
          <w:p>
            <w:pPr>
              <w:spacing w:line="440" w:lineRule="exact"/>
              <w:jc w:val="center"/>
              <w:rPr>
                <w:rFonts w:ascii="宋体" w:hAnsi="宋体" w:cs="宋体"/>
                <w:highlight w:val="none"/>
              </w:rPr>
            </w:pPr>
          </w:p>
        </w:tc>
        <w:tc>
          <w:tcPr>
            <w:tcW w:w="1212" w:type="dxa"/>
            <w:vAlign w:val="center"/>
          </w:tcPr>
          <w:p>
            <w:pPr>
              <w:spacing w:line="440" w:lineRule="exact"/>
              <w:jc w:val="center"/>
              <w:rPr>
                <w:rFonts w:ascii="宋体" w:hAnsi="宋体" w:cs="宋体"/>
                <w:highlight w:val="none"/>
              </w:rPr>
            </w:pPr>
          </w:p>
        </w:tc>
        <w:tc>
          <w:tcPr>
            <w:tcW w:w="1653" w:type="dxa"/>
            <w:vAlign w:val="center"/>
          </w:tcPr>
          <w:p>
            <w:pPr>
              <w:spacing w:line="440" w:lineRule="exact"/>
              <w:jc w:val="center"/>
              <w:rPr>
                <w:rFonts w:ascii="宋体" w:hAnsi="宋体" w:cs="宋体"/>
                <w:highlight w:val="none"/>
              </w:rPr>
            </w:pPr>
          </w:p>
        </w:tc>
        <w:tc>
          <w:tcPr>
            <w:tcW w:w="688" w:type="dxa"/>
            <w:vAlign w:val="center"/>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vAlign w:val="center"/>
          </w:tcPr>
          <w:p>
            <w:pPr>
              <w:spacing w:line="440" w:lineRule="exact"/>
              <w:jc w:val="center"/>
              <w:rPr>
                <w:rFonts w:ascii="宋体" w:hAnsi="宋体" w:cs="宋体"/>
                <w:highlight w:val="none"/>
              </w:rPr>
            </w:pPr>
          </w:p>
        </w:tc>
        <w:tc>
          <w:tcPr>
            <w:tcW w:w="1087" w:type="dxa"/>
            <w:vAlign w:val="center"/>
          </w:tcPr>
          <w:p>
            <w:pPr>
              <w:spacing w:line="440" w:lineRule="exact"/>
              <w:jc w:val="center"/>
              <w:rPr>
                <w:rFonts w:ascii="宋体" w:hAnsi="宋体" w:cs="宋体"/>
                <w:highlight w:val="none"/>
              </w:rPr>
            </w:pPr>
          </w:p>
        </w:tc>
        <w:tc>
          <w:tcPr>
            <w:tcW w:w="760" w:type="dxa"/>
            <w:vAlign w:val="center"/>
          </w:tcPr>
          <w:p>
            <w:pPr>
              <w:spacing w:line="440" w:lineRule="exact"/>
              <w:jc w:val="center"/>
              <w:rPr>
                <w:rFonts w:ascii="宋体" w:hAnsi="宋体" w:cs="宋体"/>
                <w:highlight w:val="none"/>
              </w:rPr>
            </w:pPr>
          </w:p>
        </w:tc>
        <w:tc>
          <w:tcPr>
            <w:tcW w:w="991" w:type="dxa"/>
            <w:vAlign w:val="center"/>
          </w:tcPr>
          <w:p>
            <w:pPr>
              <w:spacing w:line="440" w:lineRule="exact"/>
              <w:jc w:val="center"/>
              <w:rPr>
                <w:rFonts w:ascii="宋体" w:hAnsi="宋体" w:cs="宋体"/>
                <w:highlight w:val="none"/>
              </w:rPr>
            </w:pPr>
          </w:p>
        </w:tc>
        <w:tc>
          <w:tcPr>
            <w:tcW w:w="672" w:type="dxa"/>
            <w:vAlign w:val="center"/>
          </w:tcPr>
          <w:p>
            <w:pPr>
              <w:spacing w:line="440" w:lineRule="exact"/>
              <w:jc w:val="center"/>
              <w:rPr>
                <w:rFonts w:ascii="宋体" w:hAnsi="宋体" w:cs="宋体"/>
                <w:highlight w:val="none"/>
              </w:rPr>
            </w:pPr>
          </w:p>
        </w:tc>
        <w:tc>
          <w:tcPr>
            <w:tcW w:w="738" w:type="dxa"/>
            <w:vAlign w:val="center"/>
          </w:tcPr>
          <w:p>
            <w:pPr>
              <w:spacing w:line="440" w:lineRule="exact"/>
              <w:jc w:val="center"/>
              <w:rPr>
                <w:rFonts w:ascii="宋体" w:hAnsi="宋体" w:cs="宋体"/>
                <w:highlight w:val="none"/>
              </w:rPr>
            </w:pPr>
          </w:p>
        </w:tc>
        <w:tc>
          <w:tcPr>
            <w:tcW w:w="1212" w:type="dxa"/>
            <w:vAlign w:val="center"/>
          </w:tcPr>
          <w:p>
            <w:pPr>
              <w:spacing w:line="440" w:lineRule="exact"/>
              <w:jc w:val="center"/>
              <w:rPr>
                <w:rFonts w:ascii="宋体" w:hAnsi="宋体" w:cs="宋体"/>
                <w:highlight w:val="none"/>
              </w:rPr>
            </w:pPr>
          </w:p>
        </w:tc>
        <w:tc>
          <w:tcPr>
            <w:tcW w:w="1653" w:type="dxa"/>
            <w:vAlign w:val="center"/>
          </w:tcPr>
          <w:p>
            <w:pPr>
              <w:spacing w:line="440" w:lineRule="exact"/>
              <w:jc w:val="center"/>
              <w:rPr>
                <w:rFonts w:ascii="宋体" w:hAnsi="宋体" w:cs="宋体"/>
                <w:highlight w:val="none"/>
              </w:rPr>
            </w:pPr>
          </w:p>
        </w:tc>
        <w:tc>
          <w:tcPr>
            <w:tcW w:w="688" w:type="dxa"/>
            <w:vAlign w:val="center"/>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66" w:type="dxa"/>
          </w:tcPr>
          <w:p>
            <w:pPr>
              <w:spacing w:line="440" w:lineRule="exact"/>
              <w:jc w:val="center"/>
              <w:rPr>
                <w:rFonts w:ascii="宋体" w:hAnsi="宋体" w:cs="宋体"/>
                <w:highlight w:val="none"/>
              </w:rPr>
            </w:pPr>
          </w:p>
        </w:tc>
        <w:tc>
          <w:tcPr>
            <w:tcW w:w="1087" w:type="dxa"/>
          </w:tcPr>
          <w:p>
            <w:pPr>
              <w:spacing w:line="440" w:lineRule="exact"/>
              <w:jc w:val="center"/>
              <w:rPr>
                <w:rFonts w:ascii="宋体" w:hAnsi="宋体" w:cs="宋体"/>
                <w:highlight w:val="none"/>
              </w:rPr>
            </w:pPr>
          </w:p>
        </w:tc>
        <w:tc>
          <w:tcPr>
            <w:tcW w:w="760" w:type="dxa"/>
          </w:tcPr>
          <w:p>
            <w:pPr>
              <w:spacing w:line="440" w:lineRule="exact"/>
              <w:jc w:val="center"/>
              <w:rPr>
                <w:rFonts w:ascii="宋体" w:hAnsi="宋体" w:cs="宋体"/>
                <w:highlight w:val="none"/>
              </w:rPr>
            </w:pPr>
          </w:p>
        </w:tc>
        <w:tc>
          <w:tcPr>
            <w:tcW w:w="991"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c>
          <w:tcPr>
            <w:tcW w:w="738" w:type="dxa"/>
          </w:tcPr>
          <w:p>
            <w:pPr>
              <w:spacing w:line="440" w:lineRule="exact"/>
              <w:jc w:val="center"/>
              <w:rPr>
                <w:rFonts w:ascii="宋体" w:hAnsi="宋体" w:cs="宋体"/>
                <w:highlight w:val="none"/>
              </w:rPr>
            </w:pPr>
          </w:p>
        </w:tc>
        <w:tc>
          <w:tcPr>
            <w:tcW w:w="1212" w:type="dxa"/>
          </w:tcPr>
          <w:p>
            <w:pPr>
              <w:spacing w:line="440" w:lineRule="exact"/>
              <w:jc w:val="center"/>
              <w:rPr>
                <w:rFonts w:ascii="宋体" w:hAnsi="宋体" w:cs="宋体"/>
                <w:highlight w:val="none"/>
              </w:rPr>
            </w:pPr>
          </w:p>
        </w:tc>
        <w:tc>
          <w:tcPr>
            <w:tcW w:w="1653" w:type="dxa"/>
          </w:tcPr>
          <w:p>
            <w:pPr>
              <w:spacing w:line="440" w:lineRule="exact"/>
              <w:jc w:val="center"/>
              <w:rPr>
                <w:rFonts w:ascii="宋体" w:hAnsi="宋体" w:cs="宋体"/>
                <w:highlight w:val="none"/>
              </w:rPr>
            </w:pPr>
          </w:p>
        </w:tc>
        <w:tc>
          <w:tcPr>
            <w:tcW w:w="688"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tcPr>
          <w:p>
            <w:pPr>
              <w:spacing w:line="440" w:lineRule="exact"/>
              <w:jc w:val="center"/>
              <w:rPr>
                <w:rFonts w:ascii="宋体" w:hAnsi="宋体" w:cs="宋体"/>
                <w:highlight w:val="none"/>
              </w:rPr>
            </w:pPr>
          </w:p>
        </w:tc>
        <w:tc>
          <w:tcPr>
            <w:tcW w:w="1087" w:type="dxa"/>
          </w:tcPr>
          <w:p>
            <w:pPr>
              <w:spacing w:line="440" w:lineRule="exact"/>
              <w:jc w:val="center"/>
              <w:rPr>
                <w:rFonts w:ascii="宋体" w:hAnsi="宋体" w:cs="宋体"/>
                <w:highlight w:val="none"/>
              </w:rPr>
            </w:pPr>
          </w:p>
        </w:tc>
        <w:tc>
          <w:tcPr>
            <w:tcW w:w="760" w:type="dxa"/>
          </w:tcPr>
          <w:p>
            <w:pPr>
              <w:spacing w:line="440" w:lineRule="exact"/>
              <w:jc w:val="center"/>
              <w:rPr>
                <w:rFonts w:ascii="宋体" w:hAnsi="宋体" w:cs="宋体"/>
                <w:highlight w:val="none"/>
              </w:rPr>
            </w:pPr>
          </w:p>
        </w:tc>
        <w:tc>
          <w:tcPr>
            <w:tcW w:w="991"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c>
          <w:tcPr>
            <w:tcW w:w="738" w:type="dxa"/>
          </w:tcPr>
          <w:p>
            <w:pPr>
              <w:spacing w:line="440" w:lineRule="exact"/>
              <w:jc w:val="center"/>
              <w:rPr>
                <w:rFonts w:ascii="宋体" w:hAnsi="宋体" w:cs="宋体"/>
                <w:highlight w:val="none"/>
              </w:rPr>
            </w:pPr>
          </w:p>
        </w:tc>
        <w:tc>
          <w:tcPr>
            <w:tcW w:w="1212" w:type="dxa"/>
          </w:tcPr>
          <w:p>
            <w:pPr>
              <w:spacing w:line="440" w:lineRule="exact"/>
              <w:jc w:val="center"/>
              <w:rPr>
                <w:rFonts w:ascii="宋体" w:hAnsi="宋体" w:cs="宋体"/>
                <w:highlight w:val="none"/>
              </w:rPr>
            </w:pPr>
          </w:p>
        </w:tc>
        <w:tc>
          <w:tcPr>
            <w:tcW w:w="1653" w:type="dxa"/>
          </w:tcPr>
          <w:p>
            <w:pPr>
              <w:spacing w:line="440" w:lineRule="exact"/>
              <w:jc w:val="center"/>
              <w:rPr>
                <w:rFonts w:ascii="宋体" w:hAnsi="宋体" w:cs="宋体"/>
                <w:highlight w:val="none"/>
              </w:rPr>
            </w:pPr>
          </w:p>
        </w:tc>
        <w:tc>
          <w:tcPr>
            <w:tcW w:w="688"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tcPr>
          <w:p>
            <w:pPr>
              <w:spacing w:line="440" w:lineRule="exact"/>
              <w:jc w:val="center"/>
              <w:rPr>
                <w:rFonts w:ascii="宋体" w:hAnsi="宋体" w:cs="宋体"/>
                <w:highlight w:val="none"/>
              </w:rPr>
            </w:pPr>
          </w:p>
        </w:tc>
        <w:tc>
          <w:tcPr>
            <w:tcW w:w="1087" w:type="dxa"/>
          </w:tcPr>
          <w:p>
            <w:pPr>
              <w:spacing w:line="440" w:lineRule="exact"/>
              <w:jc w:val="center"/>
              <w:rPr>
                <w:rFonts w:ascii="宋体" w:hAnsi="宋体" w:cs="宋体"/>
                <w:highlight w:val="none"/>
              </w:rPr>
            </w:pPr>
          </w:p>
        </w:tc>
        <w:tc>
          <w:tcPr>
            <w:tcW w:w="760" w:type="dxa"/>
          </w:tcPr>
          <w:p>
            <w:pPr>
              <w:spacing w:line="440" w:lineRule="exact"/>
              <w:jc w:val="center"/>
              <w:rPr>
                <w:rFonts w:ascii="宋体" w:hAnsi="宋体" w:cs="宋体"/>
                <w:highlight w:val="none"/>
              </w:rPr>
            </w:pPr>
          </w:p>
        </w:tc>
        <w:tc>
          <w:tcPr>
            <w:tcW w:w="991"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c>
          <w:tcPr>
            <w:tcW w:w="738" w:type="dxa"/>
          </w:tcPr>
          <w:p>
            <w:pPr>
              <w:spacing w:line="440" w:lineRule="exact"/>
              <w:jc w:val="center"/>
              <w:rPr>
                <w:rFonts w:ascii="宋体" w:hAnsi="宋体" w:cs="宋体"/>
                <w:highlight w:val="none"/>
              </w:rPr>
            </w:pPr>
          </w:p>
        </w:tc>
        <w:tc>
          <w:tcPr>
            <w:tcW w:w="1212" w:type="dxa"/>
          </w:tcPr>
          <w:p>
            <w:pPr>
              <w:spacing w:line="440" w:lineRule="exact"/>
              <w:jc w:val="center"/>
              <w:rPr>
                <w:rFonts w:ascii="宋体" w:hAnsi="宋体" w:cs="宋体"/>
                <w:highlight w:val="none"/>
              </w:rPr>
            </w:pPr>
          </w:p>
        </w:tc>
        <w:tc>
          <w:tcPr>
            <w:tcW w:w="1653" w:type="dxa"/>
          </w:tcPr>
          <w:p>
            <w:pPr>
              <w:spacing w:line="440" w:lineRule="exact"/>
              <w:jc w:val="center"/>
              <w:rPr>
                <w:rFonts w:ascii="宋体" w:hAnsi="宋体" w:cs="宋体"/>
                <w:highlight w:val="none"/>
              </w:rPr>
            </w:pPr>
          </w:p>
        </w:tc>
        <w:tc>
          <w:tcPr>
            <w:tcW w:w="688"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tcPr>
          <w:p>
            <w:pPr>
              <w:spacing w:line="440" w:lineRule="exact"/>
              <w:jc w:val="center"/>
              <w:rPr>
                <w:rFonts w:ascii="宋体" w:hAnsi="宋体" w:cs="宋体"/>
                <w:highlight w:val="none"/>
              </w:rPr>
            </w:pPr>
          </w:p>
        </w:tc>
        <w:tc>
          <w:tcPr>
            <w:tcW w:w="1087" w:type="dxa"/>
          </w:tcPr>
          <w:p>
            <w:pPr>
              <w:spacing w:line="440" w:lineRule="exact"/>
              <w:jc w:val="center"/>
              <w:rPr>
                <w:rFonts w:ascii="宋体" w:hAnsi="宋体" w:cs="宋体"/>
                <w:highlight w:val="none"/>
              </w:rPr>
            </w:pPr>
          </w:p>
        </w:tc>
        <w:tc>
          <w:tcPr>
            <w:tcW w:w="760" w:type="dxa"/>
          </w:tcPr>
          <w:p>
            <w:pPr>
              <w:spacing w:line="440" w:lineRule="exact"/>
              <w:jc w:val="center"/>
              <w:rPr>
                <w:rFonts w:ascii="宋体" w:hAnsi="宋体" w:cs="宋体"/>
                <w:highlight w:val="none"/>
              </w:rPr>
            </w:pPr>
          </w:p>
        </w:tc>
        <w:tc>
          <w:tcPr>
            <w:tcW w:w="991"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c>
          <w:tcPr>
            <w:tcW w:w="738" w:type="dxa"/>
          </w:tcPr>
          <w:p>
            <w:pPr>
              <w:spacing w:line="440" w:lineRule="exact"/>
              <w:jc w:val="center"/>
              <w:rPr>
                <w:rFonts w:ascii="宋体" w:hAnsi="宋体" w:cs="宋体"/>
                <w:highlight w:val="none"/>
              </w:rPr>
            </w:pPr>
          </w:p>
        </w:tc>
        <w:tc>
          <w:tcPr>
            <w:tcW w:w="1212" w:type="dxa"/>
          </w:tcPr>
          <w:p>
            <w:pPr>
              <w:spacing w:line="440" w:lineRule="exact"/>
              <w:jc w:val="center"/>
              <w:rPr>
                <w:rFonts w:ascii="宋体" w:hAnsi="宋体" w:cs="宋体"/>
                <w:highlight w:val="none"/>
              </w:rPr>
            </w:pPr>
          </w:p>
        </w:tc>
        <w:tc>
          <w:tcPr>
            <w:tcW w:w="1653" w:type="dxa"/>
          </w:tcPr>
          <w:p>
            <w:pPr>
              <w:spacing w:line="440" w:lineRule="exact"/>
              <w:jc w:val="center"/>
              <w:rPr>
                <w:rFonts w:ascii="宋体" w:hAnsi="宋体" w:cs="宋体"/>
                <w:highlight w:val="none"/>
              </w:rPr>
            </w:pPr>
          </w:p>
        </w:tc>
        <w:tc>
          <w:tcPr>
            <w:tcW w:w="688"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66" w:type="dxa"/>
          </w:tcPr>
          <w:p>
            <w:pPr>
              <w:spacing w:line="440" w:lineRule="exact"/>
              <w:jc w:val="center"/>
              <w:rPr>
                <w:rFonts w:ascii="宋体" w:hAnsi="宋体" w:cs="宋体"/>
                <w:highlight w:val="none"/>
              </w:rPr>
            </w:pPr>
          </w:p>
        </w:tc>
        <w:tc>
          <w:tcPr>
            <w:tcW w:w="1087" w:type="dxa"/>
          </w:tcPr>
          <w:p>
            <w:pPr>
              <w:spacing w:line="440" w:lineRule="exact"/>
              <w:jc w:val="center"/>
              <w:rPr>
                <w:rFonts w:ascii="宋体" w:hAnsi="宋体" w:cs="宋体"/>
                <w:highlight w:val="none"/>
              </w:rPr>
            </w:pPr>
          </w:p>
        </w:tc>
        <w:tc>
          <w:tcPr>
            <w:tcW w:w="760" w:type="dxa"/>
          </w:tcPr>
          <w:p>
            <w:pPr>
              <w:spacing w:line="440" w:lineRule="exact"/>
              <w:jc w:val="center"/>
              <w:rPr>
                <w:rFonts w:ascii="宋体" w:hAnsi="宋体" w:cs="宋体"/>
                <w:highlight w:val="none"/>
              </w:rPr>
            </w:pPr>
          </w:p>
        </w:tc>
        <w:tc>
          <w:tcPr>
            <w:tcW w:w="991"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c>
          <w:tcPr>
            <w:tcW w:w="738" w:type="dxa"/>
          </w:tcPr>
          <w:p>
            <w:pPr>
              <w:spacing w:line="440" w:lineRule="exact"/>
              <w:jc w:val="center"/>
              <w:rPr>
                <w:rFonts w:ascii="宋体" w:hAnsi="宋体" w:cs="宋体"/>
                <w:highlight w:val="none"/>
              </w:rPr>
            </w:pPr>
          </w:p>
        </w:tc>
        <w:tc>
          <w:tcPr>
            <w:tcW w:w="1212" w:type="dxa"/>
          </w:tcPr>
          <w:p>
            <w:pPr>
              <w:spacing w:line="440" w:lineRule="exact"/>
              <w:jc w:val="center"/>
              <w:rPr>
                <w:rFonts w:ascii="宋体" w:hAnsi="宋体" w:cs="宋体"/>
                <w:highlight w:val="none"/>
              </w:rPr>
            </w:pPr>
          </w:p>
        </w:tc>
        <w:tc>
          <w:tcPr>
            <w:tcW w:w="1653" w:type="dxa"/>
          </w:tcPr>
          <w:p>
            <w:pPr>
              <w:spacing w:line="440" w:lineRule="exact"/>
              <w:jc w:val="center"/>
              <w:rPr>
                <w:rFonts w:ascii="宋体" w:hAnsi="宋体" w:cs="宋体"/>
                <w:highlight w:val="none"/>
              </w:rPr>
            </w:pPr>
          </w:p>
        </w:tc>
        <w:tc>
          <w:tcPr>
            <w:tcW w:w="688"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tcPr>
          <w:p>
            <w:pPr>
              <w:spacing w:line="440" w:lineRule="exact"/>
              <w:jc w:val="center"/>
              <w:rPr>
                <w:rFonts w:ascii="宋体" w:hAnsi="宋体" w:cs="宋体"/>
                <w:highlight w:val="none"/>
              </w:rPr>
            </w:pPr>
          </w:p>
        </w:tc>
        <w:tc>
          <w:tcPr>
            <w:tcW w:w="1087" w:type="dxa"/>
          </w:tcPr>
          <w:p>
            <w:pPr>
              <w:spacing w:line="440" w:lineRule="exact"/>
              <w:jc w:val="center"/>
              <w:rPr>
                <w:rFonts w:ascii="宋体" w:hAnsi="宋体" w:cs="宋体"/>
                <w:highlight w:val="none"/>
              </w:rPr>
            </w:pPr>
          </w:p>
        </w:tc>
        <w:tc>
          <w:tcPr>
            <w:tcW w:w="760" w:type="dxa"/>
          </w:tcPr>
          <w:p>
            <w:pPr>
              <w:spacing w:line="440" w:lineRule="exact"/>
              <w:jc w:val="center"/>
              <w:rPr>
                <w:rFonts w:ascii="宋体" w:hAnsi="宋体" w:cs="宋体"/>
                <w:highlight w:val="none"/>
              </w:rPr>
            </w:pPr>
          </w:p>
        </w:tc>
        <w:tc>
          <w:tcPr>
            <w:tcW w:w="991"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c>
          <w:tcPr>
            <w:tcW w:w="738" w:type="dxa"/>
          </w:tcPr>
          <w:p>
            <w:pPr>
              <w:spacing w:line="440" w:lineRule="exact"/>
              <w:jc w:val="center"/>
              <w:rPr>
                <w:rFonts w:ascii="宋体" w:hAnsi="宋体" w:cs="宋体"/>
                <w:highlight w:val="none"/>
              </w:rPr>
            </w:pPr>
          </w:p>
        </w:tc>
        <w:tc>
          <w:tcPr>
            <w:tcW w:w="1212" w:type="dxa"/>
          </w:tcPr>
          <w:p>
            <w:pPr>
              <w:spacing w:line="440" w:lineRule="exact"/>
              <w:jc w:val="center"/>
              <w:rPr>
                <w:rFonts w:ascii="宋体" w:hAnsi="宋体" w:cs="宋体"/>
                <w:highlight w:val="none"/>
              </w:rPr>
            </w:pPr>
          </w:p>
        </w:tc>
        <w:tc>
          <w:tcPr>
            <w:tcW w:w="1653" w:type="dxa"/>
          </w:tcPr>
          <w:p>
            <w:pPr>
              <w:spacing w:line="440" w:lineRule="exact"/>
              <w:jc w:val="center"/>
              <w:rPr>
                <w:rFonts w:ascii="宋体" w:hAnsi="宋体" w:cs="宋体"/>
                <w:highlight w:val="none"/>
              </w:rPr>
            </w:pPr>
          </w:p>
        </w:tc>
        <w:tc>
          <w:tcPr>
            <w:tcW w:w="688"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tcPr>
          <w:p>
            <w:pPr>
              <w:spacing w:line="440" w:lineRule="exact"/>
              <w:jc w:val="center"/>
              <w:rPr>
                <w:rFonts w:ascii="宋体" w:hAnsi="宋体" w:cs="宋体"/>
                <w:highlight w:val="none"/>
              </w:rPr>
            </w:pPr>
          </w:p>
        </w:tc>
        <w:tc>
          <w:tcPr>
            <w:tcW w:w="1087" w:type="dxa"/>
          </w:tcPr>
          <w:p>
            <w:pPr>
              <w:spacing w:line="440" w:lineRule="exact"/>
              <w:jc w:val="center"/>
              <w:rPr>
                <w:rFonts w:ascii="宋体" w:hAnsi="宋体" w:cs="宋体"/>
                <w:highlight w:val="none"/>
              </w:rPr>
            </w:pPr>
          </w:p>
        </w:tc>
        <w:tc>
          <w:tcPr>
            <w:tcW w:w="760" w:type="dxa"/>
          </w:tcPr>
          <w:p>
            <w:pPr>
              <w:spacing w:line="440" w:lineRule="exact"/>
              <w:jc w:val="center"/>
              <w:rPr>
                <w:rFonts w:ascii="宋体" w:hAnsi="宋体" w:cs="宋体"/>
                <w:highlight w:val="none"/>
              </w:rPr>
            </w:pPr>
          </w:p>
        </w:tc>
        <w:tc>
          <w:tcPr>
            <w:tcW w:w="991"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c>
          <w:tcPr>
            <w:tcW w:w="738" w:type="dxa"/>
          </w:tcPr>
          <w:p>
            <w:pPr>
              <w:spacing w:line="440" w:lineRule="exact"/>
              <w:jc w:val="center"/>
              <w:rPr>
                <w:rFonts w:ascii="宋体" w:hAnsi="宋体" w:cs="宋体"/>
                <w:highlight w:val="none"/>
              </w:rPr>
            </w:pPr>
          </w:p>
        </w:tc>
        <w:tc>
          <w:tcPr>
            <w:tcW w:w="1212" w:type="dxa"/>
          </w:tcPr>
          <w:p>
            <w:pPr>
              <w:spacing w:line="440" w:lineRule="exact"/>
              <w:jc w:val="center"/>
              <w:rPr>
                <w:rFonts w:ascii="宋体" w:hAnsi="宋体" w:cs="宋体"/>
                <w:highlight w:val="none"/>
              </w:rPr>
            </w:pPr>
          </w:p>
        </w:tc>
        <w:tc>
          <w:tcPr>
            <w:tcW w:w="1653" w:type="dxa"/>
          </w:tcPr>
          <w:p>
            <w:pPr>
              <w:spacing w:line="440" w:lineRule="exact"/>
              <w:jc w:val="center"/>
              <w:rPr>
                <w:rFonts w:ascii="宋体" w:hAnsi="宋体" w:cs="宋体"/>
                <w:highlight w:val="none"/>
              </w:rPr>
            </w:pPr>
          </w:p>
        </w:tc>
        <w:tc>
          <w:tcPr>
            <w:tcW w:w="688"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tcPr>
          <w:p>
            <w:pPr>
              <w:spacing w:line="440" w:lineRule="exact"/>
              <w:jc w:val="center"/>
              <w:rPr>
                <w:rFonts w:ascii="宋体" w:hAnsi="宋体" w:cs="宋体"/>
                <w:highlight w:val="none"/>
              </w:rPr>
            </w:pPr>
          </w:p>
        </w:tc>
        <w:tc>
          <w:tcPr>
            <w:tcW w:w="1087" w:type="dxa"/>
          </w:tcPr>
          <w:p>
            <w:pPr>
              <w:spacing w:line="440" w:lineRule="exact"/>
              <w:jc w:val="center"/>
              <w:rPr>
                <w:rFonts w:ascii="宋体" w:hAnsi="宋体" w:cs="宋体"/>
                <w:highlight w:val="none"/>
              </w:rPr>
            </w:pPr>
          </w:p>
        </w:tc>
        <w:tc>
          <w:tcPr>
            <w:tcW w:w="760" w:type="dxa"/>
          </w:tcPr>
          <w:p>
            <w:pPr>
              <w:spacing w:line="440" w:lineRule="exact"/>
              <w:jc w:val="center"/>
              <w:rPr>
                <w:rFonts w:ascii="宋体" w:hAnsi="宋体" w:cs="宋体"/>
                <w:highlight w:val="none"/>
              </w:rPr>
            </w:pPr>
          </w:p>
        </w:tc>
        <w:tc>
          <w:tcPr>
            <w:tcW w:w="991"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c>
          <w:tcPr>
            <w:tcW w:w="738" w:type="dxa"/>
          </w:tcPr>
          <w:p>
            <w:pPr>
              <w:spacing w:line="440" w:lineRule="exact"/>
              <w:jc w:val="center"/>
              <w:rPr>
                <w:rFonts w:ascii="宋体" w:hAnsi="宋体" w:cs="宋体"/>
                <w:highlight w:val="none"/>
              </w:rPr>
            </w:pPr>
          </w:p>
        </w:tc>
        <w:tc>
          <w:tcPr>
            <w:tcW w:w="1212" w:type="dxa"/>
          </w:tcPr>
          <w:p>
            <w:pPr>
              <w:spacing w:line="440" w:lineRule="exact"/>
              <w:jc w:val="center"/>
              <w:rPr>
                <w:rFonts w:ascii="宋体" w:hAnsi="宋体" w:cs="宋体"/>
                <w:highlight w:val="none"/>
              </w:rPr>
            </w:pPr>
          </w:p>
        </w:tc>
        <w:tc>
          <w:tcPr>
            <w:tcW w:w="1653" w:type="dxa"/>
          </w:tcPr>
          <w:p>
            <w:pPr>
              <w:spacing w:line="440" w:lineRule="exact"/>
              <w:jc w:val="center"/>
              <w:rPr>
                <w:rFonts w:ascii="宋体" w:hAnsi="宋体" w:cs="宋体"/>
                <w:highlight w:val="none"/>
              </w:rPr>
            </w:pPr>
          </w:p>
        </w:tc>
        <w:tc>
          <w:tcPr>
            <w:tcW w:w="688"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66" w:type="dxa"/>
          </w:tcPr>
          <w:p>
            <w:pPr>
              <w:spacing w:line="440" w:lineRule="exact"/>
              <w:jc w:val="center"/>
              <w:rPr>
                <w:rFonts w:ascii="宋体" w:hAnsi="宋体" w:cs="宋体"/>
                <w:highlight w:val="none"/>
              </w:rPr>
            </w:pPr>
          </w:p>
        </w:tc>
        <w:tc>
          <w:tcPr>
            <w:tcW w:w="1087" w:type="dxa"/>
          </w:tcPr>
          <w:p>
            <w:pPr>
              <w:spacing w:line="440" w:lineRule="exact"/>
              <w:jc w:val="center"/>
              <w:rPr>
                <w:rFonts w:ascii="宋体" w:hAnsi="宋体" w:cs="宋体"/>
                <w:highlight w:val="none"/>
              </w:rPr>
            </w:pPr>
          </w:p>
        </w:tc>
        <w:tc>
          <w:tcPr>
            <w:tcW w:w="760" w:type="dxa"/>
          </w:tcPr>
          <w:p>
            <w:pPr>
              <w:spacing w:line="440" w:lineRule="exact"/>
              <w:jc w:val="center"/>
              <w:rPr>
                <w:rFonts w:ascii="宋体" w:hAnsi="宋体" w:cs="宋体"/>
                <w:highlight w:val="none"/>
              </w:rPr>
            </w:pPr>
          </w:p>
        </w:tc>
        <w:tc>
          <w:tcPr>
            <w:tcW w:w="991"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c>
          <w:tcPr>
            <w:tcW w:w="738" w:type="dxa"/>
          </w:tcPr>
          <w:p>
            <w:pPr>
              <w:spacing w:line="440" w:lineRule="exact"/>
              <w:jc w:val="center"/>
              <w:rPr>
                <w:rFonts w:ascii="宋体" w:hAnsi="宋体" w:cs="宋体"/>
                <w:highlight w:val="none"/>
              </w:rPr>
            </w:pPr>
          </w:p>
        </w:tc>
        <w:tc>
          <w:tcPr>
            <w:tcW w:w="1212" w:type="dxa"/>
          </w:tcPr>
          <w:p>
            <w:pPr>
              <w:spacing w:line="440" w:lineRule="exact"/>
              <w:jc w:val="center"/>
              <w:rPr>
                <w:rFonts w:ascii="宋体" w:hAnsi="宋体" w:cs="宋体"/>
                <w:highlight w:val="none"/>
              </w:rPr>
            </w:pPr>
          </w:p>
        </w:tc>
        <w:tc>
          <w:tcPr>
            <w:tcW w:w="1653" w:type="dxa"/>
          </w:tcPr>
          <w:p>
            <w:pPr>
              <w:spacing w:line="440" w:lineRule="exact"/>
              <w:jc w:val="center"/>
              <w:rPr>
                <w:rFonts w:ascii="宋体" w:hAnsi="宋体" w:cs="宋体"/>
                <w:highlight w:val="none"/>
              </w:rPr>
            </w:pPr>
          </w:p>
        </w:tc>
        <w:tc>
          <w:tcPr>
            <w:tcW w:w="688"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tcPr>
          <w:p>
            <w:pPr>
              <w:spacing w:line="440" w:lineRule="exact"/>
              <w:jc w:val="center"/>
              <w:rPr>
                <w:rFonts w:ascii="宋体" w:hAnsi="宋体" w:cs="宋体"/>
                <w:highlight w:val="none"/>
              </w:rPr>
            </w:pPr>
          </w:p>
        </w:tc>
        <w:tc>
          <w:tcPr>
            <w:tcW w:w="1087" w:type="dxa"/>
          </w:tcPr>
          <w:p>
            <w:pPr>
              <w:spacing w:line="440" w:lineRule="exact"/>
              <w:jc w:val="center"/>
              <w:rPr>
                <w:rFonts w:ascii="宋体" w:hAnsi="宋体" w:cs="宋体"/>
                <w:highlight w:val="none"/>
              </w:rPr>
            </w:pPr>
          </w:p>
        </w:tc>
        <w:tc>
          <w:tcPr>
            <w:tcW w:w="760" w:type="dxa"/>
          </w:tcPr>
          <w:p>
            <w:pPr>
              <w:spacing w:line="440" w:lineRule="exact"/>
              <w:jc w:val="center"/>
              <w:rPr>
                <w:rFonts w:ascii="宋体" w:hAnsi="宋体" w:cs="宋体"/>
                <w:highlight w:val="none"/>
              </w:rPr>
            </w:pPr>
          </w:p>
        </w:tc>
        <w:tc>
          <w:tcPr>
            <w:tcW w:w="991"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c>
          <w:tcPr>
            <w:tcW w:w="738" w:type="dxa"/>
          </w:tcPr>
          <w:p>
            <w:pPr>
              <w:spacing w:line="440" w:lineRule="exact"/>
              <w:jc w:val="center"/>
              <w:rPr>
                <w:rFonts w:ascii="宋体" w:hAnsi="宋体" w:cs="宋体"/>
                <w:highlight w:val="none"/>
              </w:rPr>
            </w:pPr>
          </w:p>
        </w:tc>
        <w:tc>
          <w:tcPr>
            <w:tcW w:w="1212" w:type="dxa"/>
          </w:tcPr>
          <w:p>
            <w:pPr>
              <w:spacing w:line="440" w:lineRule="exact"/>
              <w:jc w:val="center"/>
              <w:rPr>
                <w:rFonts w:ascii="宋体" w:hAnsi="宋体" w:cs="宋体"/>
                <w:highlight w:val="none"/>
              </w:rPr>
            </w:pPr>
          </w:p>
        </w:tc>
        <w:tc>
          <w:tcPr>
            <w:tcW w:w="1653" w:type="dxa"/>
          </w:tcPr>
          <w:p>
            <w:pPr>
              <w:spacing w:line="440" w:lineRule="exact"/>
              <w:jc w:val="center"/>
              <w:rPr>
                <w:rFonts w:ascii="宋体" w:hAnsi="宋体" w:cs="宋体"/>
                <w:highlight w:val="none"/>
              </w:rPr>
            </w:pPr>
          </w:p>
        </w:tc>
        <w:tc>
          <w:tcPr>
            <w:tcW w:w="688"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tcPr>
          <w:p>
            <w:pPr>
              <w:spacing w:line="440" w:lineRule="exact"/>
              <w:jc w:val="center"/>
              <w:rPr>
                <w:rFonts w:ascii="宋体" w:hAnsi="宋体" w:cs="宋体"/>
                <w:highlight w:val="none"/>
              </w:rPr>
            </w:pPr>
          </w:p>
        </w:tc>
        <w:tc>
          <w:tcPr>
            <w:tcW w:w="1087" w:type="dxa"/>
          </w:tcPr>
          <w:p>
            <w:pPr>
              <w:spacing w:line="440" w:lineRule="exact"/>
              <w:jc w:val="center"/>
              <w:rPr>
                <w:rFonts w:ascii="宋体" w:hAnsi="宋体" w:cs="宋体"/>
                <w:highlight w:val="none"/>
              </w:rPr>
            </w:pPr>
          </w:p>
        </w:tc>
        <w:tc>
          <w:tcPr>
            <w:tcW w:w="760" w:type="dxa"/>
          </w:tcPr>
          <w:p>
            <w:pPr>
              <w:spacing w:line="440" w:lineRule="exact"/>
              <w:jc w:val="center"/>
              <w:rPr>
                <w:rFonts w:ascii="宋体" w:hAnsi="宋体" w:cs="宋体"/>
                <w:highlight w:val="none"/>
              </w:rPr>
            </w:pPr>
          </w:p>
        </w:tc>
        <w:tc>
          <w:tcPr>
            <w:tcW w:w="991"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c>
          <w:tcPr>
            <w:tcW w:w="738" w:type="dxa"/>
          </w:tcPr>
          <w:p>
            <w:pPr>
              <w:spacing w:line="440" w:lineRule="exact"/>
              <w:jc w:val="center"/>
              <w:rPr>
                <w:rFonts w:ascii="宋体" w:hAnsi="宋体" w:cs="宋体"/>
                <w:highlight w:val="none"/>
              </w:rPr>
            </w:pPr>
          </w:p>
        </w:tc>
        <w:tc>
          <w:tcPr>
            <w:tcW w:w="1212" w:type="dxa"/>
          </w:tcPr>
          <w:p>
            <w:pPr>
              <w:spacing w:line="440" w:lineRule="exact"/>
              <w:jc w:val="center"/>
              <w:rPr>
                <w:rFonts w:ascii="宋体" w:hAnsi="宋体" w:cs="宋体"/>
                <w:highlight w:val="none"/>
              </w:rPr>
            </w:pPr>
          </w:p>
        </w:tc>
        <w:tc>
          <w:tcPr>
            <w:tcW w:w="1653" w:type="dxa"/>
          </w:tcPr>
          <w:p>
            <w:pPr>
              <w:spacing w:line="440" w:lineRule="exact"/>
              <w:jc w:val="center"/>
              <w:rPr>
                <w:rFonts w:ascii="宋体" w:hAnsi="宋体" w:cs="宋体"/>
                <w:highlight w:val="none"/>
              </w:rPr>
            </w:pPr>
          </w:p>
        </w:tc>
        <w:tc>
          <w:tcPr>
            <w:tcW w:w="688"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tcPr>
          <w:p>
            <w:pPr>
              <w:spacing w:line="440" w:lineRule="exact"/>
              <w:jc w:val="center"/>
              <w:rPr>
                <w:rFonts w:ascii="宋体" w:hAnsi="宋体" w:cs="宋体"/>
                <w:highlight w:val="none"/>
              </w:rPr>
            </w:pPr>
          </w:p>
        </w:tc>
        <w:tc>
          <w:tcPr>
            <w:tcW w:w="1087" w:type="dxa"/>
          </w:tcPr>
          <w:p>
            <w:pPr>
              <w:spacing w:line="440" w:lineRule="exact"/>
              <w:jc w:val="center"/>
              <w:rPr>
                <w:rFonts w:ascii="宋体" w:hAnsi="宋体" w:cs="宋体"/>
                <w:highlight w:val="none"/>
              </w:rPr>
            </w:pPr>
          </w:p>
        </w:tc>
        <w:tc>
          <w:tcPr>
            <w:tcW w:w="760" w:type="dxa"/>
          </w:tcPr>
          <w:p>
            <w:pPr>
              <w:spacing w:line="440" w:lineRule="exact"/>
              <w:jc w:val="center"/>
              <w:rPr>
                <w:rFonts w:ascii="宋体" w:hAnsi="宋体" w:cs="宋体"/>
                <w:highlight w:val="none"/>
              </w:rPr>
            </w:pPr>
          </w:p>
        </w:tc>
        <w:tc>
          <w:tcPr>
            <w:tcW w:w="991"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c>
          <w:tcPr>
            <w:tcW w:w="738" w:type="dxa"/>
          </w:tcPr>
          <w:p>
            <w:pPr>
              <w:spacing w:line="440" w:lineRule="exact"/>
              <w:jc w:val="center"/>
              <w:rPr>
                <w:rFonts w:ascii="宋体" w:hAnsi="宋体" w:cs="宋体"/>
                <w:highlight w:val="none"/>
              </w:rPr>
            </w:pPr>
          </w:p>
        </w:tc>
        <w:tc>
          <w:tcPr>
            <w:tcW w:w="1212" w:type="dxa"/>
          </w:tcPr>
          <w:p>
            <w:pPr>
              <w:spacing w:line="440" w:lineRule="exact"/>
              <w:jc w:val="center"/>
              <w:rPr>
                <w:rFonts w:ascii="宋体" w:hAnsi="宋体" w:cs="宋体"/>
                <w:highlight w:val="none"/>
              </w:rPr>
            </w:pPr>
          </w:p>
        </w:tc>
        <w:tc>
          <w:tcPr>
            <w:tcW w:w="1653" w:type="dxa"/>
          </w:tcPr>
          <w:p>
            <w:pPr>
              <w:spacing w:line="440" w:lineRule="exact"/>
              <w:jc w:val="center"/>
              <w:rPr>
                <w:rFonts w:ascii="宋体" w:hAnsi="宋体" w:cs="宋体"/>
                <w:highlight w:val="none"/>
              </w:rPr>
            </w:pPr>
          </w:p>
        </w:tc>
        <w:tc>
          <w:tcPr>
            <w:tcW w:w="688"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66" w:type="dxa"/>
          </w:tcPr>
          <w:p>
            <w:pPr>
              <w:spacing w:line="440" w:lineRule="exact"/>
              <w:jc w:val="center"/>
              <w:rPr>
                <w:rFonts w:ascii="宋体" w:hAnsi="宋体" w:cs="宋体"/>
                <w:highlight w:val="none"/>
              </w:rPr>
            </w:pPr>
          </w:p>
        </w:tc>
        <w:tc>
          <w:tcPr>
            <w:tcW w:w="1087" w:type="dxa"/>
          </w:tcPr>
          <w:p>
            <w:pPr>
              <w:spacing w:line="440" w:lineRule="exact"/>
              <w:jc w:val="center"/>
              <w:rPr>
                <w:rFonts w:ascii="宋体" w:hAnsi="宋体" w:cs="宋体"/>
                <w:highlight w:val="none"/>
              </w:rPr>
            </w:pPr>
          </w:p>
        </w:tc>
        <w:tc>
          <w:tcPr>
            <w:tcW w:w="760" w:type="dxa"/>
          </w:tcPr>
          <w:p>
            <w:pPr>
              <w:spacing w:line="440" w:lineRule="exact"/>
              <w:jc w:val="center"/>
              <w:rPr>
                <w:rFonts w:ascii="宋体" w:hAnsi="宋体" w:cs="宋体"/>
                <w:highlight w:val="none"/>
              </w:rPr>
            </w:pPr>
          </w:p>
        </w:tc>
        <w:tc>
          <w:tcPr>
            <w:tcW w:w="991"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c>
          <w:tcPr>
            <w:tcW w:w="738" w:type="dxa"/>
          </w:tcPr>
          <w:p>
            <w:pPr>
              <w:spacing w:line="440" w:lineRule="exact"/>
              <w:jc w:val="center"/>
              <w:rPr>
                <w:rFonts w:ascii="宋体" w:hAnsi="宋体" w:cs="宋体"/>
                <w:highlight w:val="none"/>
              </w:rPr>
            </w:pPr>
          </w:p>
        </w:tc>
        <w:tc>
          <w:tcPr>
            <w:tcW w:w="1212" w:type="dxa"/>
          </w:tcPr>
          <w:p>
            <w:pPr>
              <w:spacing w:line="440" w:lineRule="exact"/>
              <w:jc w:val="center"/>
              <w:rPr>
                <w:rFonts w:ascii="宋体" w:hAnsi="宋体" w:cs="宋体"/>
                <w:highlight w:val="none"/>
              </w:rPr>
            </w:pPr>
          </w:p>
        </w:tc>
        <w:tc>
          <w:tcPr>
            <w:tcW w:w="1653" w:type="dxa"/>
          </w:tcPr>
          <w:p>
            <w:pPr>
              <w:spacing w:line="440" w:lineRule="exact"/>
              <w:jc w:val="center"/>
              <w:rPr>
                <w:rFonts w:ascii="宋体" w:hAnsi="宋体" w:cs="宋体"/>
                <w:highlight w:val="none"/>
              </w:rPr>
            </w:pPr>
          </w:p>
        </w:tc>
        <w:tc>
          <w:tcPr>
            <w:tcW w:w="688"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tcPr>
          <w:p>
            <w:pPr>
              <w:spacing w:line="440" w:lineRule="exact"/>
              <w:jc w:val="center"/>
              <w:rPr>
                <w:rFonts w:ascii="宋体" w:hAnsi="宋体" w:cs="宋体"/>
                <w:highlight w:val="none"/>
              </w:rPr>
            </w:pPr>
          </w:p>
        </w:tc>
        <w:tc>
          <w:tcPr>
            <w:tcW w:w="1087" w:type="dxa"/>
          </w:tcPr>
          <w:p>
            <w:pPr>
              <w:spacing w:line="440" w:lineRule="exact"/>
              <w:jc w:val="center"/>
              <w:rPr>
                <w:rFonts w:ascii="宋体" w:hAnsi="宋体" w:cs="宋体"/>
                <w:highlight w:val="none"/>
              </w:rPr>
            </w:pPr>
          </w:p>
        </w:tc>
        <w:tc>
          <w:tcPr>
            <w:tcW w:w="760" w:type="dxa"/>
          </w:tcPr>
          <w:p>
            <w:pPr>
              <w:spacing w:line="440" w:lineRule="exact"/>
              <w:jc w:val="center"/>
              <w:rPr>
                <w:rFonts w:ascii="宋体" w:hAnsi="宋体" w:cs="宋体"/>
                <w:highlight w:val="none"/>
              </w:rPr>
            </w:pPr>
          </w:p>
        </w:tc>
        <w:tc>
          <w:tcPr>
            <w:tcW w:w="991"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c>
          <w:tcPr>
            <w:tcW w:w="738" w:type="dxa"/>
          </w:tcPr>
          <w:p>
            <w:pPr>
              <w:spacing w:line="440" w:lineRule="exact"/>
              <w:jc w:val="center"/>
              <w:rPr>
                <w:rFonts w:ascii="宋体" w:hAnsi="宋体" w:cs="宋体"/>
                <w:highlight w:val="none"/>
              </w:rPr>
            </w:pPr>
          </w:p>
        </w:tc>
        <w:tc>
          <w:tcPr>
            <w:tcW w:w="1212" w:type="dxa"/>
          </w:tcPr>
          <w:p>
            <w:pPr>
              <w:spacing w:line="440" w:lineRule="exact"/>
              <w:jc w:val="center"/>
              <w:rPr>
                <w:rFonts w:ascii="宋体" w:hAnsi="宋体" w:cs="宋体"/>
                <w:highlight w:val="none"/>
              </w:rPr>
            </w:pPr>
          </w:p>
        </w:tc>
        <w:tc>
          <w:tcPr>
            <w:tcW w:w="1653" w:type="dxa"/>
          </w:tcPr>
          <w:p>
            <w:pPr>
              <w:spacing w:line="440" w:lineRule="exact"/>
              <w:jc w:val="center"/>
              <w:rPr>
                <w:rFonts w:ascii="宋体" w:hAnsi="宋体" w:cs="宋体"/>
                <w:highlight w:val="none"/>
              </w:rPr>
            </w:pPr>
          </w:p>
        </w:tc>
        <w:tc>
          <w:tcPr>
            <w:tcW w:w="688"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tcPr>
          <w:p>
            <w:pPr>
              <w:spacing w:line="440" w:lineRule="exact"/>
              <w:jc w:val="center"/>
              <w:rPr>
                <w:rFonts w:ascii="宋体" w:hAnsi="宋体" w:cs="宋体"/>
                <w:highlight w:val="none"/>
              </w:rPr>
            </w:pPr>
          </w:p>
        </w:tc>
        <w:tc>
          <w:tcPr>
            <w:tcW w:w="1087" w:type="dxa"/>
          </w:tcPr>
          <w:p>
            <w:pPr>
              <w:spacing w:line="440" w:lineRule="exact"/>
              <w:jc w:val="center"/>
              <w:rPr>
                <w:rFonts w:ascii="宋体" w:hAnsi="宋体" w:cs="宋体"/>
                <w:highlight w:val="none"/>
              </w:rPr>
            </w:pPr>
          </w:p>
        </w:tc>
        <w:tc>
          <w:tcPr>
            <w:tcW w:w="760" w:type="dxa"/>
          </w:tcPr>
          <w:p>
            <w:pPr>
              <w:spacing w:line="440" w:lineRule="exact"/>
              <w:jc w:val="center"/>
              <w:rPr>
                <w:rFonts w:ascii="宋体" w:hAnsi="宋体" w:cs="宋体"/>
                <w:highlight w:val="none"/>
              </w:rPr>
            </w:pPr>
          </w:p>
        </w:tc>
        <w:tc>
          <w:tcPr>
            <w:tcW w:w="991"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c>
          <w:tcPr>
            <w:tcW w:w="738" w:type="dxa"/>
          </w:tcPr>
          <w:p>
            <w:pPr>
              <w:spacing w:line="440" w:lineRule="exact"/>
              <w:jc w:val="center"/>
              <w:rPr>
                <w:rFonts w:ascii="宋体" w:hAnsi="宋体" w:cs="宋体"/>
                <w:highlight w:val="none"/>
              </w:rPr>
            </w:pPr>
          </w:p>
        </w:tc>
        <w:tc>
          <w:tcPr>
            <w:tcW w:w="1212" w:type="dxa"/>
          </w:tcPr>
          <w:p>
            <w:pPr>
              <w:spacing w:line="440" w:lineRule="exact"/>
              <w:jc w:val="center"/>
              <w:rPr>
                <w:rFonts w:ascii="宋体" w:hAnsi="宋体" w:cs="宋体"/>
                <w:highlight w:val="none"/>
              </w:rPr>
            </w:pPr>
          </w:p>
        </w:tc>
        <w:tc>
          <w:tcPr>
            <w:tcW w:w="1653" w:type="dxa"/>
          </w:tcPr>
          <w:p>
            <w:pPr>
              <w:spacing w:line="440" w:lineRule="exact"/>
              <w:jc w:val="center"/>
              <w:rPr>
                <w:rFonts w:ascii="宋体" w:hAnsi="宋体" w:cs="宋体"/>
                <w:highlight w:val="none"/>
              </w:rPr>
            </w:pPr>
          </w:p>
        </w:tc>
        <w:tc>
          <w:tcPr>
            <w:tcW w:w="688"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tcPr>
          <w:p>
            <w:pPr>
              <w:spacing w:line="440" w:lineRule="exact"/>
              <w:jc w:val="center"/>
              <w:rPr>
                <w:rFonts w:ascii="宋体" w:hAnsi="宋体" w:cs="宋体"/>
                <w:highlight w:val="none"/>
              </w:rPr>
            </w:pPr>
          </w:p>
        </w:tc>
        <w:tc>
          <w:tcPr>
            <w:tcW w:w="1087" w:type="dxa"/>
          </w:tcPr>
          <w:p>
            <w:pPr>
              <w:spacing w:line="440" w:lineRule="exact"/>
              <w:jc w:val="center"/>
              <w:rPr>
                <w:rFonts w:ascii="宋体" w:hAnsi="宋体" w:cs="宋体"/>
                <w:highlight w:val="none"/>
              </w:rPr>
            </w:pPr>
          </w:p>
        </w:tc>
        <w:tc>
          <w:tcPr>
            <w:tcW w:w="760" w:type="dxa"/>
          </w:tcPr>
          <w:p>
            <w:pPr>
              <w:spacing w:line="440" w:lineRule="exact"/>
              <w:jc w:val="center"/>
              <w:rPr>
                <w:rFonts w:ascii="宋体" w:hAnsi="宋体" w:cs="宋体"/>
                <w:highlight w:val="none"/>
              </w:rPr>
            </w:pPr>
          </w:p>
        </w:tc>
        <w:tc>
          <w:tcPr>
            <w:tcW w:w="991"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c>
          <w:tcPr>
            <w:tcW w:w="738" w:type="dxa"/>
          </w:tcPr>
          <w:p>
            <w:pPr>
              <w:spacing w:line="440" w:lineRule="exact"/>
              <w:jc w:val="center"/>
              <w:rPr>
                <w:rFonts w:ascii="宋体" w:hAnsi="宋体" w:cs="宋体"/>
                <w:highlight w:val="none"/>
              </w:rPr>
            </w:pPr>
          </w:p>
        </w:tc>
        <w:tc>
          <w:tcPr>
            <w:tcW w:w="1212" w:type="dxa"/>
          </w:tcPr>
          <w:p>
            <w:pPr>
              <w:spacing w:line="440" w:lineRule="exact"/>
              <w:jc w:val="center"/>
              <w:rPr>
                <w:rFonts w:ascii="宋体" w:hAnsi="宋体" w:cs="宋体"/>
                <w:highlight w:val="none"/>
              </w:rPr>
            </w:pPr>
          </w:p>
        </w:tc>
        <w:tc>
          <w:tcPr>
            <w:tcW w:w="1653" w:type="dxa"/>
          </w:tcPr>
          <w:p>
            <w:pPr>
              <w:spacing w:line="440" w:lineRule="exact"/>
              <w:jc w:val="center"/>
              <w:rPr>
                <w:rFonts w:ascii="宋体" w:hAnsi="宋体" w:cs="宋体"/>
                <w:highlight w:val="none"/>
              </w:rPr>
            </w:pPr>
          </w:p>
        </w:tc>
        <w:tc>
          <w:tcPr>
            <w:tcW w:w="688"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66" w:type="dxa"/>
          </w:tcPr>
          <w:p>
            <w:pPr>
              <w:spacing w:line="440" w:lineRule="exact"/>
              <w:jc w:val="center"/>
              <w:rPr>
                <w:rFonts w:ascii="宋体" w:hAnsi="宋体" w:cs="宋体"/>
                <w:highlight w:val="none"/>
              </w:rPr>
            </w:pPr>
          </w:p>
        </w:tc>
        <w:tc>
          <w:tcPr>
            <w:tcW w:w="1087" w:type="dxa"/>
          </w:tcPr>
          <w:p>
            <w:pPr>
              <w:spacing w:line="440" w:lineRule="exact"/>
              <w:jc w:val="center"/>
              <w:rPr>
                <w:rFonts w:ascii="宋体" w:hAnsi="宋体" w:cs="宋体"/>
                <w:highlight w:val="none"/>
              </w:rPr>
            </w:pPr>
          </w:p>
        </w:tc>
        <w:tc>
          <w:tcPr>
            <w:tcW w:w="760" w:type="dxa"/>
          </w:tcPr>
          <w:p>
            <w:pPr>
              <w:spacing w:line="440" w:lineRule="exact"/>
              <w:jc w:val="center"/>
              <w:rPr>
                <w:rFonts w:ascii="宋体" w:hAnsi="宋体" w:cs="宋体"/>
                <w:highlight w:val="none"/>
              </w:rPr>
            </w:pPr>
          </w:p>
        </w:tc>
        <w:tc>
          <w:tcPr>
            <w:tcW w:w="991"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c>
          <w:tcPr>
            <w:tcW w:w="738" w:type="dxa"/>
          </w:tcPr>
          <w:p>
            <w:pPr>
              <w:spacing w:line="440" w:lineRule="exact"/>
              <w:jc w:val="center"/>
              <w:rPr>
                <w:rFonts w:ascii="宋体" w:hAnsi="宋体" w:cs="宋体"/>
                <w:highlight w:val="none"/>
              </w:rPr>
            </w:pPr>
          </w:p>
        </w:tc>
        <w:tc>
          <w:tcPr>
            <w:tcW w:w="1212" w:type="dxa"/>
          </w:tcPr>
          <w:p>
            <w:pPr>
              <w:spacing w:line="440" w:lineRule="exact"/>
              <w:jc w:val="center"/>
              <w:rPr>
                <w:rFonts w:ascii="宋体" w:hAnsi="宋体" w:cs="宋体"/>
                <w:highlight w:val="none"/>
              </w:rPr>
            </w:pPr>
          </w:p>
        </w:tc>
        <w:tc>
          <w:tcPr>
            <w:tcW w:w="1653" w:type="dxa"/>
          </w:tcPr>
          <w:p>
            <w:pPr>
              <w:spacing w:line="440" w:lineRule="exact"/>
              <w:jc w:val="center"/>
              <w:rPr>
                <w:rFonts w:ascii="宋体" w:hAnsi="宋体" w:cs="宋体"/>
                <w:highlight w:val="none"/>
              </w:rPr>
            </w:pPr>
          </w:p>
        </w:tc>
        <w:tc>
          <w:tcPr>
            <w:tcW w:w="688"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tcPr>
          <w:p>
            <w:pPr>
              <w:spacing w:line="440" w:lineRule="exact"/>
              <w:jc w:val="center"/>
              <w:rPr>
                <w:rFonts w:ascii="宋体" w:hAnsi="宋体" w:cs="宋体"/>
                <w:highlight w:val="none"/>
              </w:rPr>
            </w:pPr>
          </w:p>
        </w:tc>
        <w:tc>
          <w:tcPr>
            <w:tcW w:w="1087" w:type="dxa"/>
          </w:tcPr>
          <w:p>
            <w:pPr>
              <w:spacing w:line="440" w:lineRule="exact"/>
              <w:jc w:val="center"/>
              <w:rPr>
                <w:rFonts w:ascii="宋体" w:hAnsi="宋体" w:cs="宋体"/>
                <w:highlight w:val="none"/>
              </w:rPr>
            </w:pPr>
          </w:p>
        </w:tc>
        <w:tc>
          <w:tcPr>
            <w:tcW w:w="760" w:type="dxa"/>
          </w:tcPr>
          <w:p>
            <w:pPr>
              <w:spacing w:line="440" w:lineRule="exact"/>
              <w:jc w:val="center"/>
              <w:rPr>
                <w:rFonts w:ascii="宋体" w:hAnsi="宋体" w:cs="宋体"/>
                <w:highlight w:val="none"/>
              </w:rPr>
            </w:pPr>
          </w:p>
        </w:tc>
        <w:tc>
          <w:tcPr>
            <w:tcW w:w="991"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c>
          <w:tcPr>
            <w:tcW w:w="738" w:type="dxa"/>
          </w:tcPr>
          <w:p>
            <w:pPr>
              <w:spacing w:line="440" w:lineRule="exact"/>
              <w:jc w:val="center"/>
              <w:rPr>
                <w:rFonts w:ascii="宋体" w:hAnsi="宋体" w:cs="宋体"/>
                <w:highlight w:val="none"/>
              </w:rPr>
            </w:pPr>
          </w:p>
        </w:tc>
        <w:tc>
          <w:tcPr>
            <w:tcW w:w="1212" w:type="dxa"/>
          </w:tcPr>
          <w:p>
            <w:pPr>
              <w:spacing w:line="440" w:lineRule="exact"/>
              <w:jc w:val="center"/>
              <w:rPr>
                <w:rFonts w:ascii="宋体" w:hAnsi="宋体" w:cs="宋体"/>
                <w:highlight w:val="none"/>
              </w:rPr>
            </w:pPr>
          </w:p>
        </w:tc>
        <w:tc>
          <w:tcPr>
            <w:tcW w:w="1653" w:type="dxa"/>
          </w:tcPr>
          <w:p>
            <w:pPr>
              <w:spacing w:line="440" w:lineRule="exact"/>
              <w:jc w:val="center"/>
              <w:rPr>
                <w:rFonts w:ascii="宋体" w:hAnsi="宋体" w:cs="宋体"/>
                <w:highlight w:val="none"/>
              </w:rPr>
            </w:pPr>
          </w:p>
        </w:tc>
        <w:tc>
          <w:tcPr>
            <w:tcW w:w="688"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tcPr>
          <w:p>
            <w:pPr>
              <w:spacing w:line="440" w:lineRule="exact"/>
              <w:jc w:val="center"/>
              <w:rPr>
                <w:rFonts w:ascii="宋体" w:hAnsi="宋体" w:cs="宋体"/>
                <w:highlight w:val="none"/>
              </w:rPr>
            </w:pPr>
          </w:p>
        </w:tc>
        <w:tc>
          <w:tcPr>
            <w:tcW w:w="1087" w:type="dxa"/>
          </w:tcPr>
          <w:p>
            <w:pPr>
              <w:spacing w:line="440" w:lineRule="exact"/>
              <w:jc w:val="center"/>
              <w:rPr>
                <w:rFonts w:ascii="宋体" w:hAnsi="宋体" w:cs="宋体"/>
                <w:highlight w:val="none"/>
              </w:rPr>
            </w:pPr>
          </w:p>
        </w:tc>
        <w:tc>
          <w:tcPr>
            <w:tcW w:w="760" w:type="dxa"/>
          </w:tcPr>
          <w:p>
            <w:pPr>
              <w:spacing w:line="440" w:lineRule="exact"/>
              <w:jc w:val="center"/>
              <w:rPr>
                <w:rFonts w:ascii="宋体" w:hAnsi="宋体" w:cs="宋体"/>
                <w:highlight w:val="none"/>
              </w:rPr>
            </w:pPr>
          </w:p>
        </w:tc>
        <w:tc>
          <w:tcPr>
            <w:tcW w:w="991"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c>
          <w:tcPr>
            <w:tcW w:w="738" w:type="dxa"/>
          </w:tcPr>
          <w:p>
            <w:pPr>
              <w:spacing w:line="440" w:lineRule="exact"/>
              <w:jc w:val="center"/>
              <w:rPr>
                <w:rFonts w:ascii="宋体" w:hAnsi="宋体" w:cs="宋体"/>
                <w:highlight w:val="none"/>
              </w:rPr>
            </w:pPr>
          </w:p>
        </w:tc>
        <w:tc>
          <w:tcPr>
            <w:tcW w:w="1212" w:type="dxa"/>
          </w:tcPr>
          <w:p>
            <w:pPr>
              <w:spacing w:line="440" w:lineRule="exact"/>
              <w:jc w:val="center"/>
              <w:rPr>
                <w:rFonts w:ascii="宋体" w:hAnsi="宋体" w:cs="宋体"/>
                <w:highlight w:val="none"/>
              </w:rPr>
            </w:pPr>
          </w:p>
        </w:tc>
        <w:tc>
          <w:tcPr>
            <w:tcW w:w="1653" w:type="dxa"/>
          </w:tcPr>
          <w:p>
            <w:pPr>
              <w:spacing w:line="440" w:lineRule="exact"/>
              <w:jc w:val="center"/>
              <w:rPr>
                <w:rFonts w:ascii="宋体" w:hAnsi="宋体" w:cs="宋体"/>
                <w:highlight w:val="none"/>
              </w:rPr>
            </w:pPr>
          </w:p>
        </w:tc>
        <w:tc>
          <w:tcPr>
            <w:tcW w:w="688"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tcPr>
          <w:p>
            <w:pPr>
              <w:spacing w:line="440" w:lineRule="exact"/>
              <w:jc w:val="center"/>
              <w:rPr>
                <w:rFonts w:ascii="宋体" w:hAnsi="宋体" w:cs="宋体"/>
                <w:highlight w:val="none"/>
              </w:rPr>
            </w:pPr>
          </w:p>
        </w:tc>
        <w:tc>
          <w:tcPr>
            <w:tcW w:w="1087" w:type="dxa"/>
          </w:tcPr>
          <w:p>
            <w:pPr>
              <w:spacing w:line="440" w:lineRule="exact"/>
              <w:jc w:val="center"/>
              <w:rPr>
                <w:rFonts w:ascii="宋体" w:hAnsi="宋体" w:cs="宋体"/>
                <w:highlight w:val="none"/>
              </w:rPr>
            </w:pPr>
          </w:p>
        </w:tc>
        <w:tc>
          <w:tcPr>
            <w:tcW w:w="760" w:type="dxa"/>
          </w:tcPr>
          <w:p>
            <w:pPr>
              <w:spacing w:line="440" w:lineRule="exact"/>
              <w:jc w:val="center"/>
              <w:rPr>
                <w:rFonts w:ascii="宋体" w:hAnsi="宋体" w:cs="宋体"/>
                <w:highlight w:val="none"/>
              </w:rPr>
            </w:pPr>
          </w:p>
        </w:tc>
        <w:tc>
          <w:tcPr>
            <w:tcW w:w="991"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c>
          <w:tcPr>
            <w:tcW w:w="738" w:type="dxa"/>
          </w:tcPr>
          <w:p>
            <w:pPr>
              <w:spacing w:line="440" w:lineRule="exact"/>
              <w:jc w:val="center"/>
              <w:rPr>
                <w:rFonts w:ascii="宋体" w:hAnsi="宋体" w:cs="宋体"/>
                <w:highlight w:val="none"/>
              </w:rPr>
            </w:pPr>
          </w:p>
        </w:tc>
        <w:tc>
          <w:tcPr>
            <w:tcW w:w="1212" w:type="dxa"/>
          </w:tcPr>
          <w:p>
            <w:pPr>
              <w:spacing w:line="440" w:lineRule="exact"/>
              <w:jc w:val="center"/>
              <w:rPr>
                <w:rFonts w:ascii="宋体" w:hAnsi="宋体" w:cs="宋体"/>
                <w:highlight w:val="none"/>
              </w:rPr>
            </w:pPr>
          </w:p>
        </w:tc>
        <w:tc>
          <w:tcPr>
            <w:tcW w:w="1653" w:type="dxa"/>
          </w:tcPr>
          <w:p>
            <w:pPr>
              <w:spacing w:line="440" w:lineRule="exact"/>
              <w:jc w:val="center"/>
              <w:rPr>
                <w:rFonts w:ascii="宋体" w:hAnsi="宋体" w:cs="宋体"/>
                <w:highlight w:val="none"/>
              </w:rPr>
            </w:pPr>
          </w:p>
        </w:tc>
        <w:tc>
          <w:tcPr>
            <w:tcW w:w="688"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66" w:type="dxa"/>
          </w:tcPr>
          <w:p>
            <w:pPr>
              <w:spacing w:line="440" w:lineRule="exact"/>
              <w:jc w:val="center"/>
              <w:rPr>
                <w:rFonts w:ascii="宋体" w:hAnsi="宋体" w:cs="宋体"/>
                <w:highlight w:val="none"/>
              </w:rPr>
            </w:pPr>
          </w:p>
        </w:tc>
        <w:tc>
          <w:tcPr>
            <w:tcW w:w="1087" w:type="dxa"/>
          </w:tcPr>
          <w:p>
            <w:pPr>
              <w:spacing w:line="440" w:lineRule="exact"/>
              <w:jc w:val="center"/>
              <w:rPr>
                <w:rFonts w:ascii="宋体" w:hAnsi="宋体" w:cs="宋体"/>
                <w:highlight w:val="none"/>
              </w:rPr>
            </w:pPr>
          </w:p>
        </w:tc>
        <w:tc>
          <w:tcPr>
            <w:tcW w:w="760" w:type="dxa"/>
          </w:tcPr>
          <w:p>
            <w:pPr>
              <w:spacing w:line="440" w:lineRule="exact"/>
              <w:jc w:val="center"/>
              <w:rPr>
                <w:rFonts w:ascii="宋体" w:hAnsi="宋体" w:cs="宋体"/>
                <w:highlight w:val="none"/>
              </w:rPr>
            </w:pPr>
          </w:p>
        </w:tc>
        <w:tc>
          <w:tcPr>
            <w:tcW w:w="991"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c>
          <w:tcPr>
            <w:tcW w:w="738" w:type="dxa"/>
          </w:tcPr>
          <w:p>
            <w:pPr>
              <w:spacing w:line="440" w:lineRule="exact"/>
              <w:jc w:val="center"/>
              <w:rPr>
                <w:rFonts w:ascii="宋体" w:hAnsi="宋体" w:cs="宋体"/>
                <w:highlight w:val="none"/>
              </w:rPr>
            </w:pPr>
          </w:p>
        </w:tc>
        <w:tc>
          <w:tcPr>
            <w:tcW w:w="1212" w:type="dxa"/>
          </w:tcPr>
          <w:p>
            <w:pPr>
              <w:spacing w:line="440" w:lineRule="exact"/>
              <w:jc w:val="center"/>
              <w:rPr>
                <w:rFonts w:ascii="宋体" w:hAnsi="宋体" w:cs="宋体"/>
                <w:highlight w:val="none"/>
              </w:rPr>
            </w:pPr>
          </w:p>
        </w:tc>
        <w:tc>
          <w:tcPr>
            <w:tcW w:w="1653" w:type="dxa"/>
          </w:tcPr>
          <w:p>
            <w:pPr>
              <w:spacing w:line="440" w:lineRule="exact"/>
              <w:jc w:val="center"/>
              <w:rPr>
                <w:rFonts w:ascii="宋体" w:hAnsi="宋体" w:cs="宋体"/>
                <w:highlight w:val="none"/>
              </w:rPr>
            </w:pPr>
          </w:p>
        </w:tc>
        <w:tc>
          <w:tcPr>
            <w:tcW w:w="688" w:type="dxa"/>
          </w:tcPr>
          <w:p>
            <w:pPr>
              <w:spacing w:line="440" w:lineRule="exact"/>
              <w:jc w:val="center"/>
              <w:rPr>
                <w:rFonts w:ascii="宋体" w:hAnsi="宋体" w:cs="宋体"/>
                <w:highlight w:val="none"/>
              </w:rPr>
            </w:pPr>
          </w:p>
        </w:tc>
      </w:tr>
    </w:tbl>
    <w:p>
      <w:pPr>
        <w:spacing w:line="440" w:lineRule="exact"/>
        <w:rPr>
          <w:rFonts w:ascii="宋体" w:hAnsi="宋体" w:cs="宋体"/>
          <w:sz w:val="20"/>
          <w:highlight w:val="none"/>
        </w:rPr>
      </w:pPr>
      <w:r>
        <w:rPr>
          <w:rFonts w:hint="eastAsia" w:ascii="宋体" w:hAnsi="宋体" w:cs="宋体"/>
          <w:sz w:val="20"/>
          <w:highlight w:val="none"/>
        </w:rPr>
        <w:br w:type="page"/>
      </w:r>
    </w:p>
    <w:p>
      <w:pPr>
        <w:pStyle w:val="36"/>
        <w:rPr>
          <w:rFonts w:eastAsia="宋体"/>
          <w:highlight w:val="none"/>
        </w:rPr>
      </w:pPr>
      <w:bookmarkStart w:id="257" w:name="_Toc416273951"/>
      <w:bookmarkStart w:id="258" w:name="_Toc416273862"/>
      <w:bookmarkStart w:id="259" w:name="_Toc390413386"/>
      <w:bookmarkStart w:id="260" w:name="_Toc152045799"/>
      <w:bookmarkStart w:id="261" w:name="_Toc152042588"/>
      <w:bookmarkStart w:id="262" w:name="_Toc144974867"/>
      <w:bookmarkStart w:id="263" w:name="_Toc451622431"/>
      <w:bookmarkStart w:id="264" w:name="_Toc482980319"/>
      <w:bookmarkStart w:id="265" w:name="_Toc227984086"/>
      <w:r>
        <w:rPr>
          <w:rFonts w:hint="eastAsia" w:eastAsia="宋体"/>
          <w:highlight w:val="none"/>
        </w:rPr>
        <w:t>附表三：劳动力计划表</w:t>
      </w:r>
      <w:bookmarkEnd w:id="257"/>
      <w:bookmarkEnd w:id="258"/>
      <w:bookmarkEnd w:id="259"/>
      <w:bookmarkEnd w:id="260"/>
      <w:bookmarkEnd w:id="261"/>
      <w:bookmarkEnd w:id="262"/>
      <w:bookmarkEnd w:id="263"/>
      <w:bookmarkEnd w:id="264"/>
      <w:bookmarkEnd w:id="265"/>
    </w:p>
    <w:p>
      <w:pPr>
        <w:spacing w:line="440" w:lineRule="exact"/>
        <w:ind w:right="200"/>
        <w:jc w:val="right"/>
        <w:rPr>
          <w:rFonts w:ascii="宋体" w:hAnsi="宋体" w:cs="宋体"/>
          <w:highlight w:val="none"/>
        </w:rPr>
      </w:pPr>
      <w:r>
        <w:rPr>
          <w:rFonts w:hint="eastAsia" w:ascii="宋体" w:hAnsi="宋体" w:cs="宋体"/>
          <w:highlight w:val="none"/>
        </w:rPr>
        <w:t>单位：人</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304"/>
        <w:gridCol w:w="1065"/>
        <w:gridCol w:w="1065"/>
        <w:gridCol w:w="1065"/>
        <w:gridCol w:w="1065"/>
        <w:gridCol w:w="1065"/>
        <w:gridCol w:w="10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vAlign w:val="center"/>
          </w:tcPr>
          <w:p>
            <w:pPr>
              <w:spacing w:line="440" w:lineRule="exact"/>
              <w:jc w:val="center"/>
              <w:rPr>
                <w:rFonts w:ascii="宋体" w:hAnsi="宋体" w:cs="宋体"/>
                <w:highlight w:val="none"/>
              </w:rPr>
            </w:pPr>
            <w:r>
              <w:rPr>
                <w:rFonts w:hint="eastAsia" w:ascii="宋体" w:hAnsi="宋体" w:cs="宋体"/>
                <w:highlight w:val="none"/>
              </w:rPr>
              <w:t>工种</w:t>
            </w:r>
          </w:p>
        </w:tc>
        <w:tc>
          <w:tcPr>
            <w:tcW w:w="7693" w:type="dxa"/>
            <w:gridSpan w:val="7"/>
            <w:vAlign w:val="center"/>
          </w:tcPr>
          <w:p>
            <w:pPr>
              <w:spacing w:line="440" w:lineRule="exact"/>
              <w:jc w:val="center"/>
              <w:rPr>
                <w:rFonts w:ascii="宋体" w:hAnsi="宋体" w:cs="宋体"/>
                <w:highlight w:val="none"/>
              </w:rPr>
            </w:pPr>
            <w:r>
              <w:rPr>
                <w:rFonts w:hint="eastAsia" w:ascii="宋体" w:hAnsi="宋体" w:cs="宋体"/>
                <w:highlight w:val="none"/>
              </w:rPr>
              <w:t>按工程施工阶段投入劳动力情况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vAlign w:val="center"/>
          </w:tcPr>
          <w:p>
            <w:pPr>
              <w:spacing w:line="440" w:lineRule="exact"/>
              <w:jc w:val="center"/>
              <w:rPr>
                <w:rFonts w:ascii="宋体" w:hAnsi="宋体" w:cs="宋体"/>
                <w:highlight w:val="none"/>
              </w:rPr>
            </w:pPr>
          </w:p>
        </w:tc>
        <w:tc>
          <w:tcPr>
            <w:tcW w:w="1304" w:type="dxa"/>
            <w:vAlign w:val="center"/>
          </w:tcPr>
          <w:p>
            <w:pPr>
              <w:spacing w:line="440" w:lineRule="exact"/>
              <w:jc w:val="center"/>
              <w:rPr>
                <w:rFonts w:ascii="宋体" w:hAnsi="宋体" w:cs="宋体"/>
                <w:highlight w:val="none"/>
              </w:rPr>
            </w:pPr>
          </w:p>
        </w:tc>
        <w:tc>
          <w:tcPr>
            <w:tcW w:w="1065" w:type="dxa"/>
            <w:vAlign w:val="center"/>
          </w:tcPr>
          <w:p>
            <w:pPr>
              <w:spacing w:line="440" w:lineRule="exact"/>
              <w:jc w:val="center"/>
              <w:rPr>
                <w:rFonts w:ascii="宋体" w:hAnsi="宋体" w:cs="宋体"/>
                <w:highlight w:val="none"/>
              </w:rPr>
            </w:pPr>
          </w:p>
        </w:tc>
        <w:tc>
          <w:tcPr>
            <w:tcW w:w="1065" w:type="dxa"/>
            <w:vAlign w:val="center"/>
          </w:tcPr>
          <w:p>
            <w:pPr>
              <w:spacing w:line="440" w:lineRule="exact"/>
              <w:jc w:val="center"/>
              <w:rPr>
                <w:rFonts w:ascii="宋体" w:hAnsi="宋体" w:cs="宋体"/>
                <w:highlight w:val="none"/>
              </w:rPr>
            </w:pPr>
          </w:p>
        </w:tc>
        <w:tc>
          <w:tcPr>
            <w:tcW w:w="1065" w:type="dxa"/>
            <w:vAlign w:val="center"/>
          </w:tcPr>
          <w:p>
            <w:pPr>
              <w:spacing w:line="440" w:lineRule="exact"/>
              <w:jc w:val="center"/>
              <w:rPr>
                <w:rFonts w:ascii="宋体" w:hAnsi="宋体" w:cs="宋体"/>
                <w:highlight w:val="none"/>
              </w:rPr>
            </w:pPr>
          </w:p>
        </w:tc>
        <w:tc>
          <w:tcPr>
            <w:tcW w:w="1065" w:type="dxa"/>
            <w:vAlign w:val="center"/>
          </w:tcPr>
          <w:p>
            <w:pPr>
              <w:spacing w:line="440" w:lineRule="exact"/>
              <w:jc w:val="center"/>
              <w:rPr>
                <w:rFonts w:ascii="宋体" w:hAnsi="宋体" w:cs="宋体"/>
                <w:highlight w:val="none"/>
              </w:rPr>
            </w:pPr>
          </w:p>
        </w:tc>
        <w:tc>
          <w:tcPr>
            <w:tcW w:w="1065" w:type="dxa"/>
            <w:vAlign w:val="center"/>
          </w:tcPr>
          <w:p>
            <w:pPr>
              <w:spacing w:line="440" w:lineRule="exact"/>
              <w:jc w:val="center"/>
              <w:rPr>
                <w:rFonts w:ascii="宋体" w:hAnsi="宋体" w:cs="宋体"/>
                <w:highlight w:val="none"/>
              </w:rPr>
            </w:pPr>
          </w:p>
        </w:tc>
        <w:tc>
          <w:tcPr>
            <w:tcW w:w="1064" w:type="dxa"/>
            <w:vAlign w:val="center"/>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vAlign w:val="center"/>
          </w:tcPr>
          <w:p>
            <w:pPr>
              <w:spacing w:line="440" w:lineRule="exact"/>
              <w:jc w:val="center"/>
              <w:rPr>
                <w:rFonts w:ascii="宋体" w:hAnsi="宋体" w:cs="宋体"/>
                <w:highlight w:val="none"/>
              </w:rPr>
            </w:pPr>
          </w:p>
        </w:tc>
        <w:tc>
          <w:tcPr>
            <w:tcW w:w="1304" w:type="dxa"/>
            <w:vAlign w:val="center"/>
          </w:tcPr>
          <w:p>
            <w:pPr>
              <w:spacing w:line="440" w:lineRule="exact"/>
              <w:jc w:val="center"/>
              <w:rPr>
                <w:rFonts w:ascii="宋体" w:hAnsi="宋体" w:cs="宋体"/>
                <w:highlight w:val="none"/>
              </w:rPr>
            </w:pPr>
          </w:p>
        </w:tc>
        <w:tc>
          <w:tcPr>
            <w:tcW w:w="1065" w:type="dxa"/>
            <w:vAlign w:val="center"/>
          </w:tcPr>
          <w:p>
            <w:pPr>
              <w:spacing w:line="440" w:lineRule="exact"/>
              <w:jc w:val="center"/>
              <w:rPr>
                <w:rFonts w:ascii="宋体" w:hAnsi="宋体" w:cs="宋体"/>
                <w:highlight w:val="none"/>
              </w:rPr>
            </w:pPr>
          </w:p>
        </w:tc>
        <w:tc>
          <w:tcPr>
            <w:tcW w:w="1065" w:type="dxa"/>
            <w:vAlign w:val="center"/>
          </w:tcPr>
          <w:p>
            <w:pPr>
              <w:spacing w:line="440" w:lineRule="exact"/>
              <w:jc w:val="center"/>
              <w:rPr>
                <w:rFonts w:ascii="宋体" w:hAnsi="宋体" w:cs="宋体"/>
                <w:highlight w:val="none"/>
              </w:rPr>
            </w:pPr>
          </w:p>
        </w:tc>
        <w:tc>
          <w:tcPr>
            <w:tcW w:w="1065" w:type="dxa"/>
            <w:vAlign w:val="center"/>
          </w:tcPr>
          <w:p>
            <w:pPr>
              <w:spacing w:line="440" w:lineRule="exact"/>
              <w:jc w:val="center"/>
              <w:rPr>
                <w:rFonts w:ascii="宋体" w:hAnsi="宋体" w:cs="宋体"/>
                <w:highlight w:val="none"/>
              </w:rPr>
            </w:pPr>
          </w:p>
        </w:tc>
        <w:tc>
          <w:tcPr>
            <w:tcW w:w="1065" w:type="dxa"/>
            <w:vAlign w:val="center"/>
          </w:tcPr>
          <w:p>
            <w:pPr>
              <w:spacing w:line="440" w:lineRule="exact"/>
              <w:jc w:val="center"/>
              <w:rPr>
                <w:rFonts w:ascii="宋体" w:hAnsi="宋体" w:cs="宋体"/>
                <w:highlight w:val="none"/>
              </w:rPr>
            </w:pPr>
          </w:p>
        </w:tc>
        <w:tc>
          <w:tcPr>
            <w:tcW w:w="1065" w:type="dxa"/>
            <w:vAlign w:val="center"/>
          </w:tcPr>
          <w:p>
            <w:pPr>
              <w:spacing w:line="440" w:lineRule="exact"/>
              <w:jc w:val="center"/>
              <w:rPr>
                <w:rFonts w:ascii="宋体" w:hAnsi="宋体" w:cs="宋体"/>
                <w:highlight w:val="none"/>
              </w:rPr>
            </w:pPr>
          </w:p>
        </w:tc>
        <w:tc>
          <w:tcPr>
            <w:tcW w:w="1064" w:type="dxa"/>
            <w:vAlign w:val="center"/>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29" w:type="dxa"/>
          </w:tcPr>
          <w:p>
            <w:pPr>
              <w:spacing w:line="440" w:lineRule="exact"/>
              <w:jc w:val="center"/>
              <w:rPr>
                <w:rFonts w:ascii="宋体" w:hAnsi="宋体" w:cs="宋体"/>
                <w:highlight w:val="none"/>
              </w:rPr>
            </w:pPr>
          </w:p>
        </w:tc>
        <w:tc>
          <w:tcPr>
            <w:tcW w:w="1304"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4"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pPr>
              <w:spacing w:line="440" w:lineRule="exact"/>
              <w:jc w:val="center"/>
              <w:rPr>
                <w:rFonts w:ascii="宋体" w:hAnsi="宋体" w:cs="宋体"/>
                <w:highlight w:val="none"/>
              </w:rPr>
            </w:pPr>
          </w:p>
        </w:tc>
        <w:tc>
          <w:tcPr>
            <w:tcW w:w="1304"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4"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pPr>
              <w:spacing w:line="440" w:lineRule="exact"/>
              <w:jc w:val="center"/>
              <w:rPr>
                <w:rFonts w:ascii="宋体" w:hAnsi="宋体" w:cs="宋体"/>
                <w:highlight w:val="none"/>
              </w:rPr>
            </w:pPr>
          </w:p>
        </w:tc>
        <w:tc>
          <w:tcPr>
            <w:tcW w:w="1304"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4"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pPr>
              <w:spacing w:line="440" w:lineRule="exact"/>
              <w:jc w:val="center"/>
              <w:rPr>
                <w:rFonts w:ascii="宋体" w:hAnsi="宋体" w:cs="宋体"/>
                <w:highlight w:val="none"/>
              </w:rPr>
            </w:pPr>
          </w:p>
        </w:tc>
        <w:tc>
          <w:tcPr>
            <w:tcW w:w="1304"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4"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29" w:type="dxa"/>
          </w:tcPr>
          <w:p>
            <w:pPr>
              <w:spacing w:line="440" w:lineRule="exact"/>
              <w:jc w:val="center"/>
              <w:rPr>
                <w:rFonts w:ascii="宋体" w:hAnsi="宋体" w:cs="宋体"/>
                <w:highlight w:val="none"/>
              </w:rPr>
            </w:pPr>
          </w:p>
        </w:tc>
        <w:tc>
          <w:tcPr>
            <w:tcW w:w="1304"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4"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pPr>
              <w:spacing w:line="440" w:lineRule="exact"/>
              <w:jc w:val="center"/>
              <w:rPr>
                <w:rFonts w:ascii="宋体" w:hAnsi="宋体" w:cs="宋体"/>
                <w:highlight w:val="none"/>
              </w:rPr>
            </w:pPr>
          </w:p>
        </w:tc>
        <w:tc>
          <w:tcPr>
            <w:tcW w:w="1304"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4"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pPr>
              <w:spacing w:line="440" w:lineRule="exact"/>
              <w:jc w:val="center"/>
              <w:rPr>
                <w:rFonts w:ascii="宋体" w:hAnsi="宋体" w:cs="宋体"/>
                <w:highlight w:val="none"/>
              </w:rPr>
            </w:pPr>
          </w:p>
        </w:tc>
        <w:tc>
          <w:tcPr>
            <w:tcW w:w="1304"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4"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pPr>
              <w:spacing w:line="440" w:lineRule="exact"/>
              <w:jc w:val="center"/>
              <w:rPr>
                <w:rFonts w:ascii="宋体" w:hAnsi="宋体" w:cs="宋体"/>
                <w:highlight w:val="none"/>
              </w:rPr>
            </w:pPr>
          </w:p>
        </w:tc>
        <w:tc>
          <w:tcPr>
            <w:tcW w:w="1304"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4"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29" w:type="dxa"/>
          </w:tcPr>
          <w:p>
            <w:pPr>
              <w:spacing w:line="440" w:lineRule="exact"/>
              <w:jc w:val="center"/>
              <w:rPr>
                <w:rFonts w:ascii="宋体" w:hAnsi="宋体" w:cs="宋体"/>
                <w:highlight w:val="none"/>
              </w:rPr>
            </w:pPr>
          </w:p>
        </w:tc>
        <w:tc>
          <w:tcPr>
            <w:tcW w:w="1304"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4"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pPr>
              <w:spacing w:line="440" w:lineRule="exact"/>
              <w:jc w:val="center"/>
              <w:rPr>
                <w:rFonts w:ascii="宋体" w:hAnsi="宋体" w:cs="宋体"/>
                <w:highlight w:val="none"/>
              </w:rPr>
            </w:pPr>
          </w:p>
        </w:tc>
        <w:tc>
          <w:tcPr>
            <w:tcW w:w="1304"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4"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pPr>
              <w:spacing w:line="440" w:lineRule="exact"/>
              <w:jc w:val="center"/>
              <w:rPr>
                <w:rFonts w:ascii="宋体" w:hAnsi="宋体" w:cs="宋体"/>
                <w:highlight w:val="none"/>
              </w:rPr>
            </w:pPr>
          </w:p>
        </w:tc>
        <w:tc>
          <w:tcPr>
            <w:tcW w:w="1304"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4"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pPr>
              <w:spacing w:line="440" w:lineRule="exact"/>
              <w:jc w:val="center"/>
              <w:rPr>
                <w:rFonts w:ascii="宋体" w:hAnsi="宋体" w:cs="宋体"/>
                <w:highlight w:val="none"/>
              </w:rPr>
            </w:pPr>
          </w:p>
        </w:tc>
        <w:tc>
          <w:tcPr>
            <w:tcW w:w="1304"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4"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29" w:type="dxa"/>
          </w:tcPr>
          <w:p>
            <w:pPr>
              <w:spacing w:line="440" w:lineRule="exact"/>
              <w:jc w:val="center"/>
              <w:rPr>
                <w:rFonts w:ascii="宋体" w:hAnsi="宋体" w:cs="宋体"/>
                <w:highlight w:val="none"/>
              </w:rPr>
            </w:pPr>
          </w:p>
        </w:tc>
        <w:tc>
          <w:tcPr>
            <w:tcW w:w="1304"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4"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pPr>
              <w:spacing w:line="440" w:lineRule="exact"/>
              <w:jc w:val="center"/>
              <w:rPr>
                <w:rFonts w:ascii="宋体" w:hAnsi="宋体" w:cs="宋体"/>
                <w:highlight w:val="none"/>
              </w:rPr>
            </w:pPr>
          </w:p>
        </w:tc>
        <w:tc>
          <w:tcPr>
            <w:tcW w:w="1304"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4"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pPr>
              <w:spacing w:line="440" w:lineRule="exact"/>
              <w:jc w:val="center"/>
              <w:rPr>
                <w:rFonts w:ascii="宋体" w:hAnsi="宋体" w:cs="宋体"/>
                <w:highlight w:val="none"/>
              </w:rPr>
            </w:pPr>
          </w:p>
        </w:tc>
        <w:tc>
          <w:tcPr>
            <w:tcW w:w="1304"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4"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pPr>
              <w:spacing w:line="440" w:lineRule="exact"/>
              <w:jc w:val="center"/>
              <w:rPr>
                <w:rFonts w:ascii="宋体" w:hAnsi="宋体" w:cs="宋体"/>
                <w:highlight w:val="none"/>
              </w:rPr>
            </w:pPr>
          </w:p>
        </w:tc>
        <w:tc>
          <w:tcPr>
            <w:tcW w:w="1304"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4"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29" w:type="dxa"/>
          </w:tcPr>
          <w:p>
            <w:pPr>
              <w:spacing w:line="440" w:lineRule="exact"/>
              <w:jc w:val="center"/>
              <w:rPr>
                <w:rFonts w:ascii="宋体" w:hAnsi="宋体" w:cs="宋体"/>
                <w:highlight w:val="none"/>
              </w:rPr>
            </w:pPr>
          </w:p>
        </w:tc>
        <w:tc>
          <w:tcPr>
            <w:tcW w:w="1304"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4"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pPr>
              <w:spacing w:line="440" w:lineRule="exact"/>
              <w:jc w:val="center"/>
              <w:rPr>
                <w:rFonts w:ascii="宋体" w:hAnsi="宋体" w:cs="宋体"/>
                <w:highlight w:val="none"/>
              </w:rPr>
            </w:pPr>
          </w:p>
        </w:tc>
        <w:tc>
          <w:tcPr>
            <w:tcW w:w="1304"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4"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pPr>
              <w:spacing w:line="440" w:lineRule="exact"/>
              <w:jc w:val="center"/>
              <w:rPr>
                <w:rFonts w:ascii="宋体" w:hAnsi="宋体" w:cs="宋体"/>
                <w:highlight w:val="none"/>
              </w:rPr>
            </w:pPr>
          </w:p>
        </w:tc>
        <w:tc>
          <w:tcPr>
            <w:tcW w:w="1304"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4"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pPr>
              <w:spacing w:line="440" w:lineRule="exact"/>
              <w:jc w:val="center"/>
              <w:rPr>
                <w:rFonts w:ascii="宋体" w:hAnsi="宋体" w:cs="宋体"/>
                <w:highlight w:val="none"/>
              </w:rPr>
            </w:pPr>
          </w:p>
        </w:tc>
        <w:tc>
          <w:tcPr>
            <w:tcW w:w="1304"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4"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29" w:type="dxa"/>
          </w:tcPr>
          <w:p>
            <w:pPr>
              <w:spacing w:line="440" w:lineRule="exact"/>
              <w:jc w:val="center"/>
              <w:rPr>
                <w:rFonts w:ascii="宋体" w:hAnsi="宋体" w:cs="宋体"/>
                <w:highlight w:val="none"/>
              </w:rPr>
            </w:pPr>
          </w:p>
        </w:tc>
        <w:tc>
          <w:tcPr>
            <w:tcW w:w="1304"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4"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pPr>
              <w:spacing w:line="440" w:lineRule="exact"/>
              <w:jc w:val="center"/>
              <w:rPr>
                <w:rFonts w:ascii="宋体" w:hAnsi="宋体" w:cs="宋体"/>
                <w:highlight w:val="none"/>
              </w:rPr>
            </w:pPr>
          </w:p>
        </w:tc>
        <w:tc>
          <w:tcPr>
            <w:tcW w:w="1304"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4"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Pr>
          <w:p>
            <w:pPr>
              <w:spacing w:line="440" w:lineRule="exact"/>
              <w:jc w:val="center"/>
              <w:rPr>
                <w:rFonts w:ascii="宋体" w:hAnsi="宋体" w:cs="宋体"/>
                <w:highlight w:val="none"/>
              </w:rPr>
            </w:pPr>
          </w:p>
        </w:tc>
        <w:tc>
          <w:tcPr>
            <w:tcW w:w="1304"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5" w:type="dxa"/>
          </w:tcPr>
          <w:p>
            <w:pPr>
              <w:spacing w:line="440" w:lineRule="exact"/>
              <w:jc w:val="center"/>
              <w:rPr>
                <w:rFonts w:ascii="宋体" w:hAnsi="宋体" w:cs="宋体"/>
                <w:highlight w:val="none"/>
              </w:rPr>
            </w:pPr>
          </w:p>
        </w:tc>
        <w:tc>
          <w:tcPr>
            <w:tcW w:w="1064" w:type="dxa"/>
          </w:tcPr>
          <w:p>
            <w:pPr>
              <w:spacing w:line="440" w:lineRule="exact"/>
              <w:jc w:val="center"/>
              <w:rPr>
                <w:rFonts w:ascii="宋体" w:hAnsi="宋体" w:cs="宋体"/>
                <w:highlight w:val="none"/>
              </w:rPr>
            </w:pPr>
          </w:p>
        </w:tc>
      </w:tr>
    </w:tbl>
    <w:p>
      <w:pPr>
        <w:spacing w:line="440" w:lineRule="exact"/>
        <w:rPr>
          <w:rFonts w:ascii="宋体" w:hAnsi="宋体" w:cs="宋体"/>
          <w:sz w:val="20"/>
          <w:highlight w:val="none"/>
        </w:rPr>
      </w:pPr>
    </w:p>
    <w:p>
      <w:pPr>
        <w:spacing w:line="440" w:lineRule="exact"/>
        <w:rPr>
          <w:rFonts w:ascii="宋体" w:hAnsi="宋体" w:cs="宋体"/>
          <w:sz w:val="20"/>
          <w:highlight w:val="none"/>
        </w:rPr>
      </w:pPr>
    </w:p>
    <w:p>
      <w:pPr>
        <w:topLinePunct/>
        <w:spacing w:line="440" w:lineRule="exact"/>
        <w:jc w:val="center"/>
        <w:rPr>
          <w:rFonts w:ascii="宋体" w:hAnsi="宋体" w:cs="宋体"/>
          <w:highlight w:val="none"/>
        </w:rPr>
      </w:pPr>
    </w:p>
    <w:p>
      <w:pPr>
        <w:pStyle w:val="36"/>
        <w:rPr>
          <w:rFonts w:eastAsia="宋体"/>
          <w:highlight w:val="none"/>
        </w:rPr>
      </w:pPr>
      <w:bookmarkStart w:id="266" w:name="_Toc451622432"/>
      <w:bookmarkStart w:id="267" w:name="_Toc152045800"/>
      <w:bookmarkStart w:id="268" w:name="_Toc482980320"/>
      <w:bookmarkStart w:id="269" w:name="_Toc152042589"/>
      <w:bookmarkStart w:id="270" w:name="_Toc416273863"/>
      <w:bookmarkStart w:id="271" w:name="_Toc416273952"/>
      <w:bookmarkStart w:id="272" w:name="_Toc227984087"/>
      <w:bookmarkStart w:id="273" w:name="_Toc144974868"/>
      <w:bookmarkStart w:id="274" w:name="_Toc390413387"/>
      <w:r>
        <w:rPr>
          <w:rFonts w:hint="eastAsia" w:eastAsia="宋体"/>
          <w:highlight w:val="none"/>
        </w:rPr>
        <w:t>附表四：计划开、竣工日期和施工进度网络图</w:t>
      </w:r>
      <w:bookmarkEnd w:id="266"/>
      <w:bookmarkEnd w:id="267"/>
      <w:bookmarkEnd w:id="268"/>
      <w:bookmarkEnd w:id="269"/>
      <w:bookmarkEnd w:id="270"/>
      <w:bookmarkEnd w:id="271"/>
      <w:bookmarkEnd w:id="272"/>
      <w:bookmarkEnd w:id="273"/>
      <w:bookmarkEnd w:id="274"/>
    </w:p>
    <w:p>
      <w:pPr>
        <w:spacing w:line="440" w:lineRule="exact"/>
        <w:rPr>
          <w:rFonts w:ascii="宋体" w:hAnsi="宋体" w:cs="宋体"/>
          <w:sz w:val="20"/>
          <w:highlight w:val="none"/>
        </w:rPr>
      </w:pPr>
    </w:p>
    <w:p>
      <w:pPr>
        <w:spacing w:line="440" w:lineRule="exact"/>
        <w:ind w:firstLine="420" w:firstLineChars="200"/>
        <w:rPr>
          <w:rFonts w:ascii="宋体" w:hAnsi="宋体" w:cs="宋体"/>
          <w:highlight w:val="none"/>
        </w:rPr>
      </w:pPr>
      <w:r>
        <w:rPr>
          <w:rFonts w:hint="eastAsia" w:ascii="宋体" w:hAnsi="宋体" w:cs="宋体"/>
          <w:highlight w:val="none"/>
        </w:rPr>
        <w:t>1. 投标人应递交施工进度网络图或施工进度表，说明按招标文件要求的计划工期进行施工的各个关键日期。</w:t>
      </w:r>
    </w:p>
    <w:p>
      <w:pPr>
        <w:spacing w:line="440" w:lineRule="exact"/>
        <w:ind w:firstLine="420" w:firstLineChars="200"/>
        <w:rPr>
          <w:rFonts w:ascii="宋体" w:hAnsi="宋体" w:cs="宋体"/>
          <w:highlight w:val="none"/>
        </w:rPr>
      </w:pPr>
      <w:r>
        <w:rPr>
          <w:rFonts w:hint="eastAsia" w:ascii="宋体" w:hAnsi="宋体" w:cs="宋体"/>
          <w:highlight w:val="none"/>
        </w:rPr>
        <w:t>2. 施工进度表可采用网络图（或横道图）表示。</w:t>
      </w:r>
    </w:p>
    <w:p>
      <w:pPr>
        <w:spacing w:line="440" w:lineRule="exact"/>
        <w:ind w:firstLine="420" w:firstLineChars="200"/>
        <w:rPr>
          <w:rFonts w:ascii="宋体" w:hAnsi="宋体" w:cs="宋体"/>
          <w:highlight w:val="none"/>
        </w:rPr>
      </w:pPr>
      <w:r>
        <w:rPr>
          <w:rFonts w:hint="eastAsia" w:ascii="宋体" w:hAnsi="宋体" w:cs="宋体"/>
          <w:highlight w:val="none"/>
        </w:rPr>
        <w:t xml:space="preserve">3、暂定开工日期     </w:t>
      </w:r>
    </w:p>
    <w:p>
      <w:pPr>
        <w:spacing w:line="440" w:lineRule="exact"/>
        <w:rPr>
          <w:rFonts w:ascii="宋体" w:hAnsi="宋体" w:cs="宋体"/>
          <w:sz w:val="20"/>
          <w:highlight w:val="none"/>
        </w:rPr>
      </w:pPr>
    </w:p>
    <w:p>
      <w:pPr>
        <w:spacing w:line="440" w:lineRule="exact"/>
        <w:rPr>
          <w:rFonts w:ascii="宋体" w:hAnsi="宋体" w:cs="宋体"/>
          <w:sz w:val="20"/>
          <w:highlight w:val="none"/>
        </w:rPr>
      </w:pPr>
    </w:p>
    <w:p>
      <w:pPr>
        <w:pStyle w:val="36"/>
        <w:rPr>
          <w:rFonts w:eastAsia="宋体"/>
          <w:highlight w:val="none"/>
        </w:rPr>
      </w:pPr>
      <w:bookmarkStart w:id="275" w:name="_Toc482980321"/>
      <w:bookmarkStart w:id="276" w:name="_Toc416273864"/>
      <w:bookmarkStart w:id="277" w:name="_Toc152042590"/>
      <w:bookmarkStart w:id="278" w:name="_Toc227984088"/>
      <w:bookmarkStart w:id="279" w:name="_Toc144974869"/>
      <w:bookmarkStart w:id="280" w:name="_Toc390413388"/>
      <w:bookmarkStart w:id="281" w:name="_Toc416273953"/>
      <w:bookmarkStart w:id="282" w:name="_Toc152045801"/>
      <w:r>
        <w:rPr>
          <w:rFonts w:hint="eastAsia" w:eastAsia="宋体"/>
          <w:highlight w:val="none"/>
        </w:rPr>
        <w:t>附表五：施工总平面图</w:t>
      </w:r>
      <w:bookmarkEnd w:id="275"/>
      <w:bookmarkEnd w:id="276"/>
      <w:bookmarkEnd w:id="277"/>
      <w:bookmarkEnd w:id="278"/>
      <w:bookmarkEnd w:id="279"/>
      <w:bookmarkEnd w:id="280"/>
      <w:bookmarkEnd w:id="281"/>
      <w:bookmarkEnd w:id="282"/>
    </w:p>
    <w:p>
      <w:pPr>
        <w:spacing w:line="440" w:lineRule="exact"/>
        <w:rPr>
          <w:rFonts w:ascii="宋体" w:hAnsi="宋体" w:cs="宋体"/>
          <w:sz w:val="20"/>
          <w:highlight w:val="none"/>
        </w:rPr>
      </w:pPr>
      <w:r>
        <w:rPr>
          <w:rFonts w:hint="eastAsia" w:ascii="宋体" w:hAnsi="宋体" w:cs="宋体"/>
          <w:sz w:val="20"/>
          <w:highlight w:val="none"/>
        </w:rPr>
        <w:tab/>
      </w:r>
    </w:p>
    <w:p>
      <w:pPr>
        <w:spacing w:line="440" w:lineRule="exact"/>
        <w:ind w:firstLine="420" w:firstLineChars="200"/>
        <w:rPr>
          <w:rFonts w:ascii="宋体" w:hAnsi="宋体" w:cs="宋体"/>
          <w:highlight w:val="none"/>
        </w:rPr>
      </w:pPr>
      <w:r>
        <w:rPr>
          <w:rFonts w:hint="eastAsia" w:ascii="宋体" w:hAnsi="宋体" w:cs="宋体"/>
          <w:highlight w:val="none"/>
        </w:rPr>
        <w:t>投标人应递交一份施工总平面图，绘出现场临时设施布置图表并附文字说明，说明临时设施、加工车间、现场办公、设备及仓储、供电、供水、卫生、生活、道路、消防等设施的情况和布置。</w:t>
      </w:r>
    </w:p>
    <w:p>
      <w:pPr>
        <w:spacing w:line="440" w:lineRule="exact"/>
        <w:rPr>
          <w:rFonts w:ascii="宋体" w:hAnsi="宋体" w:cs="宋体"/>
          <w:sz w:val="20"/>
          <w:highlight w:val="none"/>
        </w:rPr>
      </w:pPr>
    </w:p>
    <w:p>
      <w:pPr>
        <w:spacing w:line="440" w:lineRule="exact"/>
        <w:rPr>
          <w:rFonts w:ascii="宋体" w:hAnsi="宋体" w:cs="宋体"/>
          <w:sz w:val="20"/>
          <w:highlight w:val="none"/>
        </w:rPr>
      </w:pPr>
    </w:p>
    <w:p>
      <w:pPr>
        <w:spacing w:line="440" w:lineRule="exact"/>
        <w:rPr>
          <w:rFonts w:ascii="宋体" w:hAnsi="宋体" w:cs="宋体"/>
          <w:sz w:val="20"/>
          <w:highlight w:val="none"/>
        </w:rPr>
      </w:pPr>
    </w:p>
    <w:p>
      <w:pPr>
        <w:spacing w:line="440" w:lineRule="exact"/>
        <w:rPr>
          <w:rFonts w:ascii="宋体" w:hAnsi="宋体" w:cs="宋体"/>
          <w:sz w:val="20"/>
          <w:highlight w:val="none"/>
        </w:rPr>
      </w:pPr>
    </w:p>
    <w:p>
      <w:pPr>
        <w:spacing w:line="440" w:lineRule="exact"/>
        <w:rPr>
          <w:rFonts w:ascii="宋体" w:hAnsi="宋体" w:cs="宋体"/>
          <w:sz w:val="20"/>
          <w:highlight w:val="none"/>
        </w:rPr>
      </w:pPr>
    </w:p>
    <w:p>
      <w:pPr>
        <w:spacing w:line="440" w:lineRule="exact"/>
        <w:rPr>
          <w:rFonts w:ascii="宋体" w:hAnsi="宋体" w:cs="宋体"/>
          <w:sz w:val="20"/>
          <w:highlight w:val="none"/>
        </w:rPr>
      </w:pPr>
    </w:p>
    <w:p>
      <w:pPr>
        <w:spacing w:line="440" w:lineRule="exact"/>
        <w:rPr>
          <w:rFonts w:ascii="宋体" w:hAnsi="宋体" w:cs="宋体"/>
          <w:sz w:val="20"/>
          <w:highlight w:val="none"/>
        </w:rPr>
      </w:pPr>
    </w:p>
    <w:p>
      <w:pPr>
        <w:spacing w:line="440" w:lineRule="exact"/>
        <w:rPr>
          <w:rFonts w:ascii="宋体" w:hAnsi="宋体" w:cs="宋体"/>
          <w:sz w:val="20"/>
          <w:highlight w:val="none"/>
        </w:rPr>
      </w:pPr>
    </w:p>
    <w:p>
      <w:pPr>
        <w:spacing w:line="440" w:lineRule="exact"/>
        <w:rPr>
          <w:rFonts w:ascii="宋体" w:hAnsi="宋体" w:cs="宋体"/>
          <w:sz w:val="20"/>
          <w:highlight w:val="none"/>
        </w:rPr>
      </w:pPr>
    </w:p>
    <w:p>
      <w:pPr>
        <w:spacing w:line="440" w:lineRule="exact"/>
        <w:rPr>
          <w:rFonts w:ascii="宋体" w:hAnsi="宋体" w:cs="宋体"/>
          <w:sz w:val="20"/>
          <w:highlight w:val="none"/>
        </w:rPr>
      </w:pPr>
    </w:p>
    <w:p>
      <w:pPr>
        <w:spacing w:line="440" w:lineRule="exact"/>
        <w:rPr>
          <w:rFonts w:ascii="宋体" w:hAnsi="宋体" w:cs="宋体"/>
          <w:sz w:val="20"/>
          <w:highlight w:val="none"/>
        </w:rPr>
      </w:pPr>
    </w:p>
    <w:p>
      <w:pPr>
        <w:spacing w:line="440" w:lineRule="exact"/>
        <w:rPr>
          <w:rFonts w:ascii="宋体" w:hAnsi="宋体" w:cs="宋体"/>
          <w:sz w:val="20"/>
          <w:highlight w:val="none"/>
        </w:rPr>
      </w:pPr>
    </w:p>
    <w:p>
      <w:pPr>
        <w:spacing w:line="440" w:lineRule="exact"/>
        <w:rPr>
          <w:rFonts w:ascii="宋体" w:hAnsi="宋体" w:cs="宋体"/>
          <w:sz w:val="20"/>
          <w:highlight w:val="none"/>
        </w:rPr>
      </w:pPr>
    </w:p>
    <w:p>
      <w:pPr>
        <w:spacing w:line="440" w:lineRule="exact"/>
        <w:rPr>
          <w:rFonts w:ascii="宋体" w:hAnsi="宋体" w:cs="宋体"/>
          <w:sz w:val="20"/>
          <w:highlight w:val="none"/>
        </w:rPr>
      </w:pPr>
    </w:p>
    <w:p>
      <w:pPr>
        <w:spacing w:line="440" w:lineRule="exact"/>
        <w:rPr>
          <w:rFonts w:ascii="宋体" w:hAnsi="宋体" w:cs="宋体"/>
          <w:sz w:val="20"/>
          <w:highlight w:val="none"/>
        </w:rPr>
      </w:pPr>
    </w:p>
    <w:p>
      <w:pPr>
        <w:spacing w:line="440" w:lineRule="exact"/>
        <w:rPr>
          <w:rFonts w:ascii="宋体" w:hAnsi="宋体" w:cs="宋体"/>
          <w:sz w:val="20"/>
          <w:highlight w:val="none"/>
        </w:rPr>
      </w:pPr>
    </w:p>
    <w:p>
      <w:pPr>
        <w:spacing w:line="440" w:lineRule="exact"/>
        <w:rPr>
          <w:rFonts w:ascii="宋体" w:hAnsi="宋体" w:cs="宋体"/>
          <w:sz w:val="20"/>
          <w:highlight w:val="none"/>
        </w:rPr>
      </w:pPr>
    </w:p>
    <w:p>
      <w:pPr>
        <w:pStyle w:val="35"/>
        <w:jc w:val="center"/>
        <w:rPr>
          <w:rFonts w:ascii="宋体" w:hAnsi="宋体" w:eastAsia="宋体" w:cs="宋体"/>
          <w:highlight w:val="none"/>
        </w:rPr>
      </w:pPr>
      <w:bookmarkStart w:id="283" w:name="_Toc152045803"/>
      <w:bookmarkStart w:id="284" w:name="_Toc416273954"/>
      <w:bookmarkStart w:id="285" w:name="_Toc482980322"/>
      <w:bookmarkStart w:id="286" w:name="_Toc416273865"/>
      <w:bookmarkStart w:id="287" w:name="_Toc451622433"/>
      <w:bookmarkStart w:id="288" w:name="_Toc390413390"/>
      <w:bookmarkStart w:id="289" w:name="_Toc152042592"/>
      <w:bookmarkStart w:id="290" w:name="_Toc144974871"/>
      <w:bookmarkStart w:id="291" w:name="_Toc227984090"/>
      <w:r>
        <w:rPr>
          <w:rFonts w:hint="eastAsia" w:ascii="宋体" w:hAnsi="宋体" w:eastAsia="宋体" w:cs="宋体"/>
          <w:highlight w:val="none"/>
        </w:rPr>
        <w:t>六、项目管理机构</w:t>
      </w:r>
      <w:bookmarkEnd w:id="283"/>
      <w:bookmarkEnd w:id="284"/>
      <w:bookmarkEnd w:id="285"/>
      <w:bookmarkEnd w:id="286"/>
      <w:bookmarkEnd w:id="287"/>
      <w:bookmarkEnd w:id="288"/>
      <w:bookmarkEnd w:id="289"/>
      <w:bookmarkEnd w:id="290"/>
      <w:bookmarkEnd w:id="291"/>
    </w:p>
    <w:p>
      <w:pPr>
        <w:spacing w:line="440" w:lineRule="exact"/>
        <w:jc w:val="center"/>
        <w:rPr>
          <w:rFonts w:ascii="宋体" w:hAnsi="宋体" w:cs="宋体"/>
          <w:sz w:val="23"/>
          <w:highlight w:val="none"/>
        </w:rPr>
      </w:pPr>
    </w:p>
    <w:p>
      <w:pPr>
        <w:pStyle w:val="36"/>
        <w:rPr>
          <w:rFonts w:eastAsia="宋体"/>
          <w:highlight w:val="none"/>
        </w:rPr>
      </w:pPr>
      <w:bookmarkStart w:id="292" w:name="_Toc390413391"/>
      <w:bookmarkStart w:id="293" w:name="_Toc482980323"/>
      <w:bookmarkStart w:id="294" w:name="_Toc227984091"/>
      <w:bookmarkStart w:id="295" w:name="_Toc152042593"/>
      <w:bookmarkStart w:id="296" w:name="_Toc144974872"/>
      <w:bookmarkStart w:id="297" w:name="_Toc416273866"/>
      <w:bookmarkStart w:id="298" w:name="_Toc451622434"/>
      <w:bookmarkStart w:id="299" w:name="_Toc152045804"/>
      <w:bookmarkStart w:id="300" w:name="_Toc416273955"/>
      <w:r>
        <w:rPr>
          <w:rFonts w:hint="eastAsia" w:eastAsia="宋体"/>
          <w:highlight w:val="none"/>
        </w:rPr>
        <w:t>（一）项目管理机构组成表</w:t>
      </w:r>
      <w:bookmarkEnd w:id="292"/>
      <w:bookmarkEnd w:id="293"/>
      <w:bookmarkEnd w:id="294"/>
      <w:bookmarkEnd w:id="295"/>
      <w:bookmarkEnd w:id="296"/>
      <w:bookmarkEnd w:id="297"/>
      <w:bookmarkEnd w:id="298"/>
      <w:bookmarkEnd w:id="299"/>
      <w:bookmarkEnd w:id="300"/>
    </w:p>
    <w:p>
      <w:pPr>
        <w:spacing w:line="400" w:lineRule="exact"/>
        <w:ind w:firstLine="420" w:firstLineChars="200"/>
        <w:rPr>
          <w:rFonts w:ascii="宋体" w:hAnsi="宋体" w:cs="宋体"/>
          <w:sz w:val="23"/>
          <w:highlight w:val="none"/>
        </w:rPr>
      </w:pPr>
      <w:r>
        <w:rPr>
          <w:rFonts w:hint="eastAsia" w:ascii="宋体" w:hAnsi="宋体" w:cs="宋体"/>
          <w:highlight w:val="none"/>
        </w:rPr>
        <w:t>主要人员应附职称证（执业证或上岗证书）、养老保险等材料</w:t>
      </w:r>
    </w:p>
    <w:tbl>
      <w:tblPr>
        <w:tblStyle w:val="2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721"/>
        <w:gridCol w:w="719"/>
        <w:gridCol w:w="1081"/>
        <w:gridCol w:w="719"/>
        <w:gridCol w:w="721"/>
        <w:gridCol w:w="719"/>
        <w:gridCol w:w="2523"/>
        <w:gridCol w:w="6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vMerge w:val="restart"/>
            <w:vAlign w:val="center"/>
          </w:tcPr>
          <w:p>
            <w:pPr>
              <w:spacing w:line="440" w:lineRule="exact"/>
              <w:jc w:val="center"/>
              <w:rPr>
                <w:rFonts w:ascii="宋体" w:hAnsi="宋体" w:cs="宋体"/>
                <w:highlight w:val="none"/>
              </w:rPr>
            </w:pPr>
            <w:r>
              <w:rPr>
                <w:rFonts w:hint="eastAsia" w:ascii="宋体" w:hAnsi="宋体" w:cs="宋体"/>
                <w:highlight w:val="none"/>
              </w:rPr>
              <w:t>职务</w:t>
            </w:r>
          </w:p>
        </w:tc>
        <w:tc>
          <w:tcPr>
            <w:tcW w:w="721" w:type="dxa"/>
            <w:vMerge w:val="restart"/>
            <w:vAlign w:val="center"/>
          </w:tcPr>
          <w:p>
            <w:pPr>
              <w:spacing w:line="440" w:lineRule="exact"/>
              <w:jc w:val="center"/>
              <w:rPr>
                <w:rFonts w:ascii="宋体" w:hAnsi="宋体" w:cs="宋体"/>
                <w:highlight w:val="none"/>
              </w:rPr>
            </w:pPr>
            <w:r>
              <w:rPr>
                <w:rFonts w:hint="eastAsia" w:ascii="宋体" w:hAnsi="宋体" w:cs="宋体"/>
                <w:highlight w:val="none"/>
              </w:rPr>
              <w:t>姓名</w:t>
            </w:r>
          </w:p>
        </w:tc>
        <w:tc>
          <w:tcPr>
            <w:tcW w:w="719" w:type="dxa"/>
            <w:vMerge w:val="restart"/>
            <w:vAlign w:val="center"/>
          </w:tcPr>
          <w:p>
            <w:pPr>
              <w:spacing w:line="440" w:lineRule="exact"/>
              <w:jc w:val="center"/>
              <w:rPr>
                <w:rFonts w:ascii="宋体" w:hAnsi="宋体" w:cs="宋体"/>
                <w:highlight w:val="none"/>
              </w:rPr>
            </w:pPr>
            <w:r>
              <w:rPr>
                <w:rFonts w:hint="eastAsia" w:ascii="宋体" w:hAnsi="宋体" w:cs="宋体"/>
                <w:highlight w:val="none"/>
              </w:rPr>
              <w:t>职称</w:t>
            </w:r>
          </w:p>
        </w:tc>
        <w:tc>
          <w:tcPr>
            <w:tcW w:w="5763" w:type="dxa"/>
            <w:gridSpan w:val="5"/>
            <w:vAlign w:val="center"/>
          </w:tcPr>
          <w:p>
            <w:pPr>
              <w:spacing w:line="440" w:lineRule="exact"/>
              <w:jc w:val="center"/>
              <w:rPr>
                <w:rFonts w:ascii="宋体" w:hAnsi="宋体" w:cs="宋体"/>
                <w:highlight w:val="none"/>
              </w:rPr>
            </w:pPr>
            <w:r>
              <w:rPr>
                <w:rFonts w:hint="eastAsia" w:ascii="宋体" w:hAnsi="宋体" w:cs="宋体"/>
                <w:highlight w:val="none"/>
              </w:rPr>
              <w:t>执业或职业资格证明</w:t>
            </w:r>
          </w:p>
        </w:tc>
        <w:tc>
          <w:tcPr>
            <w:tcW w:w="672" w:type="dxa"/>
            <w:vAlign w:val="center"/>
          </w:tcPr>
          <w:p>
            <w:pPr>
              <w:spacing w:line="440" w:lineRule="exact"/>
              <w:jc w:val="center"/>
              <w:rPr>
                <w:rFonts w:ascii="宋体" w:hAnsi="宋体" w:cs="宋体"/>
                <w:highlight w:val="none"/>
              </w:rPr>
            </w:pPr>
            <w:r>
              <w:rPr>
                <w:rFonts w:hint="eastAsia" w:ascii="宋体" w:hAnsi="宋体" w:cs="宋体"/>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vMerge w:val="continue"/>
            <w:vAlign w:val="center"/>
          </w:tcPr>
          <w:p>
            <w:pPr>
              <w:spacing w:line="440" w:lineRule="exact"/>
              <w:jc w:val="center"/>
              <w:rPr>
                <w:rFonts w:ascii="宋体" w:hAnsi="宋体" w:cs="宋体"/>
                <w:highlight w:val="none"/>
              </w:rPr>
            </w:pPr>
          </w:p>
        </w:tc>
        <w:tc>
          <w:tcPr>
            <w:tcW w:w="721" w:type="dxa"/>
            <w:vMerge w:val="continue"/>
            <w:vAlign w:val="center"/>
          </w:tcPr>
          <w:p>
            <w:pPr>
              <w:spacing w:line="440" w:lineRule="exact"/>
              <w:jc w:val="center"/>
              <w:rPr>
                <w:rFonts w:ascii="宋体" w:hAnsi="宋体" w:cs="宋体"/>
                <w:highlight w:val="none"/>
              </w:rPr>
            </w:pPr>
          </w:p>
        </w:tc>
        <w:tc>
          <w:tcPr>
            <w:tcW w:w="719" w:type="dxa"/>
            <w:vMerge w:val="continue"/>
            <w:vAlign w:val="center"/>
          </w:tcPr>
          <w:p>
            <w:pPr>
              <w:spacing w:line="440" w:lineRule="exact"/>
              <w:jc w:val="center"/>
              <w:rPr>
                <w:rFonts w:ascii="宋体" w:hAnsi="宋体" w:cs="宋体"/>
                <w:highlight w:val="none"/>
              </w:rPr>
            </w:pPr>
          </w:p>
        </w:tc>
        <w:tc>
          <w:tcPr>
            <w:tcW w:w="1081" w:type="dxa"/>
            <w:vAlign w:val="center"/>
          </w:tcPr>
          <w:p>
            <w:pPr>
              <w:spacing w:line="440" w:lineRule="exact"/>
              <w:jc w:val="center"/>
              <w:rPr>
                <w:rFonts w:ascii="宋体" w:hAnsi="宋体" w:cs="宋体"/>
                <w:highlight w:val="none"/>
              </w:rPr>
            </w:pPr>
            <w:r>
              <w:rPr>
                <w:rFonts w:hint="eastAsia" w:ascii="宋体" w:hAnsi="宋体" w:cs="宋体"/>
                <w:highlight w:val="none"/>
              </w:rPr>
              <w:t>证书名称</w:t>
            </w:r>
          </w:p>
        </w:tc>
        <w:tc>
          <w:tcPr>
            <w:tcW w:w="719" w:type="dxa"/>
            <w:vAlign w:val="center"/>
          </w:tcPr>
          <w:p>
            <w:pPr>
              <w:spacing w:line="440" w:lineRule="exact"/>
              <w:jc w:val="center"/>
              <w:rPr>
                <w:rFonts w:ascii="宋体" w:hAnsi="宋体" w:cs="宋体"/>
                <w:highlight w:val="none"/>
              </w:rPr>
            </w:pPr>
            <w:r>
              <w:rPr>
                <w:rFonts w:hint="eastAsia" w:ascii="宋体" w:hAnsi="宋体" w:cs="宋体"/>
                <w:highlight w:val="none"/>
              </w:rPr>
              <w:t>级别</w:t>
            </w:r>
          </w:p>
        </w:tc>
        <w:tc>
          <w:tcPr>
            <w:tcW w:w="721" w:type="dxa"/>
            <w:vAlign w:val="center"/>
          </w:tcPr>
          <w:p>
            <w:pPr>
              <w:spacing w:line="440" w:lineRule="exact"/>
              <w:jc w:val="center"/>
              <w:rPr>
                <w:rFonts w:ascii="宋体" w:hAnsi="宋体" w:cs="宋体"/>
                <w:highlight w:val="none"/>
              </w:rPr>
            </w:pPr>
            <w:r>
              <w:rPr>
                <w:rFonts w:hint="eastAsia" w:ascii="宋体" w:hAnsi="宋体" w:cs="宋体"/>
                <w:highlight w:val="none"/>
              </w:rPr>
              <w:t>证号</w:t>
            </w:r>
          </w:p>
        </w:tc>
        <w:tc>
          <w:tcPr>
            <w:tcW w:w="719" w:type="dxa"/>
            <w:vAlign w:val="center"/>
          </w:tcPr>
          <w:p>
            <w:pPr>
              <w:spacing w:line="440" w:lineRule="exact"/>
              <w:jc w:val="center"/>
              <w:rPr>
                <w:rFonts w:ascii="宋体" w:hAnsi="宋体" w:cs="宋体"/>
                <w:highlight w:val="none"/>
              </w:rPr>
            </w:pPr>
            <w:r>
              <w:rPr>
                <w:rFonts w:hint="eastAsia" w:ascii="宋体" w:hAnsi="宋体" w:cs="宋体"/>
                <w:highlight w:val="none"/>
              </w:rPr>
              <w:t>专业</w:t>
            </w:r>
          </w:p>
        </w:tc>
        <w:tc>
          <w:tcPr>
            <w:tcW w:w="2523" w:type="dxa"/>
            <w:vAlign w:val="center"/>
          </w:tcPr>
          <w:p>
            <w:pPr>
              <w:spacing w:line="440" w:lineRule="exact"/>
              <w:jc w:val="center"/>
              <w:rPr>
                <w:rFonts w:ascii="宋体" w:hAnsi="宋体" w:cs="宋体"/>
                <w:highlight w:val="none"/>
              </w:rPr>
            </w:pPr>
            <w:r>
              <w:rPr>
                <w:rFonts w:hint="eastAsia" w:ascii="宋体" w:hAnsi="宋体" w:cs="宋体"/>
                <w:highlight w:val="none"/>
              </w:rPr>
              <w:t>养老保险</w:t>
            </w:r>
          </w:p>
        </w:tc>
        <w:tc>
          <w:tcPr>
            <w:tcW w:w="672" w:type="dxa"/>
            <w:vAlign w:val="center"/>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vAlign w:val="center"/>
          </w:tcPr>
          <w:p>
            <w:pPr>
              <w:spacing w:line="440" w:lineRule="exact"/>
              <w:jc w:val="center"/>
              <w:rPr>
                <w:rFonts w:ascii="宋体" w:hAnsi="宋体" w:cs="宋体"/>
                <w:highlight w:val="none"/>
              </w:rPr>
            </w:pPr>
            <w:r>
              <w:rPr>
                <w:rFonts w:hint="eastAsia" w:ascii="宋体" w:hAnsi="宋体" w:cs="宋体"/>
                <w:highlight w:val="none"/>
              </w:rPr>
              <w:t>项目经理</w:t>
            </w:r>
          </w:p>
        </w:tc>
        <w:tc>
          <w:tcPr>
            <w:tcW w:w="721" w:type="dxa"/>
            <w:vAlign w:val="center"/>
          </w:tcPr>
          <w:p>
            <w:pPr>
              <w:spacing w:line="440" w:lineRule="exact"/>
              <w:jc w:val="center"/>
              <w:rPr>
                <w:rFonts w:ascii="宋体" w:hAnsi="宋体" w:cs="宋体"/>
                <w:highlight w:val="none"/>
              </w:rPr>
            </w:pPr>
          </w:p>
        </w:tc>
        <w:tc>
          <w:tcPr>
            <w:tcW w:w="6482" w:type="dxa"/>
            <w:gridSpan w:val="6"/>
            <w:vAlign w:val="center"/>
          </w:tcPr>
          <w:p>
            <w:pPr>
              <w:spacing w:line="440" w:lineRule="exact"/>
              <w:jc w:val="center"/>
              <w:rPr>
                <w:rFonts w:ascii="宋体" w:hAnsi="宋体" w:cs="宋体"/>
                <w:highlight w:val="none"/>
              </w:rPr>
            </w:pPr>
            <w:r>
              <w:rPr>
                <w:rFonts w:hint="eastAsia" w:ascii="宋体" w:hAnsi="宋体" w:cs="宋体"/>
                <w:highlight w:val="none"/>
              </w:rPr>
              <w:t>在（二）项目经理简历表中</w:t>
            </w:r>
          </w:p>
        </w:tc>
        <w:tc>
          <w:tcPr>
            <w:tcW w:w="672" w:type="dxa"/>
            <w:vAlign w:val="center"/>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7"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108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2523"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108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2523"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108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2523"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108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2523"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7"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108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2523"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108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2523"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108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2523"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108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2523"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7"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108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2523"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108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2523"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108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2523"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108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2523"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7"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108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2523"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108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2523"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108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2523"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108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2523"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7"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108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2523"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108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2523"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108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2523"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108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721" w:type="dxa"/>
          </w:tcPr>
          <w:p>
            <w:pPr>
              <w:spacing w:line="440" w:lineRule="exact"/>
              <w:jc w:val="center"/>
              <w:rPr>
                <w:rFonts w:ascii="宋体" w:hAnsi="宋体" w:cs="宋体"/>
                <w:highlight w:val="none"/>
              </w:rPr>
            </w:pPr>
          </w:p>
        </w:tc>
        <w:tc>
          <w:tcPr>
            <w:tcW w:w="719" w:type="dxa"/>
          </w:tcPr>
          <w:p>
            <w:pPr>
              <w:spacing w:line="440" w:lineRule="exact"/>
              <w:jc w:val="center"/>
              <w:rPr>
                <w:rFonts w:ascii="宋体" w:hAnsi="宋体" w:cs="宋体"/>
                <w:highlight w:val="none"/>
              </w:rPr>
            </w:pPr>
          </w:p>
        </w:tc>
        <w:tc>
          <w:tcPr>
            <w:tcW w:w="2523" w:type="dxa"/>
          </w:tcPr>
          <w:p>
            <w:pPr>
              <w:spacing w:line="440" w:lineRule="exact"/>
              <w:jc w:val="center"/>
              <w:rPr>
                <w:rFonts w:ascii="宋体" w:hAnsi="宋体" w:cs="宋体"/>
                <w:highlight w:val="none"/>
              </w:rPr>
            </w:pPr>
          </w:p>
        </w:tc>
        <w:tc>
          <w:tcPr>
            <w:tcW w:w="672" w:type="dxa"/>
          </w:tcPr>
          <w:p>
            <w:pPr>
              <w:spacing w:line="440" w:lineRule="exact"/>
              <w:jc w:val="center"/>
              <w:rPr>
                <w:rFonts w:ascii="宋体" w:hAnsi="宋体" w:cs="宋体"/>
                <w:highlight w:val="none"/>
              </w:rPr>
            </w:pPr>
          </w:p>
        </w:tc>
      </w:tr>
    </w:tbl>
    <w:p>
      <w:pPr>
        <w:pStyle w:val="18"/>
        <w:rPr>
          <w:rFonts w:hAnsi="宋体" w:eastAsia="宋体" w:cs="宋体"/>
          <w:highlight w:val="none"/>
        </w:rPr>
      </w:pPr>
      <w:bookmarkStart w:id="301" w:name="_Toc152042594"/>
      <w:bookmarkStart w:id="302" w:name="_Toc390413392"/>
      <w:bookmarkStart w:id="303" w:name="_Toc227984092"/>
      <w:bookmarkStart w:id="304" w:name="_Toc416273867"/>
      <w:bookmarkStart w:id="305" w:name="_Toc144974873"/>
      <w:bookmarkStart w:id="306" w:name="_Toc416273956"/>
      <w:bookmarkStart w:id="307" w:name="_Toc152045805"/>
    </w:p>
    <w:p>
      <w:pPr>
        <w:pStyle w:val="18"/>
        <w:rPr>
          <w:rFonts w:hAnsi="宋体" w:eastAsia="宋体" w:cs="宋体"/>
          <w:highlight w:val="none"/>
        </w:rPr>
      </w:pPr>
    </w:p>
    <w:p>
      <w:pPr>
        <w:pStyle w:val="18"/>
        <w:rPr>
          <w:rFonts w:hAnsi="宋体" w:eastAsia="宋体" w:cs="宋体"/>
          <w:highlight w:val="none"/>
        </w:rPr>
      </w:pPr>
    </w:p>
    <w:p>
      <w:pPr>
        <w:rPr>
          <w:highlight w:val="none"/>
        </w:rPr>
      </w:pPr>
      <w:bookmarkStart w:id="308" w:name="_Toc482980324"/>
      <w:bookmarkStart w:id="309" w:name="_Toc451622435"/>
      <w:r>
        <w:rPr>
          <w:rFonts w:hint="eastAsia"/>
          <w:highlight w:val="none"/>
        </w:rPr>
        <w:br w:type="page"/>
      </w:r>
    </w:p>
    <w:p>
      <w:pPr>
        <w:pStyle w:val="36"/>
        <w:rPr>
          <w:rFonts w:eastAsia="宋体"/>
          <w:highlight w:val="none"/>
        </w:rPr>
      </w:pPr>
      <w:r>
        <w:rPr>
          <w:rFonts w:hint="eastAsia" w:eastAsia="宋体"/>
          <w:highlight w:val="none"/>
        </w:rPr>
        <w:t>（二）项目经理资料表</w:t>
      </w:r>
      <w:bookmarkEnd w:id="301"/>
      <w:bookmarkEnd w:id="302"/>
      <w:bookmarkEnd w:id="303"/>
      <w:bookmarkEnd w:id="304"/>
      <w:bookmarkEnd w:id="305"/>
      <w:bookmarkEnd w:id="306"/>
      <w:bookmarkEnd w:id="307"/>
      <w:bookmarkEnd w:id="308"/>
      <w:bookmarkEnd w:id="309"/>
    </w:p>
    <w:p>
      <w:pPr>
        <w:spacing w:line="400" w:lineRule="exact"/>
        <w:ind w:firstLine="420" w:firstLineChars="200"/>
        <w:rPr>
          <w:rFonts w:ascii="宋体" w:hAnsi="宋体" w:cs="宋体"/>
          <w:highlight w:val="none"/>
        </w:rPr>
      </w:pPr>
      <w:r>
        <w:rPr>
          <w:rFonts w:hint="eastAsia" w:ascii="宋体" w:hAnsi="宋体" w:cs="宋体"/>
          <w:highlight w:val="none"/>
        </w:rPr>
        <w:t>项目经理应附建造师证、养老保险等材料文件，具体要求见投标人须知和评标办法前附表。</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233"/>
        <w:gridCol w:w="392"/>
        <w:gridCol w:w="454"/>
        <w:gridCol w:w="574"/>
        <w:gridCol w:w="353"/>
        <w:gridCol w:w="621"/>
        <w:gridCol w:w="447"/>
        <w:gridCol w:w="1420"/>
        <w:gridCol w:w="200"/>
        <w:gridCol w:w="510"/>
        <w:gridCol w:w="710"/>
        <w:gridCol w:w="14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vAlign w:val="center"/>
          </w:tcPr>
          <w:p>
            <w:pPr>
              <w:spacing w:line="440" w:lineRule="exact"/>
              <w:rPr>
                <w:rFonts w:ascii="宋体" w:hAnsi="宋体" w:cs="宋体"/>
                <w:highlight w:val="none"/>
              </w:rPr>
            </w:pPr>
            <w:r>
              <w:rPr>
                <w:rFonts w:hint="eastAsia" w:ascii="宋体" w:hAnsi="宋体" w:cs="宋体"/>
                <w:highlight w:val="none"/>
              </w:rPr>
              <w:t>姓  名</w:t>
            </w:r>
          </w:p>
        </w:tc>
        <w:tc>
          <w:tcPr>
            <w:tcW w:w="1079" w:type="dxa"/>
            <w:gridSpan w:val="3"/>
            <w:vAlign w:val="center"/>
          </w:tcPr>
          <w:p>
            <w:pPr>
              <w:spacing w:line="440" w:lineRule="exact"/>
              <w:rPr>
                <w:rFonts w:ascii="宋体" w:hAnsi="宋体" w:cs="宋体"/>
                <w:highlight w:val="none"/>
              </w:rPr>
            </w:pPr>
          </w:p>
        </w:tc>
        <w:tc>
          <w:tcPr>
            <w:tcW w:w="927" w:type="dxa"/>
            <w:gridSpan w:val="2"/>
            <w:vAlign w:val="center"/>
          </w:tcPr>
          <w:p>
            <w:pPr>
              <w:spacing w:line="440" w:lineRule="exact"/>
              <w:rPr>
                <w:rFonts w:ascii="宋体" w:hAnsi="宋体" w:cs="宋体"/>
                <w:highlight w:val="none"/>
              </w:rPr>
            </w:pPr>
            <w:r>
              <w:rPr>
                <w:rFonts w:hint="eastAsia" w:ascii="宋体" w:hAnsi="宋体" w:cs="宋体"/>
                <w:highlight w:val="none"/>
              </w:rPr>
              <w:t>年 龄</w:t>
            </w:r>
          </w:p>
        </w:tc>
        <w:tc>
          <w:tcPr>
            <w:tcW w:w="1068" w:type="dxa"/>
            <w:gridSpan w:val="2"/>
            <w:vAlign w:val="center"/>
          </w:tcPr>
          <w:p>
            <w:pPr>
              <w:spacing w:line="440" w:lineRule="exact"/>
              <w:rPr>
                <w:rFonts w:ascii="宋体" w:hAnsi="宋体" w:cs="宋体"/>
                <w:highlight w:val="none"/>
              </w:rPr>
            </w:pPr>
          </w:p>
        </w:tc>
        <w:tc>
          <w:tcPr>
            <w:tcW w:w="2130" w:type="dxa"/>
            <w:gridSpan w:val="3"/>
            <w:vAlign w:val="center"/>
          </w:tcPr>
          <w:p>
            <w:pPr>
              <w:spacing w:line="440" w:lineRule="exact"/>
              <w:rPr>
                <w:rFonts w:ascii="宋体" w:hAnsi="宋体" w:cs="宋体"/>
                <w:highlight w:val="none"/>
              </w:rPr>
            </w:pPr>
            <w:r>
              <w:rPr>
                <w:rFonts w:hint="eastAsia" w:ascii="宋体" w:hAnsi="宋体" w:cs="宋体"/>
                <w:highlight w:val="none"/>
              </w:rPr>
              <w:t>身份证号码</w:t>
            </w:r>
          </w:p>
        </w:tc>
        <w:tc>
          <w:tcPr>
            <w:tcW w:w="2135" w:type="dxa"/>
            <w:gridSpan w:val="2"/>
            <w:vAlign w:val="center"/>
          </w:tcPr>
          <w:p>
            <w:pPr>
              <w:spacing w:line="440" w:lineRule="exact"/>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vAlign w:val="center"/>
          </w:tcPr>
          <w:p>
            <w:pPr>
              <w:spacing w:line="440" w:lineRule="exact"/>
              <w:rPr>
                <w:rFonts w:ascii="宋体" w:hAnsi="宋体" w:cs="宋体"/>
                <w:highlight w:val="none"/>
              </w:rPr>
            </w:pPr>
            <w:r>
              <w:rPr>
                <w:rFonts w:hint="eastAsia" w:ascii="宋体" w:hAnsi="宋体" w:cs="宋体"/>
                <w:highlight w:val="none"/>
              </w:rPr>
              <w:t>职  称</w:t>
            </w:r>
          </w:p>
        </w:tc>
        <w:tc>
          <w:tcPr>
            <w:tcW w:w="1079" w:type="dxa"/>
            <w:gridSpan w:val="3"/>
            <w:vAlign w:val="center"/>
          </w:tcPr>
          <w:p>
            <w:pPr>
              <w:spacing w:line="440" w:lineRule="exact"/>
              <w:rPr>
                <w:rFonts w:ascii="宋体" w:hAnsi="宋体" w:cs="宋体"/>
                <w:highlight w:val="none"/>
              </w:rPr>
            </w:pPr>
          </w:p>
        </w:tc>
        <w:tc>
          <w:tcPr>
            <w:tcW w:w="927" w:type="dxa"/>
            <w:gridSpan w:val="2"/>
            <w:vAlign w:val="center"/>
          </w:tcPr>
          <w:p>
            <w:pPr>
              <w:spacing w:line="440" w:lineRule="exact"/>
              <w:rPr>
                <w:rFonts w:ascii="宋体" w:hAnsi="宋体" w:cs="宋体"/>
                <w:highlight w:val="none"/>
              </w:rPr>
            </w:pPr>
            <w:r>
              <w:rPr>
                <w:rFonts w:hint="eastAsia" w:ascii="宋体" w:hAnsi="宋体" w:cs="宋体"/>
                <w:highlight w:val="none"/>
              </w:rPr>
              <w:t>职 务</w:t>
            </w:r>
          </w:p>
        </w:tc>
        <w:tc>
          <w:tcPr>
            <w:tcW w:w="1068" w:type="dxa"/>
            <w:gridSpan w:val="2"/>
            <w:vAlign w:val="center"/>
          </w:tcPr>
          <w:p>
            <w:pPr>
              <w:spacing w:line="440" w:lineRule="exact"/>
              <w:rPr>
                <w:rFonts w:ascii="宋体" w:hAnsi="宋体" w:cs="宋体"/>
                <w:highlight w:val="none"/>
              </w:rPr>
            </w:pPr>
          </w:p>
        </w:tc>
        <w:tc>
          <w:tcPr>
            <w:tcW w:w="2130" w:type="dxa"/>
            <w:gridSpan w:val="3"/>
            <w:vAlign w:val="center"/>
          </w:tcPr>
          <w:p>
            <w:pPr>
              <w:spacing w:line="440" w:lineRule="exact"/>
              <w:rPr>
                <w:rFonts w:ascii="宋体" w:hAnsi="宋体" w:cs="宋体"/>
                <w:highlight w:val="none"/>
              </w:rPr>
            </w:pPr>
            <w:r>
              <w:rPr>
                <w:rFonts w:hint="eastAsia" w:ascii="宋体" w:hAnsi="宋体" w:cs="宋体"/>
                <w:highlight w:val="none"/>
              </w:rPr>
              <w:t>养老保险</w:t>
            </w:r>
          </w:p>
        </w:tc>
        <w:tc>
          <w:tcPr>
            <w:tcW w:w="2135" w:type="dxa"/>
            <w:gridSpan w:val="2"/>
            <w:vAlign w:val="center"/>
          </w:tcPr>
          <w:p>
            <w:pPr>
              <w:spacing w:line="440" w:lineRule="exact"/>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1" w:type="dxa"/>
            <w:gridSpan w:val="3"/>
            <w:vAlign w:val="center"/>
          </w:tcPr>
          <w:p>
            <w:pPr>
              <w:spacing w:line="440" w:lineRule="exact"/>
              <w:rPr>
                <w:rFonts w:ascii="宋体" w:hAnsi="宋体" w:cs="宋体"/>
                <w:highlight w:val="none"/>
              </w:rPr>
            </w:pPr>
            <w:r>
              <w:rPr>
                <w:rFonts w:hint="eastAsia" w:ascii="宋体" w:hAnsi="宋体" w:cs="宋体"/>
                <w:highlight w:val="none"/>
              </w:rPr>
              <w:t>建造师专业等级</w:t>
            </w:r>
          </w:p>
        </w:tc>
        <w:tc>
          <w:tcPr>
            <w:tcW w:w="6714" w:type="dxa"/>
            <w:gridSpan w:val="10"/>
            <w:vAlign w:val="center"/>
          </w:tcPr>
          <w:p>
            <w:pPr>
              <w:spacing w:line="440" w:lineRule="exact"/>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811" w:type="dxa"/>
            <w:gridSpan w:val="3"/>
            <w:vAlign w:val="center"/>
          </w:tcPr>
          <w:p>
            <w:pPr>
              <w:spacing w:line="440" w:lineRule="exact"/>
              <w:rPr>
                <w:rFonts w:ascii="宋体" w:hAnsi="宋体" w:cs="宋体"/>
                <w:highlight w:val="none"/>
              </w:rPr>
            </w:pPr>
            <w:r>
              <w:rPr>
                <w:rFonts w:hint="eastAsia" w:ascii="宋体" w:hAnsi="宋体" w:cs="宋体"/>
                <w:highlight w:val="none"/>
              </w:rPr>
              <w:t>学历</w:t>
            </w:r>
          </w:p>
        </w:tc>
        <w:tc>
          <w:tcPr>
            <w:tcW w:w="2002" w:type="dxa"/>
            <w:gridSpan w:val="4"/>
            <w:vAlign w:val="center"/>
          </w:tcPr>
          <w:p>
            <w:pPr>
              <w:spacing w:line="440" w:lineRule="exact"/>
              <w:rPr>
                <w:rFonts w:ascii="宋体" w:hAnsi="宋体" w:cs="宋体"/>
                <w:highlight w:val="none"/>
              </w:rPr>
            </w:pPr>
          </w:p>
        </w:tc>
        <w:tc>
          <w:tcPr>
            <w:tcW w:w="2067" w:type="dxa"/>
            <w:gridSpan w:val="3"/>
            <w:vAlign w:val="center"/>
          </w:tcPr>
          <w:p>
            <w:pPr>
              <w:spacing w:line="440" w:lineRule="exact"/>
              <w:rPr>
                <w:rFonts w:ascii="宋体" w:hAnsi="宋体" w:cs="宋体"/>
                <w:highlight w:val="none"/>
              </w:rPr>
            </w:pPr>
            <w:r>
              <w:rPr>
                <w:rFonts w:hint="eastAsia" w:ascii="宋体" w:hAnsi="宋体" w:cs="宋体"/>
                <w:highlight w:val="none"/>
              </w:rPr>
              <w:t>所学专业</w:t>
            </w:r>
          </w:p>
        </w:tc>
        <w:tc>
          <w:tcPr>
            <w:tcW w:w="2645" w:type="dxa"/>
            <w:gridSpan w:val="3"/>
            <w:vAlign w:val="center"/>
          </w:tcPr>
          <w:p>
            <w:pPr>
              <w:spacing w:line="440" w:lineRule="exact"/>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1" w:type="dxa"/>
            <w:gridSpan w:val="3"/>
            <w:vAlign w:val="center"/>
          </w:tcPr>
          <w:p>
            <w:pPr>
              <w:spacing w:line="440" w:lineRule="exact"/>
              <w:rPr>
                <w:rFonts w:ascii="宋体" w:hAnsi="宋体" w:cs="宋体"/>
                <w:highlight w:val="none"/>
              </w:rPr>
            </w:pPr>
            <w:r>
              <w:rPr>
                <w:rFonts w:hint="eastAsia" w:ascii="宋体" w:hAnsi="宋体" w:cs="宋体"/>
                <w:highlight w:val="none"/>
              </w:rPr>
              <w:t>参加工作年限</w:t>
            </w:r>
          </w:p>
        </w:tc>
        <w:tc>
          <w:tcPr>
            <w:tcW w:w="2002" w:type="dxa"/>
            <w:gridSpan w:val="4"/>
            <w:vAlign w:val="center"/>
          </w:tcPr>
          <w:p>
            <w:pPr>
              <w:spacing w:line="440" w:lineRule="exact"/>
              <w:rPr>
                <w:rFonts w:ascii="宋体" w:hAnsi="宋体" w:cs="宋体"/>
                <w:highlight w:val="none"/>
              </w:rPr>
            </w:pPr>
          </w:p>
        </w:tc>
        <w:tc>
          <w:tcPr>
            <w:tcW w:w="2067" w:type="dxa"/>
            <w:gridSpan w:val="3"/>
            <w:vAlign w:val="center"/>
          </w:tcPr>
          <w:p>
            <w:pPr>
              <w:spacing w:line="440" w:lineRule="exact"/>
              <w:rPr>
                <w:rFonts w:ascii="宋体" w:hAnsi="宋体" w:cs="宋体"/>
                <w:highlight w:val="none"/>
              </w:rPr>
            </w:pPr>
            <w:r>
              <w:rPr>
                <w:rFonts w:hint="eastAsia" w:ascii="宋体" w:hAnsi="宋体" w:cs="宋体"/>
                <w:highlight w:val="none"/>
              </w:rPr>
              <w:t>从事项目经理年限</w:t>
            </w:r>
          </w:p>
        </w:tc>
        <w:tc>
          <w:tcPr>
            <w:tcW w:w="2645" w:type="dxa"/>
            <w:gridSpan w:val="3"/>
            <w:vAlign w:val="center"/>
          </w:tcPr>
          <w:p>
            <w:pPr>
              <w:spacing w:line="440" w:lineRule="exact"/>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5" w:type="dxa"/>
            <w:gridSpan w:val="13"/>
            <w:vAlign w:val="center"/>
          </w:tcPr>
          <w:p>
            <w:pPr>
              <w:spacing w:line="440" w:lineRule="exact"/>
              <w:rPr>
                <w:rFonts w:ascii="宋体" w:hAnsi="宋体" w:cs="宋体"/>
                <w:highlight w:val="none"/>
              </w:rPr>
            </w:pPr>
            <w:r>
              <w:rPr>
                <w:rFonts w:hint="eastAsia" w:ascii="宋体" w:hAnsi="宋体" w:cs="宋体"/>
                <w:highlight w:val="none"/>
              </w:rPr>
              <w:t>近年来完成的类似项目情况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tcPr>
          <w:p>
            <w:pPr>
              <w:spacing w:line="440" w:lineRule="exact"/>
              <w:jc w:val="center"/>
              <w:rPr>
                <w:rFonts w:ascii="宋体" w:hAnsi="宋体" w:cs="宋体"/>
                <w:szCs w:val="21"/>
                <w:highlight w:val="none"/>
              </w:rPr>
            </w:pPr>
            <w:r>
              <w:rPr>
                <w:rFonts w:hint="eastAsia" w:ascii="宋体" w:hAnsi="宋体" w:cs="宋体"/>
                <w:szCs w:val="21"/>
                <w:highlight w:val="none"/>
              </w:rPr>
              <w:t>项目名称</w:t>
            </w:r>
          </w:p>
        </w:tc>
        <w:tc>
          <w:tcPr>
            <w:tcW w:w="1420" w:type="dxa"/>
            <w:gridSpan w:val="3"/>
          </w:tcPr>
          <w:p>
            <w:pPr>
              <w:spacing w:line="440" w:lineRule="exact"/>
              <w:jc w:val="center"/>
              <w:rPr>
                <w:rFonts w:ascii="宋体" w:hAnsi="宋体" w:cs="宋体"/>
                <w:szCs w:val="21"/>
                <w:highlight w:val="none"/>
              </w:rPr>
            </w:pPr>
            <w:r>
              <w:rPr>
                <w:rFonts w:hint="eastAsia" w:ascii="宋体" w:hAnsi="宋体" w:cs="宋体"/>
                <w:szCs w:val="21"/>
                <w:highlight w:val="none"/>
              </w:rPr>
              <w:t>建设规模</w:t>
            </w:r>
          </w:p>
        </w:tc>
        <w:tc>
          <w:tcPr>
            <w:tcW w:w="1421" w:type="dxa"/>
            <w:gridSpan w:val="3"/>
          </w:tcPr>
          <w:p>
            <w:pPr>
              <w:spacing w:line="440" w:lineRule="exact"/>
              <w:jc w:val="center"/>
              <w:rPr>
                <w:rFonts w:ascii="宋体" w:hAnsi="宋体" w:cs="宋体"/>
                <w:szCs w:val="21"/>
                <w:highlight w:val="none"/>
              </w:rPr>
            </w:pPr>
            <w:r>
              <w:rPr>
                <w:rFonts w:hint="eastAsia" w:ascii="宋体" w:hAnsi="宋体" w:cs="宋体"/>
                <w:szCs w:val="21"/>
                <w:highlight w:val="none"/>
              </w:rPr>
              <w:t>开、竣工日期</w:t>
            </w:r>
          </w:p>
        </w:tc>
        <w:tc>
          <w:tcPr>
            <w:tcW w:w="1420" w:type="dxa"/>
          </w:tcPr>
          <w:p>
            <w:pPr>
              <w:spacing w:line="440" w:lineRule="exact"/>
              <w:jc w:val="center"/>
              <w:rPr>
                <w:rFonts w:ascii="宋体" w:hAnsi="宋体" w:cs="宋体"/>
                <w:szCs w:val="21"/>
                <w:highlight w:val="none"/>
              </w:rPr>
            </w:pPr>
            <w:r>
              <w:rPr>
                <w:rFonts w:hint="eastAsia" w:ascii="宋体" w:hAnsi="宋体" w:cs="宋体"/>
                <w:szCs w:val="21"/>
                <w:highlight w:val="none"/>
              </w:rPr>
              <w:t>项目描述</w:t>
            </w:r>
          </w:p>
        </w:tc>
        <w:tc>
          <w:tcPr>
            <w:tcW w:w="1420" w:type="dxa"/>
            <w:gridSpan w:val="3"/>
          </w:tcPr>
          <w:p>
            <w:pPr>
              <w:spacing w:line="440" w:lineRule="exact"/>
              <w:jc w:val="center"/>
              <w:rPr>
                <w:rFonts w:ascii="宋体" w:hAnsi="宋体" w:cs="宋体"/>
                <w:szCs w:val="21"/>
                <w:highlight w:val="none"/>
              </w:rPr>
            </w:pPr>
            <w:r>
              <w:rPr>
                <w:rFonts w:hint="eastAsia" w:ascii="宋体" w:hAnsi="宋体" w:cs="宋体"/>
                <w:szCs w:val="21"/>
                <w:highlight w:val="none"/>
              </w:rPr>
              <w:t>合同价</w:t>
            </w:r>
          </w:p>
        </w:tc>
        <w:tc>
          <w:tcPr>
            <w:tcW w:w="1425" w:type="dxa"/>
          </w:tcPr>
          <w:p>
            <w:pPr>
              <w:spacing w:line="440" w:lineRule="exact"/>
              <w:jc w:val="center"/>
              <w:rPr>
                <w:rFonts w:ascii="宋体" w:hAnsi="宋体" w:cs="宋体"/>
                <w:szCs w:val="21"/>
                <w:highlight w:val="none"/>
              </w:rPr>
            </w:pPr>
            <w:r>
              <w:rPr>
                <w:rFonts w:hint="eastAsia" w:ascii="宋体" w:hAnsi="宋体" w:cs="宋体"/>
                <w:szCs w:val="21"/>
                <w:highlight w:val="none"/>
              </w:rPr>
              <w:t>其他说明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tcPr>
          <w:p>
            <w:pPr>
              <w:spacing w:line="440" w:lineRule="exact"/>
              <w:jc w:val="center"/>
              <w:rPr>
                <w:rFonts w:ascii="宋体" w:hAnsi="宋体" w:cs="宋体"/>
                <w:sz w:val="23"/>
                <w:highlight w:val="none"/>
              </w:rPr>
            </w:pPr>
          </w:p>
        </w:tc>
        <w:tc>
          <w:tcPr>
            <w:tcW w:w="1420" w:type="dxa"/>
            <w:gridSpan w:val="3"/>
          </w:tcPr>
          <w:p>
            <w:pPr>
              <w:spacing w:line="440" w:lineRule="exact"/>
              <w:jc w:val="center"/>
              <w:rPr>
                <w:rFonts w:ascii="宋体" w:hAnsi="宋体" w:cs="宋体"/>
                <w:sz w:val="23"/>
                <w:highlight w:val="none"/>
              </w:rPr>
            </w:pPr>
          </w:p>
        </w:tc>
        <w:tc>
          <w:tcPr>
            <w:tcW w:w="1421" w:type="dxa"/>
            <w:gridSpan w:val="3"/>
          </w:tcPr>
          <w:p>
            <w:pPr>
              <w:spacing w:line="440" w:lineRule="exact"/>
              <w:jc w:val="center"/>
              <w:rPr>
                <w:rFonts w:ascii="宋体" w:hAnsi="宋体" w:cs="宋体"/>
                <w:sz w:val="23"/>
                <w:highlight w:val="none"/>
              </w:rPr>
            </w:pPr>
          </w:p>
        </w:tc>
        <w:tc>
          <w:tcPr>
            <w:tcW w:w="1420" w:type="dxa"/>
          </w:tcPr>
          <w:p>
            <w:pPr>
              <w:spacing w:line="440" w:lineRule="exact"/>
              <w:jc w:val="center"/>
              <w:rPr>
                <w:rFonts w:ascii="宋体" w:hAnsi="宋体" w:cs="宋体"/>
                <w:sz w:val="23"/>
                <w:highlight w:val="none"/>
              </w:rPr>
            </w:pPr>
          </w:p>
        </w:tc>
        <w:tc>
          <w:tcPr>
            <w:tcW w:w="1420" w:type="dxa"/>
            <w:gridSpan w:val="3"/>
          </w:tcPr>
          <w:p>
            <w:pPr>
              <w:spacing w:line="440" w:lineRule="exact"/>
              <w:jc w:val="center"/>
              <w:rPr>
                <w:rFonts w:ascii="宋体" w:hAnsi="宋体" w:cs="宋体"/>
                <w:sz w:val="23"/>
                <w:highlight w:val="none"/>
              </w:rPr>
            </w:pPr>
          </w:p>
        </w:tc>
        <w:tc>
          <w:tcPr>
            <w:tcW w:w="1425" w:type="dxa"/>
          </w:tcPr>
          <w:p>
            <w:pPr>
              <w:spacing w:line="440" w:lineRule="exact"/>
              <w:jc w:val="center"/>
              <w:rPr>
                <w:rFonts w:ascii="宋体" w:hAnsi="宋体" w:cs="宋体"/>
                <w:sz w:val="23"/>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tcPr>
          <w:p>
            <w:pPr>
              <w:spacing w:line="440" w:lineRule="exact"/>
              <w:jc w:val="center"/>
              <w:rPr>
                <w:rFonts w:ascii="宋体" w:hAnsi="宋体" w:cs="宋体"/>
                <w:sz w:val="23"/>
                <w:highlight w:val="none"/>
              </w:rPr>
            </w:pPr>
          </w:p>
        </w:tc>
        <w:tc>
          <w:tcPr>
            <w:tcW w:w="1420" w:type="dxa"/>
            <w:gridSpan w:val="3"/>
          </w:tcPr>
          <w:p>
            <w:pPr>
              <w:spacing w:line="440" w:lineRule="exact"/>
              <w:jc w:val="center"/>
              <w:rPr>
                <w:rFonts w:ascii="宋体" w:hAnsi="宋体" w:cs="宋体"/>
                <w:sz w:val="23"/>
                <w:highlight w:val="none"/>
              </w:rPr>
            </w:pPr>
          </w:p>
        </w:tc>
        <w:tc>
          <w:tcPr>
            <w:tcW w:w="1421" w:type="dxa"/>
            <w:gridSpan w:val="3"/>
          </w:tcPr>
          <w:p>
            <w:pPr>
              <w:spacing w:line="440" w:lineRule="exact"/>
              <w:jc w:val="center"/>
              <w:rPr>
                <w:rFonts w:ascii="宋体" w:hAnsi="宋体" w:cs="宋体"/>
                <w:sz w:val="23"/>
                <w:highlight w:val="none"/>
              </w:rPr>
            </w:pPr>
          </w:p>
        </w:tc>
        <w:tc>
          <w:tcPr>
            <w:tcW w:w="1420" w:type="dxa"/>
          </w:tcPr>
          <w:p>
            <w:pPr>
              <w:spacing w:line="440" w:lineRule="exact"/>
              <w:jc w:val="center"/>
              <w:rPr>
                <w:rFonts w:ascii="宋体" w:hAnsi="宋体" w:cs="宋体"/>
                <w:sz w:val="23"/>
                <w:highlight w:val="none"/>
              </w:rPr>
            </w:pPr>
          </w:p>
        </w:tc>
        <w:tc>
          <w:tcPr>
            <w:tcW w:w="1420" w:type="dxa"/>
            <w:gridSpan w:val="3"/>
          </w:tcPr>
          <w:p>
            <w:pPr>
              <w:spacing w:line="440" w:lineRule="exact"/>
              <w:jc w:val="center"/>
              <w:rPr>
                <w:rFonts w:ascii="宋体" w:hAnsi="宋体" w:cs="宋体"/>
                <w:sz w:val="23"/>
                <w:highlight w:val="none"/>
              </w:rPr>
            </w:pPr>
          </w:p>
        </w:tc>
        <w:tc>
          <w:tcPr>
            <w:tcW w:w="1425" w:type="dxa"/>
          </w:tcPr>
          <w:p>
            <w:pPr>
              <w:spacing w:line="440" w:lineRule="exact"/>
              <w:jc w:val="center"/>
              <w:rPr>
                <w:rFonts w:ascii="宋体" w:hAnsi="宋体" w:cs="宋体"/>
                <w:sz w:val="23"/>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tcPr>
          <w:p>
            <w:pPr>
              <w:spacing w:line="440" w:lineRule="exact"/>
              <w:jc w:val="center"/>
              <w:rPr>
                <w:rFonts w:ascii="宋体" w:hAnsi="宋体" w:cs="宋体"/>
                <w:sz w:val="23"/>
                <w:highlight w:val="none"/>
              </w:rPr>
            </w:pPr>
          </w:p>
        </w:tc>
        <w:tc>
          <w:tcPr>
            <w:tcW w:w="1420" w:type="dxa"/>
            <w:gridSpan w:val="3"/>
          </w:tcPr>
          <w:p>
            <w:pPr>
              <w:spacing w:line="440" w:lineRule="exact"/>
              <w:jc w:val="center"/>
              <w:rPr>
                <w:rFonts w:ascii="宋体" w:hAnsi="宋体" w:cs="宋体"/>
                <w:sz w:val="23"/>
                <w:highlight w:val="none"/>
              </w:rPr>
            </w:pPr>
          </w:p>
        </w:tc>
        <w:tc>
          <w:tcPr>
            <w:tcW w:w="1421" w:type="dxa"/>
            <w:gridSpan w:val="3"/>
          </w:tcPr>
          <w:p>
            <w:pPr>
              <w:spacing w:line="440" w:lineRule="exact"/>
              <w:jc w:val="center"/>
              <w:rPr>
                <w:rFonts w:ascii="宋体" w:hAnsi="宋体" w:cs="宋体"/>
                <w:sz w:val="23"/>
                <w:highlight w:val="none"/>
              </w:rPr>
            </w:pPr>
          </w:p>
        </w:tc>
        <w:tc>
          <w:tcPr>
            <w:tcW w:w="1420" w:type="dxa"/>
          </w:tcPr>
          <w:p>
            <w:pPr>
              <w:spacing w:line="440" w:lineRule="exact"/>
              <w:jc w:val="center"/>
              <w:rPr>
                <w:rFonts w:ascii="宋体" w:hAnsi="宋体" w:cs="宋体"/>
                <w:sz w:val="23"/>
                <w:highlight w:val="none"/>
              </w:rPr>
            </w:pPr>
          </w:p>
        </w:tc>
        <w:tc>
          <w:tcPr>
            <w:tcW w:w="1420" w:type="dxa"/>
            <w:gridSpan w:val="3"/>
          </w:tcPr>
          <w:p>
            <w:pPr>
              <w:spacing w:line="440" w:lineRule="exact"/>
              <w:jc w:val="center"/>
              <w:rPr>
                <w:rFonts w:ascii="宋体" w:hAnsi="宋体" w:cs="宋体"/>
                <w:sz w:val="23"/>
                <w:highlight w:val="none"/>
              </w:rPr>
            </w:pPr>
          </w:p>
        </w:tc>
        <w:tc>
          <w:tcPr>
            <w:tcW w:w="1425" w:type="dxa"/>
          </w:tcPr>
          <w:p>
            <w:pPr>
              <w:spacing w:line="440" w:lineRule="exact"/>
              <w:jc w:val="center"/>
              <w:rPr>
                <w:rFonts w:ascii="宋体" w:hAnsi="宋体" w:cs="宋体"/>
                <w:sz w:val="23"/>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tcPr>
          <w:p>
            <w:pPr>
              <w:spacing w:line="440" w:lineRule="exact"/>
              <w:jc w:val="center"/>
              <w:rPr>
                <w:rFonts w:ascii="宋体" w:hAnsi="宋体" w:cs="宋体"/>
                <w:sz w:val="23"/>
                <w:highlight w:val="none"/>
              </w:rPr>
            </w:pPr>
          </w:p>
        </w:tc>
        <w:tc>
          <w:tcPr>
            <w:tcW w:w="1420" w:type="dxa"/>
            <w:gridSpan w:val="3"/>
          </w:tcPr>
          <w:p>
            <w:pPr>
              <w:spacing w:line="440" w:lineRule="exact"/>
              <w:jc w:val="center"/>
              <w:rPr>
                <w:rFonts w:ascii="宋体" w:hAnsi="宋体" w:cs="宋体"/>
                <w:sz w:val="23"/>
                <w:highlight w:val="none"/>
              </w:rPr>
            </w:pPr>
          </w:p>
        </w:tc>
        <w:tc>
          <w:tcPr>
            <w:tcW w:w="1421" w:type="dxa"/>
            <w:gridSpan w:val="3"/>
          </w:tcPr>
          <w:p>
            <w:pPr>
              <w:spacing w:line="440" w:lineRule="exact"/>
              <w:jc w:val="center"/>
              <w:rPr>
                <w:rFonts w:ascii="宋体" w:hAnsi="宋体" w:cs="宋体"/>
                <w:sz w:val="23"/>
                <w:highlight w:val="none"/>
              </w:rPr>
            </w:pPr>
          </w:p>
        </w:tc>
        <w:tc>
          <w:tcPr>
            <w:tcW w:w="1420" w:type="dxa"/>
          </w:tcPr>
          <w:p>
            <w:pPr>
              <w:spacing w:line="440" w:lineRule="exact"/>
              <w:jc w:val="center"/>
              <w:rPr>
                <w:rFonts w:ascii="宋体" w:hAnsi="宋体" w:cs="宋体"/>
                <w:sz w:val="23"/>
                <w:highlight w:val="none"/>
              </w:rPr>
            </w:pPr>
          </w:p>
        </w:tc>
        <w:tc>
          <w:tcPr>
            <w:tcW w:w="1420" w:type="dxa"/>
            <w:gridSpan w:val="3"/>
          </w:tcPr>
          <w:p>
            <w:pPr>
              <w:spacing w:line="440" w:lineRule="exact"/>
              <w:jc w:val="center"/>
              <w:rPr>
                <w:rFonts w:ascii="宋体" w:hAnsi="宋体" w:cs="宋体"/>
                <w:sz w:val="23"/>
                <w:highlight w:val="none"/>
              </w:rPr>
            </w:pPr>
          </w:p>
        </w:tc>
        <w:tc>
          <w:tcPr>
            <w:tcW w:w="1425" w:type="dxa"/>
          </w:tcPr>
          <w:p>
            <w:pPr>
              <w:spacing w:line="440" w:lineRule="exact"/>
              <w:jc w:val="center"/>
              <w:rPr>
                <w:rFonts w:ascii="宋体" w:hAnsi="宋体" w:cs="宋体"/>
                <w:sz w:val="23"/>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tcPr>
          <w:p>
            <w:pPr>
              <w:spacing w:line="440" w:lineRule="exact"/>
              <w:jc w:val="center"/>
              <w:rPr>
                <w:rFonts w:ascii="宋体" w:hAnsi="宋体" w:cs="宋体"/>
                <w:sz w:val="23"/>
                <w:highlight w:val="none"/>
              </w:rPr>
            </w:pPr>
          </w:p>
        </w:tc>
        <w:tc>
          <w:tcPr>
            <w:tcW w:w="1420" w:type="dxa"/>
            <w:gridSpan w:val="3"/>
          </w:tcPr>
          <w:p>
            <w:pPr>
              <w:spacing w:line="440" w:lineRule="exact"/>
              <w:jc w:val="center"/>
              <w:rPr>
                <w:rFonts w:ascii="宋体" w:hAnsi="宋体" w:cs="宋体"/>
                <w:sz w:val="23"/>
                <w:highlight w:val="none"/>
              </w:rPr>
            </w:pPr>
          </w:p>
        </w:tc>
        <w:tc>
          <w:tcPr>
            <w:tcW w:w="1421" w:type="dxa"/>
            <w:gridSpan w:val="3"/>
          </w:tcPr>
          <w:p>
            <w:pPr>
              <w:spacing w:line="440" w:lineRule="exact"/>
              <w:jc w:val="center"/>
              <w:rPr>
                <w:rFonts w:ascii="宋体" w:hAnsi="宋体" w:cs="宋体"/>
                <w:sz w:val="23"/>
                <w:highlight w:val="none"/>
              </w:rPr>
            </w:pPr>
          </w:p>
        </w:tc>
        <w:tc>
          <w:tcPr>
            <w:tcW w:w="1420" w:type="dxa"/>
          </w:tcPr>
          <w:p>
            <w:pPr>
              <w:spacing w:line="440" w:lineRule="exact"/>
              <w:jc w:val="center"/>
              <w:rPr>
                <w:rFonts w:ascii="宋体" w:hAnsi="宋体" w:cs="宋体"/>
                <w:sz w:val="23"/>
                <w:highlight w:val="none"/>
              </w:rPr>
            </w:pPr>
          </w:p>
        </w:tc>
        <w:tc>
          <w:tcPr>
            <w:tcW w:w="1420" w:type="dxa"/>
            <w:gridSpan w:val="3"/>
          </w:tcPr>
          <w:p>
            <w:pPr>
              <w:spacing w:line="440" w:lineRule="exact"/>
              <w:jc w:val="center"/>
              <w:rPr>
                <w:rFonts w:ascii="宋体" w:hAnsi="宋体" w:cs="宋体"/>
                <w:sz w:val="23"/>
                <w:highlight w:val="none"/>
              </w:rPr>
            </w:pPr>
          </w:p>
        </w:tc>
        <w:tc>
          <w:tcPr>
            <w:tcW w:w="1425" w:type="dxa"/>
          </w:tcPr>
          <w:p>
            <w:pPr>
              <w:spacing w:line="440" w:lineRule="exact"/>
              <w:jc w:val="center"/>
              <w:rPr>
                <w:rFonts w:ascii="宋体" w:hAnsi="宋体" w:cs="宋体"/>
                <w:sz w:val="23"/>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tcPr>
          <w:p>
            <w:pPr>
              <w:spacing w:line="440" w:lineRule="exact"/>
              <w:jc w:val="center"/>
              <w:rPr>
                <w:rFonts w:ascii="宋体" w:hAnsi="宋体" w:cs="宋体"/>
                <w:sz w:val="23"/>
                <w:highlight w:val="none"/>
              </w:rPr>
            </w:pPr>
          </w:p>
        </w:tc>
        <w:tc>
          <w:tcPr>
            <w:tcW w:w="1420" w:type="dxa"/>
            <w:gridSpan w:val="3"/>
          </w:tcPr>
          <w:p>
            <w:pPr>
              <w:spacing w:line="440" w:lineRule="exact"/>
              <w:jc w:val="center"/>
              <w:rPr>
                <w:rFonts w:ascii="宋体" w:hAnsi="宋体" w:cs="宋体"/>
                <w:sz w:val="23"/>
                <w:highlight w:val="none"/>
              </w:rPr>
            </w:pPr>
          </w:p>
        </w:tc>
        <w:tc>
          <w:tcPr>
            <w:tcW w:w="1421" w:type="dxa"/>
            <w:gridSpan w:val="3"/>
          </w:tcPr>
          <w:p>
            <w:pPr>
              <w:spacing w:line="440" w:lineRule="exact"/>
              <w:jc w:val="center"/>
              <w:rPr>
                <w:rFonts w:ascii="宋体" w:hAnsi="宋体" w:cs="宋体"/>
                <w:sz w:val="23"/>
                <w:highlight w:val="none"/>
              </w:rPr>
            </w:pPr>
          </w:p>
        </w:tc>
        <w:tc>
          <w:tcPr>
            <w:tcW w:w="1420" w:type="dxa"/>
          </w:tcPr>
          <w:p>
            <w:pPr>
              <w:spacing w:line="440" w:lineRule="exact"/>
              <w:jc w:val="center"/>
              <w:rPr>
                <w:rFonts w:ascii="宋体" w:hAnsi="宋体" w:cs="宋体"/>
                <w:sz w:val="23"/>
                <w:highlight w:val="none"/>
              </w:rPr>
            </w:pPr>
          </w:p>
        </w:tc>
        <w:tc>
          <w:tcPr>
            <w:tcW w:w="1420" w:type="dxa"/>
            <w:gridSpan w:val="3"/>
          </w:tcPr>
          <w:p>
            <w:pPr>
              <w:spacing w:line="440" w:lineRule="exact"/>
              <w:jc w:val="center"/>
              <w:rPr>
                <w:rFonts w:ascii="宋体" w:hAnsi="宋体" w:cs="宋体"/>
                <w:sz w:val="23"/>
                <w:highlight w:val="none"/>
              </w:rPr>
            </w:pPr>
          </w:p>
        </w:tc>
        <w:tc>
          <w:tcPr>
            <w:tcW w:w="1425" w:type="dxa"/>
          </w:tcPr>
          <w:p>
            <w:pPr>
              <w:spacing w:line="440" w:lineRule="exact"/>
              <w:jc w:val="center"/>
              <w:rPr>
                <w:rFonts w:ascii="宋体" w:hAnsi="宋体" w:cs="宋体"/>
                <w:sz w:val="23"/>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tcPr>
          <w:p>
            <w:pPr>
              <w:spacing w:line="440" w:lineRule="exact"/>
              <w:jc w:val="center"/>
              <w:rPr>
                <w:rFonts w:ascii="宋体" w:hAnsi="宋体" w:cs="宋体"/>
                <w:sz w:val="23"/>
                <w:highlight w:val="none"/>
              </w:rPr>
            </w:pPr>
          </w:p>
        </w:tc>
        <w:tc>
          <w:tcPr>
            <w:tcW w:w="1420" w:type="dxa"/>
            <w:gridSpan w:val="3"/>
          </w:tcPr>
          <w:p>
            <w:pPr>
              <w:spacing w:line="440" w:lineRule="exact"/>
              <w:jc w:val="center"/>
              <w:rPr>
                <w:rFonts w:ascii="宋体" w:hAnsi="宋体" w:cs="宋体"/>
                <w:sz w:val="23"/>
                <w:highlight w:val="none"/>
              </w:rPr>
            </w:pPr>
          </w:p>
        </w:tc>
        <w:tc>
          <w:tcPr>
            <w:tcW w:w="1421" w:type="dxa"/>
            <w:gridSpan w:val="3"/>
          </w:tcPr>
          <w:p>
            <w:pPr>
              <w:spacing w:line="440" w:lineRule="exact"/>
              <w:jc w:val="center"/>
              <w:rPr>
                <w:rFonts w:ascii="宋体" w:hAnsi="宋体" w:cs="宋体"/>
                <w:sz w:val="23"/>
                <w:highlight w:val="none"/>
              </w:rPr>
            </w:pPr>
          </w:p>
        </w:tc>
        <w:tc>
          <w:tcPr>
            <w:tcW w:w="1420" w:type="dxa"/>
          </w:tcPr>
          <w:p>
            <w:pPr>
              <w:spacing w:line="440" w:lineRule="exact"/>
              <w:jc w:val="center"/>
              <w:rPr>
                <w:rFonts w:ascii="宋体" w:hAnsi="宋体" w:cs="宋体"/>
                <w:sz w:val="23"/>
                <w:highlight w:val="none"/>
              </w:rPr>
            </w:pPr>
          </w:p>
        </w:tc>
        <w:tc>
          <w:tcPr>
            <w:tcW w:w="1420" w:type="dxa"/>
            <w:gridSpan w:val="3"/>
          </w:tcPr>
          <w:p>
            <w:pPr>
              <w:spacing w:line="440" w:lineRule="exact"/>
              <w:jc w:val="center"/>
              <w:rPr>
                <w:rFonts w:ascii="宋体" w:hAnsi="宋体" w:cs="宋体"/>
                <w:sz w:val="23"/>
                <w:highlight w:val="none"/>
              </w:rPr>
            </w:pPr>
          </w:p>
        </w:tc>
        <w:tc>
          <w:tcPr>
            <w:tcW w:w="1425" w:type="dxa"/>
          </w:tcPr>
          <w:p>
            <w:pPr>
              <w:spacing w:line="440" w:lineRule="exact"/>
              <w:jc w:val="center"/>
              <w:rPr>
                <w:rFonts w:ascii="宋体" w:hAnsi="宋体" w:cs="宋体"/>
                <w:sz w:val="23"/>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tcPr>
          <w:p>
            <w:pPr>
              <w:spacing w:line="440" w:lineRule="exact"/>
              <w:jc w:val="center"/>
              <w:rPr>
                <w:rFonts w:ascii="宋体" w:hAnsi="宋体" w:cs="宋体"/>
                <w:sz w:val="23"/>
                <w:highlight w:val="none"/>
              </w:rPr>
            </w:pPr>
          </w:p>
        </w:tc>
        <w:tc>
          <w:tcPr>
            <w:tcW w:w="1420" w:type="dxa"/>
            <w:gridSpan w:val="3"/>
          </w:tcPr>
          <w:p>
            <w:pPr>
              <w:spacing w:line="440" w:lineRule="exact"/>
              <w:jc w:val="center"/>
              <w:rPr>
                <w:rFonts w:ascii="宋体" w:hAnsi="宋体" w:cs="宋体"/>
                <w:sz w:val="23"/>
                <w:highlight w:val="none"/>
              </w:rPr>
            </w:pPr>
          </w:p>
        </w:tc>
        <w:tc>
          <w:tcPr>
            <w:tcW w:w="1421" w:type="dxa"/>
            <w:gridSpan w:val="3"/>
          </w:tcPr>
          <w:p>
            <w:pPr>
              <w:spacing w:line="440" w:lineRule="exact"/>
              <w:jc w:val="center"/>
              <w:rPr>
                <w:rFonts w:ascii="宋体" w:hAnsi="宋体" w:cs="宋体"/>
                <w:sz w:val="23"/>
                <w:highlight w:val="none"/>
              </w:rPr>
            </w:pPr>
          </w:p>
        </w:tc>
        <w:tc>
          <w:tcPr>
            <w:tcW w:w="1420" w:type="dxa"/>
          </w:tcPr>
          <w:p>
            <w:pPr>
              <w:spacing w:line="440" w:lineRule="exact"/>
              <w:jc w:val="center"/>
              <w:rPr>
                <w:rFonts w:ascii="宋体" w:hAnsi="宋体" w:cs="宋体"/>
                <w:sz w:val="23"/>
                <w:highlight w:val="none"/>
              </w:rPr>
            </w:pPr>
          </w:p>
        </w:tc>
        <w:tc>
          <w:tcPr>
            <w:tcW w:w="1420" w:type="dxa"/>
            <w:gridSpan w:val="3"/>
          </w:tcPr>
          <w:p>
            <w:pPr>
              <w:spacing w:line="440" w:lineRule="exact"/>
              <w:jc w:val="center"/>
              <w:rPr>
                <w:rFonts w:ascii="宋体" w:hAnsi="宋体" w:cs="宋体"/>
                <w:sz w:val="23"/>
                <w:highlight w:val="none"/>
              </w:rPr>
            </w:pPr>
          </w:p>
        </w:tc>
        <w:tc>
          <w:tcPr>
            <w:tcW w:w="1425" w:type="dxa"/>
          </w:tcPr>
          <w:p>
            <w:pPr>
              <w:spacing w:line="440" w:lineRule="exact"/>
              <w:jc w:val="center"/>
              <w:rPr>
                <w:rFonts w:ascii="宋体" w:hAnsi="宋体" w:cs="宋体"/>
                <w:sz w:val="23"/>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tcPr>
          <w:p>
            <w:pPr>
              <w:spacing w:line="440" w:lineRule="exact"/>
              <w:jc w:val="center"/>
              <w:rPr>
                <w:rFonts w:ascii="宋体" w:hAnsi="宋体" w:cs="宋体"/>
                <w:sz w:val="23"/>
                <w:highlight w:val="none"/>
              </w:rPr>
            </w:pPr>
          </w:p>
        </w:tc>
        <w:tc>
          <w:tcPr>
            <w:tcW w:w="1420" w:type="dxa"/>
            <w:gridSpan w:val="3"/>
          </w:tcPr>
          <w:p>
            <w:pPr>
              <w:spacing w:line="440" w:lineRule="exact"/>
              <w:jc w:val="center"/>
              <w:rPr>
                <w:rFonts w:ascii="宋体" w:hAnsi="宋体" w:cs="宋体"/>
                <w:sz w:val="23"/>
                <w:highlight w:val="none"/>
              </w:rPr>
            </w:pPr>
          </w:p>
        </w:tc>
        <w:tc>
          <w:tcPr>
            <w:tcW w:w="1421" w:type="dxa"/>
            <w:gridSpan w:val="3"/>
          </w:tcPr>
          <w:p>
            <w:pPr>
              <w:spacing w:line="440" w:lineRule="exact"/>
              <w:jc w:val="center"/>
              <w:rPr>
                <w:rFonts w:ascii="宋体" w:hAnsi="宋体" w:cs="宋体"/>
                <w:sz w:val="23"/>
                <w:highlight w:val="none"/>
              </w:rPr>
            </w:pPr>
          </w:p>
        </w:tc>
        <w:tc>
          <w:tcPr>
            <w:tcW w:w="1420" w:type="dxa"/>
          </w:tcPr>
          <w:p>
            <w:pPr>
              <w:spacing w:line="440" w:lineRule="exact"/>
              <w:jc w:val="center"/>
              <w:rPr>
                <w:rFonts w:ascii="宋体" w:hAnsi="宋体" w:cs="宋体"/>
                <w:sz w:val="23"/>
                <w:highlight w:val="none"/>
              </w:rPr>
            </w:pPr>
          </w:p>
        </w:tc>
        <w:tc>
          <w:tcPr>
            <w:tcW w:w="1420" w:type="dxa"/>
            <w:gridSpan w:val="3"/>
          </w:tcPr>
          <w:p>
            <w:pPr>
              <w:spacing w:line="440" w:lineRule="exact"/>
              <w:jc w:val="center"/>
              <w:rPr>
                <w:rFonts w:ascii="宋体" w:hAnsi="宋体" w:cs="宋体"/>
                <w:sz w:val="23"/>
                <w:highlight w:val="none"/>
              </w:rPr>
            </w:pPr>
          </w:p>
        </w:tc>
        <w:tc>
          <w:tcPr>
            <w:tcW w:w="1425" w:type="dxa"/>
          </w:tcPr>
          <w:p>
            <w:pPr>
              <w:spacing w:line="440" w:lineRule="exact"/>
              <w:jc w:val="center"/>
              <w:rPr>
                <w:rFonts w:ascii="宋体" w:hAnsi="宋体" w:cs="宋体"/>
                <w:sz w:val="23"/>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tcPr>
          <w:p>
            <w:pPr>
              <w:spacing w:line="440" w:lineRule="exact"/>
              <w:jc w:val="center"/>
              <w:rPr>
                <w:rFonts w:ascii="宋体" w:hAnsi="宋体" w:cs="宋体"/>
                <w:sz w:val="23"/>
                <w:highlight w:val="none"/>
              </w:rPr>
            </w:pPr>
          </w:p>
        </w:tc>
        <w:tc>
          <w:tcPr>
            <w:tcW w:w="1420" w:type="dxa"/>
            <w:gridSpan w:val="3"/>
          </w:tcPr>
          <w:p>
            <w:pPr>
              <w:spacing w:line="440" w:lineRule="exact"/>
              <w:jc w:val="center"/>
              <w:rPr>
                <w:rFonts w:ascii="宋体" w:hAnsi="宋体" w:cs="宋体"/>
                <w:sz w:val="23"/>
                <w:highlight w:val="none"/>
              </w:rPr>
            </w:pPr>
          </w:p>
        </w:tc>
        <w:tc>
          <w:tcPr>
            <w:tcW w:w="1421" w:type="dxa"/>
            <w:gridSpan w:val="3"/>
          </w:tcPr>
          <w:p>
            <w:pPr>
              <w:spacing w:line="440" w:lineRule="exact"/>
              <w:jc w:val="center"/>
              <w:rPr>
                <w:rFonts w:ascii="宋体" w:hAnsi="宋体" w:cs="宋体"/>
                <w:sz w:val="23"/>
                <w:highlight w:val="none"/>
              </w:rPr>
            </w:pPr>
          </w:p>
        </w:tc>
        <w:tc>
          <w:tcPr>
            <w:tcW w:w="1420" w:type="dxa"/>
          </w:tcPr>
          <w:p>
            <w:pPr>
              <w:spacing w:line="440" w:lineRule="exact"/>
              <w:jc w:val="center"/>
              <w:rPr>
                <w:rFonts w:ascii="宋体" w:hAnsi="宋体" w:cs="宋体"/>
                <w:sz w:val="23"/>
                <w:highlight w:val="none"/>
              </w:rPr>
            </w:pPr>
          </w:p>
        </w:tc>
        <w:tc>
          <w:tcPr>
            <w:tcW w:w="1420" w:type="dxa"/>
            <w:gridSpan w:val="3"/>
          </w:tcPr>
          <w:p>
            <w:pPr>
              <w:spacing w:line="440" w:lineRule="exact"/>
              <w:jc w:val="center"/>
              <w:rPr>
                <w:rFonts w:ascii="宋体" w:hAnsi="宋体" w:cs="宋体"/>
                <w:sz w:val="23"/>
                <w:highlight w:val="none"/>
              </w:rPr>
            </w:pPr>
          </w:p>
        </w:tc>
        <w:tc>
          <w:tcPr>
            <w:tcW w:w="1425" w:type="dxa"/>
          </w:tcPr>
          <w:p>
            <w:pPr>
              <w:spacing w:line="440" w:lineRule="exact"/>
              <w:jc w:val="center"/>
              <w:rPr>
                <w:rFonts w:ascii="宋体" w:hAnsi="宋体" w:cs="宋体"/>
                <w:sz w:val="23"/>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tcPr>
          <w:p>
            <w:pPr>
              <w:spacing w:line="440" w:lineRule="exact"/>
              <w:jc w:val="center"/>
              <w:rPr>
                <w:rFonts w:ascii="宋体" w:hAnsi="宋体" w:cs="宋体"/>
                <w:sz w:val="23"/>
                <w:highlight w:val="none"/>
              </w:rPr>
            </w:pPr>
          </w:p>
        </w:tc>
        <w:tc>
          <w:tcPr>
            <w:tcW w:w="1420" w:type="dxa"/>
            <w:gridSpan w:val="3"/>
          </w:tcPr>
          <w:p>
            <w:pPr>
              <w:spacing w:line="440" w:lineRule="exact"/>
              <w:jc w:val="center"/>
              <w:rPr>
                <w:rFonts w:ascii="宋体" w:hAnsi="宋体" w:cs="宋体"/>
                <w:sz w:val="23"/>
                <w:highlight w:val="none"/>
              </w:rPr>
            </w:pPr>
          </w:p>
        </w:tc>
        <w:tc>
          <w:tcPr>
            <w:tcW w:w="1421" w:type="dxa"/>
            <w:gridSpan w:val="3"/>
          </w:tcPr>
          <w:p>
            <w:pPr>
              <w:spacing w:line="440" w:lineRule="exact"/>
              <w:jc w:val="center"/>
              <w:rPr>
                <w:rFonts w:ascii="宋体" w:hAnsi="宋体" w:cs="宋体"/>
                <w:sz w:val="23"/>
                <w:highlight w:val="none"/>
              </w:rPr>
            </w:pPr>
          </w:p>
        </w:tc>
        <w:tc>
          <w:tcPr>
            <w:tcW w:w="1420" w:type="dxa"/>
          </w:tcPr>
          <w:p>
            <w:pPr>
              <w:spacing w:line="440" w:lineRule="exact"/>
              <w:jc w:val="center"/>
              <w:rPr>
                <w:rFonts w:ascii="宋体" w:hAnsi="宋体" w:cs="宋体"/>
                <w:sz w:val="23"/>
                <w:highlight w:val="none"/>
              </w:rPr>
            </w:pPr>
          </w:p>
        </w:tc>
        <w:tc>
          <w:tcPr>
            <w:tcW w:w="1420" w:type="dxa"/>
            <w:gridSpan w:val="3"/>
          </w:tcPr>
          <w:p>
            <w:pPr>
              <w:spacing w:line="440" w:lineRule="exact"/>
              <w:jc w:val="center"/>
              <w:rPr>
                <w:rFonts w:ascii="宋体" w:hAnsi="宋体" w:cs="宋体"/>
                <w:sz w:val="23"/>
                <w:highlight w:val="none"/>
              </w:rPr>
            </w:pPr>
          </w:p>
        </w:tc>
        <w:tc>
          <w:tcPr>
            <w:tcW w:w="1425" w:type="dxa"/>
          </w:tcPr>
          <w:p>
            <w:pPr>
              <w:spacing w:line="440" w:lineRule="exact"/>
              <w:jc w:val="center"/>
              <w:rPr>
                <w:rFonts w:ascii="宋体" w:hAnsi="宋体" w:cs="宋体"/>
                <w:sz w:val="23"/>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tcPr>
          <w:p>
            <w:pPr>
              <w:spacing w:line="440" w:lineRule="exact"/>
              <w:jc w:val="center"/>
              <w:rPr>
                <w:rFonts w:ascii="宋体" w:hAnsi="宋体" w:cs="宋体"/>
                <w:sz w:val="23"/>
                <w:highlight w:val="none"/>
              </w:rPr>
            </w:pPr>
          </w:p>
        </w:tc>
        <w:tc>
          <w:tcPr>
            <w:tcW w:w="1420" w:type="dxa"/>
            <w:gridSpan w:val="3"/>
          </w:tcPr>
          <w:p>
            <w:pPr>
              <w:spacing w:line="440" w:lineRule="exact"/>
              <w:jc w:val="center"/>
              <w:rPr>
                <w:rFonts w:ascii="宋体" w:hAnsi="宋体" w:cs="宋体"/>
                <w:sz w:val="23"/>
                <w:highlight w:val="none"/>
              </w:rPr>
            </w:pPr>
          </w:p>
        </w:tc>
        <w:tc>
          <w:tcPr>
            <w:tcW w:w="1421" w:type="dxa"/>
            <w:gridSpan w:val="3"/>
          </w:tcPr>
          <w:p>
            <w:pPr>
              <w:spacing w:line="440" w:lineRule="exact"/>
              <w:jc w:val="center"/>
              <w:rPr>
                <w:rFonts w:ascii="宋体" w:hAnsi="宋体" w:cs="宋体"/>
                <w:sz w:val="23"/>
                <w:highlight w:val="none"/>
              </w:rPr>
            </w:pPr>
          </w:p>
        </w:tc>
        <w:tc>
          <w:tcPr>
            <w:tcW w:w="1420" w:type="dxa"/>
          </w:tcPr>
          <w:p>
            <w:pPr>
              <w:spacing w:line="440" w:lineRule="exact"/>
              <w:jc w:val="center"/>
              <w:rPr>
                <w:rFonts w:ascii="宋体" w:hAnsi="宋体" w:cs="宋体"/>
                <w:sz w:val="23"/>
                <w:highlight w:val="none"/>
              </w:rPr>
            </w:pPr>
          </w:p>
        </w:tc>
        <w:tc>
          <w:tcPr>
            <w:tcW w:w="1420" w:type="dxa"/>
            <w:gridSpan w:val="3"/>
          </w:tcPr>
          <w:p>
            <w:pPr>
              <w:spacing w:line="440" w:lineRule="exact"/>
              <w:jc w:val="center"/>
              <w:rPr>
                <w:rFonts w:ascii="宋体" w:hAnsi="宋体" w:cs="宋体"/>
                <w:sz w:val="23"/>
                <w:highlight w:val="none"/>
              </w:rPr>
            </w:pPr>
          </w:p>
        </w:tc>
        <w:tc>
          <w:tcPr>
            <w:tcW w:w="1425" w:type="dxa"/>
          </w:tcPr>
          <w:p>
            <w:pPr>
              <w:spacing w:line="440" w:lineRule="exact"/>
              <w:jc w:val="center"/>
              <w:rPr>
                <w:rFonts w:ascii="宋体" w:hAnsi="宋体" w:cs="宋体"/>
                <w:sz w:val="23"/>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tcPr>
          <w:p>
            <w:pPr>
              <w:spacing w:line="440" w:lineRule="exact"/>
              <w:jc w:val="center"/>
              <w:rPr>
                <w:rFonts w:ascii="宋体" w:hAnsi="宋体" w:cs="宋体"/>
                <w:sz w:val="23"/>
                <w:highlight w:val="none"/>
              </w:rPr>
            </w:pPr>
          </w:p>
        </w:tc>
        <w:tc>
          <w:tcPr>
            <w:tcW w:w="1420" w:type="dxa"/>
            <w:gridSpan w:val="3"/>
          </w:tcPr>
          <w:p>
            <w:pPr>
              <w:spacing w:line="440" w:lineRule="exact"/>
              <w:jc w:val="center"/>
              <w:rPr>
                <w:rFonts w:ascii="宋体" w:hAnsi="宋体" w:cs="宋体"/>
                <w:sz w:val="23"/>
                <w:highlight w:val="none"/>
              </w:rPr>
            </w:pPr>
          </w:p>
        </w:tc>
        <w:tc>
          <w:tcPr>
            <w:tcW w:w="1421" w:type="dxa"/>
            <w:gridSpan w:val="3"/>
          </w:tcPr>
          <w:p>
            <w:pPr>
              <w:spacing w:line="440" w:lineRule="exact"/>
              <w:jc w:val="center"/>
              <w:rPr>
                <w:rFonts w:ascii="宋体" w:hAnsi="宋体" w:cs="宋体"/>
                <w:sz w:val="23"/>
                <w:highlight w:val="none"/>
              </w:rPr>
            </w:pPr>
          </w:p>
        </w:tc>
        <w:tc>
          <w:tcPr>
            <w:tcW w:w="1420" w:type="dxa"/>
          </w:tcPr>
          <w:p>
            <w:pPr>
              <w:spacing w:line="440" w:lineRule="exact"/>
              <w:jc w:val="center"/>
              <w:rPr>
                <w:rFonts w:ascii="宋体" w:hAnsi="宋体" w:cs="宋体"/>
                <w:sz w:val="23"/>
                <w:highlight w:val="none"/>
              </w:rPr>
            </w:pPr>
          </w:p>
        </w:tc>
        <w:tc>
          <w:tcPr>
            <w:tcW w:w="1420" w:type="dxa"/>
            <w:gridSpan w:val="3"/>
          </w:tcPr>
          <w:p>
            <w:pPr>
              <w:spacing w:line="440" w:lineRule="exact"/>
              <w:jc w:val="center"/>
              <w:rPr>
                <w:rFonts w:ascii="宋体" w:hAnsi="宋体" w:cs="宋体"/>
                <w:sz w:val="23"/>
                <w:highlight w:val="none"/>
              </w:rPr>
            </w:pPr>
          </w:p>
        </w:tc>
        <w:tc>
          <w:tcPr>
            <w:tcW w:w="1425" w:type="dxa"/>
          </w:tcPr>
          <w:p>
            <w:pPr>
              <w:spacing w:line="440" w:lineRule="exact"/>
              <w:jc w:val="center"/>
              <w:rPr>
                <w:rFonts w:ascii="宋体" w:hAnsi="宋体" w:cs="宋体"/>
                <w:sz w:val="23"/>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tcPr>
          <w:p>
            <w:pPr>
              <w:spacing w:line="440" w:lineRule="exact"/>
              <w:jc w:val="center"/>
              <w:rPr>
                <w:rFonts w:ascii="宋体" w:hAnsi="宋体" w:cs="宋体"/>
                <w:sz w:val="23"/>
                <w:highlight w:val="none"/>
              </w:rPr>
            </w:pPr>
          </w:p>
        </w:tc>
        <w:tc>
          <w:tcPr>
            <w:tcW w:w="1420" w:type="dxa"/>
            <w:gridSpan w:val="3"/>
          </w:tcPr>
          <w:p>
            <w:pPr>
              <w:spacing w:line="440" w:lineRule="exact"/>
              <w:jc w:val="center"/>
              <w:rPr>
                <w:rFonts w:ascii="宋体" w:hAnsi="宋体" w:cs="宋体"/>
                <w:sz w:val="23"/>
                <w:highlight w:val="none"/>
              </w:rPr>
            </w:pPr>
          </w:p>
        </w:tc>
        <w:tc>
          <w:tcPr>
            <w:tcW w:w="1421" w:type="dxa"/>
            <w:gridSpan w:val="3"/>
          </w:tcPr>
          <w:p>
            <w:pPr>
              <w:spacing w:line="440" w:lineRule="exact"/>
              <w:jc w:val="center"/>
              <w:rPr>
                <w:rFonts w:ascii="宋体" w:hAnsi="宋体" w:cs="宋体"/>
                <w:sz w:val="23"/>
                <w:highlight w:val="none"/>
              </w:rPr>
            </w:pPr>
          </w:p>
        </w:tc>
        <w:tc>
          <w:tcPr>
            <w:tcW w:w="1420" w:type="dxa"/>
          </w:tcPr>
          <w:p>
            <w:pPr>
              <w:spacing w:line="440" w:lineRule="exact"/>
              <w:jc w:val="center"/>
              <w:rPr>
                <w:rFonts w:ascii="宋体" w:hAnsi="宋体" w:cs="宋体"/>
                <w:sz w:val="23"/>
                <w:highlight w:val="none"/>
              </w:rPr>
            </w:pPr>
          </w:p>
        </w:tc>
        <w:tc>
          <w:tcPr>
            <w:tcW w:w="1420" w:type="dxa"/>
            <w:gridSpan w:val="3"/>
          </w:tcPr>
          <w:p>
            <w:pPr>
              <w:spacing w:line="440" w:lineRule="exact"/>
              <w:jc w:val="center"/>
              <w:rPr>
                <w:rFonts w:ascii="宋体" w:hAnsi="宋体" w:cs="宋体"/>
                <w:sz w:val="23"/>
                <w:highlight w:val="none"/>
              </w:rPr>
            </w:pPr>
          </w:p>
        </w:tc>
        <w:tc>
          <w:tcPr>
            <w:tcW w:w="1425" w:type="dxa"/>
          </w:tcPr>
          <w:p>
            <w:pPr>
              <w:spacing w:line="440" w:lineRule="exact"/>
              <w:jc w:val="center"/>
              <w:rPr>
                <w:rFonts w:ascii="宋体" w:hAnsi="宋体" w:cs="宋体"/>
                <w:sz w:val="23"/>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tcPr>
          <w:p>
            <w:pPr>
              <w:spacing w:line="440" w:lineRule="exact"/>
              <w:jc w:val="center"/>
              <w:rPr>
                <w:rFonts w:ascii="宋体" w:hAnsi="宋体" w:cs="宋体"/>
                <w:sz w:val="23"/>
                <w:highlight w:val="none"/>
              </w:rPr>
            </w:pPr>
          </w:p>
        </w:tc>
        <w:tc>
          <w:tcPr>
            <w:tcW w:w="1420" w:type="dxa"/>
            <w:gridSpan w:val="3"/>
          </w:tcPr>
          <w:p>
            <w:pPr>
              <w:spacing w:line="440" w:lineRule="exact"/>
              <w:jc w:val="center"/>
              <w:rPr>
                <w:rFonts w:ascii="宋体" w:hAnsi="宋体" w:cs="宋体"/>
                <w:sz w:val="23"/>
                <w:highlight w:val="none"/>
              </w:rPr>
            </w:pPr>
          </w:p>
        </w:tc>
        <w:tc>
          <w:tcPr>
            <w:tcW w:w="1421" w:type="dxa"/>
            <w:gridSpan w:val="3"/>
          </w:tcPr>
          <w:p>
            <w:pPr>
              <w:spacing w:line="440" w:lineRule="exact"/>
              <w:jc w:val="center"/>
              <w:rPr>
                <w:rFonts w:ascii="宋体" w:hAnsi="宋体" w:cs="宋体"/>
                <w:sz w:val="23"/>
                <w:highlight w:val="none"/>
              </w:rPr>
            </w:pPr>
          </w:p>
        </w:tc>
        <w:tc>
          <w:tcPr>
            <w:tcW w:w="1420" w:type="dxa"/>
          </w:tcPr>
          <w:p>
            <w:pPr>
              <w:spacing w:line="440" w:lineRule="exact"/>
              <w:jc w:val="center"/>
              <w:rPr>
                <w:rFonts w:ascii="宋体" w:hAnsi="宋体" w:cs="宋体"/>
                <w:sz w:val="23"/>
                <w:highlight w:val="none"/>
              </w:rPr>
            </w:pPr>
          </w:p>
        </w:tc>
        <w:tc>
          <w:tcPr>
            <w:tcW w:w="1420" w:type="dxa"/>
            <w:gridSpan w:val="3"/>
          </w:tcPr>
          <w:p>
            <w:pPr>
              <w:spacing w:line="440" w:lineRule="exact"/>
              <w:jc w:val="center"/>
              <w:rPr>
                <w:rFonts w:ascii="宋体" w:hAnsi="宋体" w:cs="宋体"/>
                <w:sz w:val="23"/>
                <w:highlight w:val="none"/>
              </w:rPr>
            </w:pPr>
          </w:p>
        </w:tc>
        <w:tc>
          <w:tcPr>
            <w:tcW w:w="1425" w:type="dxa"/>
          </w:tcPr>
          <w:p>
            <w:pPr>
              <w:spacing w:line="440" w:lineRule="exact"/>
              <w:jc w:val="center"/>
              <w:rPr>
                <w:rFonts w:ascii="宋体" w:hAnsi="宋体" w:cs="宋体"/>
                <w:sz w:val="23"/>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tcPr>
          <w:p>
            <w:pPr>
              <w:spacing w:line="440" w:lineRule="exact"/>
              <w:jc w:val="center"/>
              <w:rPr>
                <w:rFonts w:ascii="宋体" w:hAnsi="宋体" w:cs="宋体"/>
                <w:sz w:val="23"/>
                <w:highlight w:val="none"/>
              </w:rPr>
            </w:pPr>
          </w:p>
        </w:tc>
        <w:tc>
          <w:tcPr>
            <w:tcW w:w="1420" w:type="dxa"/>
            <w:gridSpan w:val="3"/>
          </w:tcPr>
          <w:p>
            <w:pPr>
              <w:spacing w:line="440" w:lineRule="exact"/>
              <w:jc w:val="center"/>
              <w:rPr>
                <w:rFonts w:ascii="宋体" w:hAnsi="宋体" w:cs="宋体"/>
                <w:sz w:val="23"/>
                <w:highlight w:val="none"/>
              </w:rPr>
            </w:pPr>
          </w:p>
        </w:tc>
        <w:tc>
          <w:tcPr>
            <w:tcW w:w="1421" w:type="dxa"/>
            <w:gridSpan w:val="3"/>
          </w:tcPr>
          <w:p>
            <w:pPr>
              <w:spacing w:line="440" w:lineRule="exact"/>
              <w:jc w:val="center"/>
              <w:rPr>
                <w:rFonts w:ascii="宋体" w:hAnsi="宋体" w:cs="宋体"/>
                <w:sz w:val="23"/>
                <w:highlight w:val="none"/>
              </w:rPr>
            </w:pPr>
          </w:p>
        </w:tc>
        <w:tc>
          <w:tcPr>
            <w:tcW w:w="1420" w:type="dxa"/>
          </w:tcPr>
          <w:p>
            <w:pPr>
              <w:spacing w:line="440" w:lineRule="exact"/>
              <w:jc w:val="center"/>
              <w:rPr>
                <w:rFonts w:ascii="宋体" w:hAnsi="宋体" w:cs="宋体"/>
                <w:sz w:val="23"/>
                <w:highlight w:val="none"/>
              </w:rPr>
            </w:pPr>
          </w:p>
        </w:tc>
        <w:tc>
          <w:tcPr>
            <w:tcW w:w="1420" w:type="dxa"/>
            <w:gridSpan w:val="3"/>
          </w:tcPr>
          <w:p>
            <w:pPr>
              <w:spacing w:line="440" w:lineRule="exact"/>
              <w:jc w:val="center"/>
              <w:rPr>
                <w:rFonts w:ascii="宋体" w:hAnsi="宋体" w:cs="宋体"/>
                <w:sz w:val="23"/>
                <w:highlight w:val="none"/>
              </w:rPr>
            </w:pPr>
          </w:p>
        </w:tc>
        <w:tc>
          <w:tcPr>
            <w:tcW w:w="1425" w:type="dxa"/>
          </w:tcPr>
          <w:p>
            <w:pPr>
              <w:spacing w:line="440" w:lineRule="exact"/>
              <w:jc w:val="center"/>
              <w:rPr>
                <w:rFonts w:ascii="宋体" w:hAnsi="宋体" w:cs="宋体"/>
                <w:sz w:val="23"/>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tcPr>
          <w:p>
            <w:pPr>
              <w:spacing w:line="440" w:lineRule="exact"/>
              <w:jc w:val="center"/>
              <w:rPr>
                <w:rFonts w:ascii="宋体" w:hAnsi="宋体" w:cs="宋体"/>
                <w:sz w:val="23"/>
                <w:highlight w:val="none"/>
              </w:rPr>
            </w:pPr>
          </w:p>
        </w:tc>
        <w:tc>
          <w:tcPr>
            <w:tcW w:w="1420" w:type="dxa"/>
            <w:gridSpan w:val="3"/>
          </w:tcPr>
          <w:p>
            <w:pPr>
              <w:spacing w:line="440" w:lineRule="exact"/>
              <w:jc w:val="center"/>
              <w:rPr>
                <w:rFonts w:ascii="宋体" w:hAnsi="宋体" w:cs="宋体"/>
                <w:sz w:val="23"/>
                <w:highlight w:val="none"/>
              </w:rPr>
            </w:pPr>
          </w:p>
        </w:tc>
        <w:tc>
          <w:tcPr>
            <w:tcW w:w="1421" w:type="dxa"/>
            <w:gridSpan w:val="3"/>
          </w:tcPr>
          <w:p>
            <w:pPr>
              <w:spacing w:line="440" w:lineRule="exact"/>
              <w:jc w:val="center"/>
              <w:rPr>
                <w:rFonts w:ascii="宋体" w:hAnsi="宋体" w:cs="宋体"/>
                <w:sz w:val="23"/>
                <w:highlight w:val="none"/>
              </w:rPr>
            </w:pPr>
          </w:p>
        </w:tc>
        <w:tc>
          <w:tcPr>
            <w:tcW w:w="1420" w:type="dxa"/>
          </w:tcPr>
          <w:p>
            <w:pPr>
              <w:spacing w:line="440" w:lineRule="exact"/>
              <w:jc w:val="center"/>
              <w:rPr>
                <w:rFonts w:ascii="宋体" w:hAnsi="宋体" w:cs="宋体"/>
                <w:sz w:val="23"/>
                <w:highlight w:val="none"/>
              </w:rPr>
            </w:pPr>
          </w:p>
        </w:tc>
        <w:tc>
          <w:tcPr>
            <w:tcW w:w="1420" w:type="dxa"/>
            <w:gridSpan w:val="3"/>
          </w:tcPr>
          <w:p>
            <w:pPr>
              <w:spacing w:line="440" w:lineRule="exact"/>
              <w:jc w:val="center"/>
              <w:rPr>
                <w:rFonts w:ascii="宋体" w:hAnsi="宋体" w:cs="宋体"/>
                <w:sz w:val="23"/>
                <w:highlight w:val="none"/>
              </w:rPr>
            </w:pPr>
          </w:p>
        </w:tc>
        <w:tc>
          <w:tcPr>
            <w:tcW w:w="1425" w:type="dxa"/>
          </w:tcPr>
          <w:p>
            <w:pPr>
              <w:spacing w:line="440" w:lineRule="exact"/>
              <w:jc w:val="center"/>
              <w:rPr>
                <w:rFonts w:ascii="宋体" w:hAnsi="宋体" w:cs="宋体"/>
                <w:sz w:val="23"/>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tcPr>
          <w:p>
            <w:pPr>
              <w:spacing w:line="440" w:lineRule="exact"/>
              <w:jc w:val="center"/>
              <w:rPr>
                <w:rFonts w:ascii="宋体" w:hAnsi="宋体" w:cs="宋体"/>
                <w:sz w:val="23"/>
                <w:highlight w:val="none"/>
              </w:rPr>
            </w:pPr>
          </w:p>
        </w:tc>
        <w:tc>
          <w:tcPr>
            <w:tcW w:w="1420" w:type="dxa"/>
            <w:gridSpan w:val="3"/>
          </w:tcPr>
          <w:p>
            <w:pPr>
              <w:spacing w:line="440" w:lineRule="exact"/>
              <w:jc w:val="center"/>
              <w:rPr>
                <w:rFonts w:ascii="宋体" w:hAnsi="宋体" w:cs="宋体"/>
                <w:sz w:val="23"/>
                <w:highlight w:val="none"/>
              </w:rPr>
            </w:pPr>
          </w:p>
        </w:tc>
        <w:tc>
          <w:tcPr>
            <w:tcW w:w="1421" w:type="dxa"/>
            <w:gridSpan w:val="3"/>
          </w:tcPr>
          <w:p>
            <w:pPr>
              <w:spacing w:line="440" w:lineRule="exact"/>
              <w:jc w:val="center"/>
              <w:rPr>
                <w:rFonts w:ascii="宋体" w:hAnsi="宋体" w:cs="宋体"/>
                <w:sz w:val="23"/>
                <w:highlight w:val="none"/>
              </w:rPr>
            </w:pPr>
          </w:p>
        </w:tc>
        <w:tc>
          <w:tcPr>
            <w:tcW w:w="1420" w:type="dxa"/>
          </w:tcPr>
          <w:p>
            <w:pPr>
              <w:spacing w:line="440" w:lineRule="exact"/>
              <w:jc w:val="center"/>
              <w:rPr>
                <w:rFonts w:ascii="宋体" w:hAnsi="宋体" w:cs="宋体"/>
                <w:sz w:val="23"/>
                <w:highlight w:val="none"/>
              </w:rPr>
            </w:pPr>
          </w:p>
        </w:tc>
        <w:tc>
          <w:tcPr>
            <w:tcW w:w="1420" w:type="dxa"/>
            <w:gridSpan w:val="3"/>
          </w:tcPr>
          <w:p>
            <w:pPr>
              <w:spacing w:line="440" w:lineRule="exact"/>
              <w:jc w:val="center"/>
              <w:rPr>
                <w:rFonts w:ascii="宋体" w:hAnsi="宋体" w:cs="宋体"/>
                <w:sz w:val="23"/>
                <w:highlight w:val="none"/>
              </w:rPr>
            </w:pPr>
          </w:p>
        </w:tc>
        <w:tc>
          <w:tcPr>
            <w:tcW w:w="1425" w:type="dxa"/>
          </w:tcPr>
          <w:p>
            <w:pPr>
              <w:spacing w:line="440" w:lineRule="exact"/>
              <w:jc w:val="center"/>
              <w:rPr>
                <w:rFonts w:ascii="宋体" w:hAnsi="宋体" w:cs="宋体"/>
                <w:sz w:val="23"/>
                <w:highlight w:val="none"/>
              </w:rPr>
            </w:pPr>
          </w:p>
        </w:tc>
      </w:tr>
    </w:tbl>
    <w:p>
      <w:pPr>
        <w:rPr>
          <w:rFonts w:ascii="宋体" w:hAnsi="宋体" w:cs="宋体"/>
          <w:highlight w:val="none"/>
        </w:rPr>
      </w:pPr>
      <w:bookmarkStart w:id="310" w:name="_Toc451622436"/>
      <w:bookmarkStart w:id="311" w:name="_Toc227984093"/>
      <w:bookmarkStart w:id="312" w:name="_Toc152042595"/>
      <w:bookmarkStart w:id="313" w:name="_Toc482980325"/>
      <w:bookmarkStart w:id="314" w:name="_Toc416273868"/>
      <w:bookmarkStart w:id="315" w:name="_Toc390413393"/>
      <w:bookmarkStart w:id="316" w:name="_Toc416273957"/>
      <w:bookmarkStart w:id="317" w:name="_Toc144974874"/>
      <w:bookmarkStart w:id="318" w:name="_Toc152045806"/>
      <w:r>
        <w:rPr>
          <w:rFonts w:hint="eastAsia" w:ascii="宋体" w:hAnsi="宋体" w:cs="宋体"/>
          <w:highlight w:val="none"/>
        </w:rPr>
        <w:br w:type="page"/>
      </w:r>
    </w:p>
    <w:p>
      <w:pPr>
        <w:pStyle w:val="35"/>
        <w:jc w:val="center"/>
        <w:rPr>
          <w:rFonts w:ascii="宋体" w:hAnsi="宋体" w:eastAsia="宋体" w:cs="宋体"/>
          <w:highlight w:val="none"/>
        </w:rPr>
      </w:pPr>
      <w:r>
        <w:rPr>
          <w:rFonts w:hint="eastAsia" w:ascii="宋体" w:hAnsi="宋体" w:eastAsia="宋体" w:cs="宋体"/>
          <w:highlight w:val="none"/>
        </w:rPr>
        <w:t>七、拟分包项目情况表</w:t>
      </w:r>
      <w:bookmarkEnd w:id="310"/>
      <w:bookmarkEnd w:id="311"/>
      <w:bookmarkEnd w:id="312"/>
      <w:bookmarkEnd w:id="313"/>
      <w:bookmarkEnd w:id="314"/>
      <w:bookmarkEnd w:id="315"/>
      <w:bookmarkEnd w:id="316"/>
      <w:bookmarkEnd w:id="317"/>
      <w:bookmarkEnd w:id="318"/>
    </w:p>
    <w:p>
      <w:pPr>
        <w:spacing w:line="440" w:lineRule="exact"/>
        <w:rPr>
          <w:rFonts w:ascii="宋体" w:hAnsi="宋体" w:cs="宋体"/>
          <w:sz w:val="20"/>
          <w:highlight w:val="none"/>
        </w:rPr>
      </w:pP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7"/>
        <w:gridCol w:w="2354"/>
        <w:gridCol w:w="1786"/>
        <w:gridCol w:w="24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7" w:type="dxa"/>
            <w:vAlign w:val="center"/>
          </w:tcPr>
          <w:p>
            <w:pPr>
              <w:spacing w:line="440" w:lineRule="exact"/>
              <w:jc w:val="center"/>
              <w:rPr>
                <w:rFonts w:ascii="宋体" w:hAnsi="宋体" w:cs="宋体"/>
                <w:highlight w:val="none"/>
              </w:rPr>
            </w:pPr>
            <w:r>
              <w:rPr>
                <w:rFonts w:hint="eastAsia" w:ascii="宋体" w:hAnsi="宋体" w:cs="宋体"/>
                <w:highlight w:val="none"/>
              </w:rPr>
              <w:t>分包人名称</w:t>
            </w:r>
          </w:p>
        </w:tc>
        <w:tc>
          <w:tcPr>
            <w:tcW w:w="2354" w:type="dxa"/>
            <w:vAlign w:val="center"/>
          </w:tcPr>
          <w:p>
            <w:pPr>
              <w:spacing w:line="440" w:lineRule="exact"/>
              <w:jc w:val="center"/>
              <w:rPr>
                <w:rFonts w:ascii="宋体" w:hAnsi="宋体" w:cs="宋体"/>
                <w:highlight w:val="none"/>
              </w:rPr>
            </w:pPr>
          </w:p>
        </w:tc>
        <w:tc>
          <w:tcPr>
            <w:tcW w:w="1786" w:type="dxa"/>
            <w:vAlign w:val="center"/>
          </w:tcPr>
          <w:p>
            <w:pPr>
              <w:spacing w:line="440" w:lineRule="exact"/>
              <w:jc w:val="center"/>
              <w:rPr>
                <w:rFonts w:ascii="宋体" w:hAnsi="宋体" w:cs="宋体"/>
                <w:highlight w:val="none"/>
              </w:rPr>
            </w:pPr>
            <w:r>
              <w:rPr>
                <w:rFonts w:hint="eastAsia" w:ascii="宋体" w:hAnsi="宋体" w:cs="宋体"/>
                <w:highlight w:val="none"/>
              </w:rPr>
              <w:t>地 址</w:t>
            </w:r>
          </w:p>
        </w:tc>
        <w:tc>
          <w:tcPr>
            <w:tcW w:w="2475" w:type="dxa"/>
            <w:vAlign w:val="center"/>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7" w:type="dxa"/>
            <w:vAlign w:val="center"/>
          </w:tcPr>
          <w:p>
            <w:pPr>
              <w:spacing w:line="440" w:lineRule="exact"/>
              <w:jc w:val="center"/>
              <w:rPr>
                <w:rFonts w:ascii="宋体" w:hAnsi="宋体" w:cs="宋体"/>
                <w:highlight w:val="none"/>
              </w:rPr>
            </w:pPr>
            <w:r>
              <w:rPr>
                <w:rFonts w:hint="eastAsia" w:ascii="宋体" w:hAnsi="宋体" w:cs="宋体"/>
                <w:highlight w:val="none"/>
              </w:rPr>
              <w:t>法定代表人</w:t>
            </w:r>
          </w:p>
        </w:tc>
        <w:tc>
          <w:tcPr>
            <w:tcW w:w="2354" w:type="dxa"/>
            <w:vAlign w:val="center"/>
          </w:tcPr>
          <w:p>
            <w:pPr>
              <w:spacing w:line="440" w:lineRule="exact"/>
              <w:jc w:val="center"/>
              <w:rPr>
                <w:rFonts w:ascii="宋体" w:hAnsi="宋体" w:cs="宋体"/>
                <w:highlight w:val="none"/>
              </w:rPr>
            </w:pPr>
          </w:p>
        </w:tc>
        <w:tc>
          <w:tcPr>
            <w:tcW w:w="1786" w:type="dxa"/>
            <w:vAlign w:val="center"/>
          </w:tcPr>
          <w:p>
            <w:pPr>
              <w:spacing w:line="440" w:lineRule="exact"/>
              <w:jc w:val="center"/>
              <w:rPr>
                <w:rFonts w:ascii="宋体" w:hAnsi="宋体" w:cs="宋体"/>
                <w:highlight w:val="none"/>
              </w:rPr>
            </w:pPr>
            <w:r>
              <w:rPr>
                <w:rFonts w:hint="eastAsia" w:ascii="宋体" w:hAnsi="宋体" w:cs="宋体"/>
                <w:highlight w:val="none"/>
              </w:rPr>
              <w:t>电 话</w:t>
            </w:r>
          </w:p>
        </w:tc>
        <w:tc>
          <w:tcPr>
            <w:tcW w:w="2475" w:type="dxa"/>
            <w:vAlign w:val="center"/>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7" w:type="dxa"/>
            <w:vAlign w:val="center"/>
          </w:tcPr>
          <w:p>
            <w:pPr>
              <w:spacing w:line="440" w:lineRule="exact"/>
              <w:jc w:val="center"/>
              <w:rPr>
                <w:rFonts w:ascii="宋体" w:hAnsi="宋体" w:cs="宋体"/>
                <w:highlight w:val="none"/>
              </w:rPr>
            </w:pPr>
            <w:r>
              <w:rPr>
                <w:rFonts w:hint="eastAsia" w:ascii="宋体" w:hAnsi="宋体" w:cs="宋体"/>
                <w:highlight w:val="none"/>
              </w:rPr>
              <w:t>营业执照号码</w:t>
            </w:r>
          </w:p>
        </w:tc>
        <w:tc>
          <w:tcPr>
            <w:tcW w:w="2354" w:type="dxa"/>
            <w:vAlign w:val="center"/>
          </w:tcPr>
          <w:p>
            <w:pPr>
              <w:spacing w:line="440" w:lineRule="exact"/>
              <w:jc w:val="center"/>
              <w:rPr>
                <w:rFonts w:ascii="宋体" w:hAnsi="宋体" w:cs="宋体"/>
                <w:highlight w:val="none"/>
              </w:rPr>
            </w:pPr>
          </w:p>
        </w:tc>
        <w:tc>
          <w:tcPr>
            <w:tcW w:w="1786" w:type="dxa"/>
            <w:vAlign w:val="center"/>
          </w:tcPr>
          <w:p>
            <w:pPr>
              <w:spacing w:line="440" w:lineRule="exact"/>
              <w:jc w:val="center"/>
              <w:rPr>
                <w:rFonts w:ascii="宋体" w:hAnsi="宋体" w:cs="宋体"/>
                <w:highlight w:val="none"/>
              </w:rPr>
            </w:pPr>
            <w:r>
              <w:rPr>
                <w:rFonts w:hint="eastAsia" w:ascii="宋体" w:hAnsi="宋体" w:cs="宋体"/>
                <w:highlight w:val="none"/>
              </w:rPr>
              <w:t>资质等级</w:t>
            </w:r>
          </w:p>
        </w:tc>
        <w:tc>
          <w:tcPr>
            <w:tcW w:w="2475" w:type="dxa"/>
            <w:vAlign w:val="center"/>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907" w:type="dxa"/>
            <w:vAlign w:val="center"/>
          </w:tcPr>
          <w:p>
            <w:pPr>
              <w:spacing w:line="440" w:lineRule="exact"/>
              <w:jc w:val="center"/>
              <w:rPr>
                <w:rFonts w:ascii="宋体" w:hAnsi="宋体" w:cs="宋体"/>
                <w:highlight w:val="none"/>
              </w:rPr>
            </w:pPr>
            <w:r>
              <w:rPr>
                <w:rFonts w:hint="eastAsia" w:ascii="宋体" w:hAnsi="宋体" w:cs="宋体"/>
                <w:highlight w:val="none"/>
              </w:rPr>
              <w:t>拟分包的工程项目</w:t>
            </w:r>
          </w:p>
        </w:tc>
        <w:tc>
          <w:tcPr>
            <w:tcW w:w="2354" w:type="dxa"/>
            <w:vAlign w:val="center"/>
          </w:tcPr>
          <w:p>
            <w:pPr>
              <w:spacing w:line="440" w:lineRule="exact"/>
              <w:jc w:val="center"/>
              <w:rPr>
                <w:rFonts w:ascii="宋体" w:hAnsi="宋体" w:cs="宋体"/>
                <w:highlight w:val="none"/>
              </w:rPr>
            </w:pPr>
            <w:r>
              <w:rPr>
                <w:rFonts w:hint="eastAsia" w:ascii="宋体" w:hAnsi="宋体" w:cs="宋体"/>
                <w:highlight w:val="none"/>
              </w:rPr>
              <w:t>主 要 内 容</w:t>
            </w:r>
          </w:p>
        </w:tc>
        <w:tc>
          <w:tcPr>
            <w:tcW w:w="1786" w:type="dxa"/>
            <w:vAlign w:val="center"/>
          </w:tcPr>
          <w:p>
            <w:pPr>
              <w:spacing w:line="440" w:lineRule="exact"/>
              <w:jc w:val="center"/>
              <w:rPr>
                <w:rFonts w:ascii="宋体" w:hAnsi="宋体" w:cs="宋体"/>
                <w:highlight w:val="none"/>
              </w:rPr>
            </w:pPr>
            <w:r>
              <w:rPr>
                <w:rFonts w:hint="eastAsia" w:ascii="宋体" w:hAnsi="宋体" w:cs="宋体"/>
                <w:highlight w:val="none"/>
              </w:rPr>
              <w:t>预计造价（万元）</w:t>
            </w:r>
          </w:p>
        </w:tc>
        <w:tc>
          <w:tcPr>
            <w:tcW w:w="2475" w:type="dxa"/>
            <w:vAlign w:val="center"/>
          </w:tcPr>
          <w:p>
            <w:pPr>
              <w:spacing w:line="440" w:lineRule="exact"/>
              <w:jc w:val="center"/>
              <w:rPr>
                <w:rFonts w:ascii="宋体" w:hAnsi="宋体" w:cs="宋体"/>
                <w:highlight w:val="none"/>
              </w:rPr>
            </w:pPr>
            <w:r>
              <w:rPr>
                <w:rFonts w:hint="eastAsia" w:ascii="宋体" w:hAnsi="宋体" w:cs="宋体"/>
                <w:highlight w:val="none"/>
              </w:rPr>
              <w:t>已经做过的类似工程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907" w:type="dxa"/>
            <w:vAlign w:val="center"/>
          </w:tcPr>
          <w:p>
            <w:pPr>
              <w:spacing w:line="440" w:lineRule="exact"/>
              <w:jc w:val="center"/>
              <w:rPr>
                <w:rFonts w:ascii="宋体" w:hAnsi="宋体" w:cs="宋体"/>
                <w:highlight w:val="none"/>
              </w:rPr>
            </w:pPr>
          </w:p>
        </w:tc>
        <w:tc>
          <w:tcPr>
            <w:tcW w:w="2354" w:type="dxa"/>
            <w:vAlign w:val="center"/>
          </w:tcPr>
          <w:p>
            <w:pPr>
              <w:spacing w:line="440" w:lineRule="exact"/>
              <w:jc w:val="center"/>
              <w:rPr>
                <w:rFonts w:ascii="宋体" w:hAnsi="宋体" w:cs="宋体"/>
                <w:highlight w:val="none"/>
              </w:rPr>
            </w:pPr>
          </w:p>
        </w:tc>
        <w:tc>
          <w:tcPr>
            <w:tcW w:w="1786" w:type="dxa"/>
            <w:vAlign w:val="center"/>
          </w:tcPr>
          <w:p>
            <w:pPr>
              <w:spacing w:line="440" w:lineRule="exact"/>
              <w:jc w:val="center"/>
              <w:rPr>
                <w:rFonts w:ascii="宋体" w:hAnsi="宋体" w:cs="宋体"/>
                <w:highlight w:val="none"/>
              </w:rPr>
            </w:pPr>
          </w:p>
        </w:tc>
        <w:tc>
          <w:tcPr>
            <w:tcW w:w="2475" w:type="dxa"/>
            <w:vMerge w:val="restart"/>
            <w:vAlign w:val="center"/>
          </w:tcPr>
          <w:p>
            <w:pPr>
              <w:spacing w:line="440" w:lineRule="exact"/>
              <w:jc w:val="center"/>
              <w:rPr>
                <w:rFonts w:ascii="宋体" w:hAnsi="宋体" w:cs="宋体"/>
                <w:highlight w:val="none"/>
              </w:rPr>
            </w:pPr>
          </w:p>
          <w:p>
            <w:pPr>
              <w:spacing w:line="440" w:lineRule="exact"/>
              <w:jc w:val="center"/>
              <w:rPr>
                <w:rFonts w:ascii="宋体" w:hAnsi="宋体" w:cs="宋体"/>
                <w:highlight w:val="none"/>
              </w:rPr>
            </w:pPr>
          </w:p>
          <w:p>
            <w:pPr>
              <w:spacing w:line="440" w:lineRule="exact"/>
              <w:jc w:val="center"/>
              <w:rPr>
                <w:rFonts w:ascii="宋体" w:hAnsi="宋体" w:cs="宋体"/>
                <w:highlight w:val="none"/>
              </w:rPr>
            </w:pPr>
          </w:p>
          <w:p>
            <w:pPr>
              <w:spacing w:line="440" w:lineRule="exact"/>
              <w:jc w:val="center"/>
              <w:rPr>
                <w:rFonts w:ascii="宋体" w:hAnsi="宋体" w:cs="宋体"/>
                <w:highlight w:val="none"/>
              </w:rPr>
            </w:pPr>
          </w:p>
          <w:p>
            <w:pPr>
              <w:spacing w:line="440" w:lineRule="exact"/>
              <w:jc w:val="center"/>
              <w:rPr>
                <w:rFonts w:ascii="宋体" w:hAnsi="宋体" w:cs="宋体"/>
                <w:highlight w:val="none"/>
              </w:rPr>
            </w:pPr>
          </w:p>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907" w:type="dxa"/>
            <w:vAlign w:val="center"/>
          </w:tcPr>
          <w:p>
            <w:pPr>
              <w:spacing w:line="440" w:lineRule="exact"/>
              <w:jc w:val="center"/>
              <w:rPr>
                <w:rFonts w:ascii="宋体" w:hAnsi="宋体" w:cs="宋体"/>
                <w:highlight w:val="none"/>
              </w:rPr>
            </w:pPr>
          </w:p>
        </w:tc>
        <w:tc>
          <w:tcPr>
            <w:tcW w:w="2354" w:type="dxa"/>
            <w:vAlign w:val="center"/>
          </w:tcPr>
          <w:p>
            <w:pPr>
              <w:spacing w:line="440" w:lineRule="exact"/>
              <w:jc w:val="center"/>
              <w:rPr>
                <w:rFonts w:ascii="宋体" w:hAnsi="宋体" w:cs="宋体"/>
                <w:highlight w:val="none"/>
              </w:rPr>
            </w:pPr>
          </w:p>
        </w:tc>
        <w:tc>
          <w:tcPr>
            <w:tcW w:w="1786" w:type="dxa"/>
            <w:vAlign w:val="center"/>
          </w:tcPr>
          <w:p>
            <w:pPr>
              <w:spacing w:line="440" w:lineRule="exact"/>
              <w:jc w:val="center"/>
              <w:rPr>
                <w:rFonts w:ascii="宋体" w:hAnsi="宋体" w:cs="宋体"/>
                <w:highlight w:val="none"/>
              </w:rPr>
            </w:pPr>
          </w:p>
        </w:tc>
        <w:tc>
          <w:tcPr>
            <w:tcW w:w="2475" w:type="dxa"/>
            <w:vMerge w:val="continue"/>
            <w:vAlign w:val="center"/>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907" w:type="dxa"/>
            <w:vAlign w:val="center"/>
          </w:tcPr>
          <w:p>
            <w:pPr>
              <w:spacing w:line="440" w:lineRule="exact"/>
              <w:jc w:val="center"/>
              <w:rPr>
                <w:rFonts w:ascii="宋体" w:hAnsi="宋体" w:cs="宋体"/>
                <w:highlight w:val="none"/>
              </w:rPr>
            </w:pPr>
          </w:p>
        </w:tc>
        <w:tc>
          <w:tcPr>
            <w:tcW w:w="2354" w:type="dxa"/>
            <w:vAlign w:val="center"/>
          </w:tcPr>
          <w:p>
            <w:pPr>
              <w:spacing w:line="440" w:lineRule="exact"/>
              <w:jc w:val="center"/>
              <w:rPr>
                <w:rFonts w:ascii="宋体" w:hAnsi="宋体" w:cs="宋体"/>
                <w:highlight w:val="none"/>
              </w:rPr>
            </w:pPr>
          </w:p>
        </w:tc>
        <w:tc>
          <w:tcPr>
            <w:tcW w:w="1786" w:type="dxa"/>
            <w:vAlign w:val="center"/>
          </w:tcPr>
          <w:p>
            <w:pPr>
              <w:spacing w:line="440" w:lineRule="exact"/>
              <w:jc w:val="center"/>
              <w:rPr>
                <w:rFonts w:ascii="宋体" w:hAnsi="宋体" w:cs="宋体"/>
                <w:highlight w:val="none"/>
              </w:rPr>
            </w:pPr>
          </w:p>
        </w:tc>
        <w:tc>
          <w:tcPr>
            <w:tcW w:w="2475" w:type="dxa"/>
            <w:vMerge w:val="continue"/>
            <w:vAlign w:val="center"/>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907" w:type="dxa"/>
            <w:vAlign w:val="center"/>
          </w:tcPr>
          <w:p>
            <w:pPr>
              <w:spacing w:line="440" w:lineRule="exact"/>
              <w:jc w:val="center"/>
              <w:rPr>
                <w:rFonts w:ascii="宋体" w:hAnsi="宋体" w:cs="宋体"/>
                <w:highlight w:val="none"/>
              </w:rPr>
            </w:pPr>
          </w:p>
        </w:tc>
        <w:tc>
          <w:tcPr>
            <w:tcW w:w="2354" w:type="dxa"/>
            <w:vAlign w:val="center"/>
          </w:tcPr>
          <w:p>
            <w:pPr>
              <w:spacing w:line="440" w:lineRule="exact"/>
              <w:jc w:val="center"/>
              <w:rPr>
                <w:rFonts w:ascii="宋体" w:hAnsi="宋体" w:cs="宋体"/>
                <w:highlight w:val="none"/>
              </w:rPr>
            </w:pPr>
          </w:p>
        </w:tc>
        <w:tc>
          <w:tcPr>
            <w:tcW w:w="1786" w:type="dxa"/>
            <w:vAlign w:val="center"/>
          </w:tcPr>
          <w:p>
            <w:pPr>
              <w:spacing w:line="440" w:lineRule="exact"/>
              <w:jc w:val="center"/>
              <w:rPr>
                <w:rFonts w:ascii="宋体" w:hAnsi="宋体" w:cs="宋体"/>
                <w:highlight w:val="none"/>
              </w:rPr>
            </w:pPr>
          </w:p>
        </w:tc>
        <w:tc>
          <w:tcPr>
            <w:tcW w:w="2475" w:type="dxa"/>
            <w:vMerge w:val="continue"/>
            <w:vAlign w:val="center"/>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1907" w:type="dxa"/>
            <w:vAlign w:val="center"/>
          </w:tcPr>
          <w:p>
            <w:pPr>
              <w:spacing w:line="440" w:lineRule="exact"/>
              <w:jc w:val="center"/>
              <w:rPr>
                <w:rFonts w:ascii="宋体" w:hAnsi="宋体" w:cs="宋体"/>
                <w:highlight w:val="none"/>
              </w:rPr>
            </w:pPr>
          </w:p>
        </w:tc>
        <w:tc>
          <w:tcPr>
            <w:tcW w:w="2354" w:type="dxa"/>
            <w:vAlign w:val="center"/>
          </w:tcPr>
          <w:p>
            <w:pPr>
              <w:spacing w:line="440" w:lineRule="exact"/>
              <w:jc w:val="center"/>
              <w:rPr>
                <w:rFonts w:ascii="宋体" w:hAnsi="宋体" w:cs="宋体"/>
                <w:highlight w:val="none"/>
              </w:rPr>
            </w:pPr>
          </w:p>
        </w:tc>
        <w:tc>
          <w:tcPr>
            <w:tcW w:w="1786" w:type="dxa"/>
            <w:vAlign w:val="center"/>
          </w:tcPr>
          <w:p>
            <w:pPr>
              <w:spacing w:line="440" w:lineRule="exact"/>
              <w:jc w:val="center"/>
              <w:rPr>
                <w:rFonts w:ascii="宋体" w:hAnsi="宋体" w:cs="宋体"/>
                <w:highlight w:val="none"/>
              </w:rPr>
            </w:pPr>
          </w:p>
        </w:tc>
        <w:tc>
          <w:tcPr>
            <w:tcW w:w="2475" w:type="dxa"/>
            <w:vMerge w:val="continue"/>
            <w:vAlign w:val="center"/>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907" w:type="dxa"/>
            <w:vAlign w:val="center"/>
          </w:tcPr>
          <w:p>
            <w:pPr>
              <w:spacing w:line="440" w:lineRule="exact"/>
              <w:jc w:val="center"/>
              <w:rPr>
                <w:rFonts w:ascii="宋体" w:hAnsi="宋体" w:cs="宋体"/>
                <w:highlight w:val="none"/>
              </w:rPr>
            </w:pPr>
          </w:p>
        </w:tc>
        <w:tc>
          <w:tcPr>
            <w:tcW w:w="2354" w:type="dxa"/>
            <w:vAlign w:val="center"/>
          </w:tcPr>
          <w:p>
            <w:pPr>
              <w:spacing w:line="440" w:lineRule="exact"/>
              <w:jc w:val="center"/>
              <w:rPr>
                <w:rFonts w:ascii="宋体" w:hAnsi="宋体" w:cs="宋体"/>
                <w:highlight w:val="none"/>
              </w:rPr>
            </w:pPr>
          </w:p>
        </w:tc>
        <w:tc>
          <w:tcPr>
            <w:tcW w:w="1786" w:type="dxa"/>
            <w:vAlign w:val="center"/>
          </w:tcPr>
          <w:p>
            <w:pPr>
              <w:spacing w:line="440" w:lineRule="exact"/>
              <w:jc w:val="center"/>
              <w:rPr>
                <w:rFonts w:ascii="宋体" w:hAnsi="宋体" w:cs="宋体"/>
                <w:highlight w:val="none"/>
              </w:rPr>
            </w:pPr>
          </w:p>
        </w:tc>
        <w:tc>
          <w:tcPr>
            <w:tcW w:w="2475" w:type="dxa"/>
            <w:vMerge w:val="continue"/>
            <w:vAlign w:val="center"/>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907" w:type="dxa"/>
            <w:vAlign w:val="center"/>
          </w:tcPr>
          <w:p>
            <w:pPr>
              <w:spacing w:line="440" w:lineRule="exact"/>
              <w:jc w:val="center"/>
              <w:rPr>
                <w:rFonts w:ascii="宋体" w:hAnsi="宋体" w:cs="宋体"/>
                <w:highlight w:val="none"/>
              </w:rPr>
            </w:pPr>
          </w:p>
        </w:tc>
        <w:tc>
          <w:tcPr>
            <w:tcW w:w="2354" w:type="dxa"/>
            <w:vAlign w:val="center"/>
          </w:tcPr>
          <w:p>
            <w:pPr>
              <w:spacing w:line="440" w:lineRule="exact"/>
              <w:jc w:val="center"/>
              <w:rPr>
                <w:rFonts w:ascii="宋体" w:hAnsi="宋体" w:cs="宋体"/>
                <w:highlight w:val="none"/>
              </w:rPr>
            </w:pPr>
          </w:p>
        </w:tc>
        <w:tc>
          <w:tcPr>
            <w:tcW w:w="1786" w:type="dxa"/>
            <w:vAlign w:val="center"/>
          </w:tcPr>
          <w:p>
            <w:pPr>
              <w:spacing w:line="440" w:lineRule="exact"/>
              <w:jc w:val="center"/>
              <w:rPr>
                <w:rFonts w:ascii="宋体" w:hAnsi="宋体" w:cs="宋体"/>
                <w:highlight w:val="none"/>
              </w:rPr>
            </w:pPr>
          </w:p>
        </w:tc>
        <w:tc>
          <w:tcPr>
            <w:tcW w:w="2475" w:type="dxa"/>
            <w:vMerge w:val="continue"/>
            <w:vAlign w:val="center"/>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907" w:type="dxa"/>
            <w:vAlign w:val="center"/>
          </w:tcPr>
          <w:p>
            <w:pPr>
              <w:spacing w:line="440" w:lineRule="exact"/>
              <w:jc w:val="center"/>
              <w:rPr>
                <w:rFonts w:ascii="宋体" w:hAnsi="宋体" w:cs="宋体"/>
                <w:highlight w:val="none"/>
              </w:rPr>
            </w:pPr>
          </w:p>
        </w:tc>
        <w:tc>
          <w:tcPr>
            <w:tcW w:w="2354" w:type="dxa"/>
            <w:vAlign w:val="center"/>
          </w:tcPr>
          <w:p>
            <w:pPr>
              <w:spacing w:line="440" w:lineRule="exact"/>
              <w:jc w:val="center"/>
              <w:rPr>
                <w:rFonts w:ascii="宋体" w:hAnsi="宋体" w:cs="宋体"/>
                <w:highlight w:val="none"/>
              </w:rPr>
            </w:pPr>
          </w:p>
        </w:tc>
        <w:tc>
          <w:tcPr>
            <w:tcW w:w="1786" w:type="dxa"/>
            <w:vAlign w:val="center"/>
          </w:tcPr>
          <w:p>
            <w:pPr>
              <w:spacing w:line="440" w:lineRule="exact"/>
              <w:jc w:val="center"/>
              <w:rPr>
                <w:rFonts w:ascii="宋体" w:hAnsi="宋体" w:cs="宋体"/>
                <w:highlight w:val="none"/>
              </w:rPr>
            </w:pPr>
          </w:p>
        </w:tc>
        <w:tc>
          <w:tcPr>
            <w:tcW w:w="2475" w:type="dxa"/>
            <w:vMerge w:val="continue"/>
            <w:vAlign w:val="center"/>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907" w:type="dxa"/>
            <w:vAlign w:val="center"/>
          </w:tcPr>
          <w:p>
            <w:pPr>
              <w:spacing w:line="440" w:lineRule="exact"/>
              <w:jc w:val="center"/>
              <w:rPr>
                <w:rFonts w:ascii="宋体" w:hAnsi="宋体" w:cs="宋体"/>
                <w:highlight w:val="none"/>
              </w:rPr>
            </w:pPr>
          </w:p>
        </w:tc>
        <w:tc>
          <w:tcPr>
            <w:tcW w:w="2354" w:type="dxa"/>
            <w:vAlign w:val="center"/>
          </w:tcPr>
          <w:p>
            <w:pPr>
              <w:spacing w:line="440" w:lineRule="exact"/>
              <w:jc w:val="center"/>
              <w:rPr>
                <w:rFonts w:ascii="宋体" w:hAnsi="宋体" w:cs="宋体"/>
                <w:highlight w:val="none"/>
              </w:rPr>
            </w:pPr>
          </w:p>
        </w:tc>
        <w:tc>
          <w:tcPr>
            <w:tcW w:w="1786" w:type="dxa"/>
            <w:vAlign w:val="center"/>
          </w:tcPr>
          <w:p>
            <w:pPr>
              <w:spacing w:line="440" w:lineRule="exact"/>
              <w:jc w:val="center"/>
              <w:rPr>
                <w:rFonts w:ascii="宋体" w:hAnsi="宋体" w:cs="宋体"/>
                <w:highlight w:val="none"/>
              </w:rPr>
            </w:pPr>
          </w:p>
        </w:tc>
        <w:tc>
          <w:tcPr>
            <w:tcW w:w="2475" w:type="dxa"/>
            <w:vMerge w:val="continue"/>
            <w:vAlign w:val="center"/>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907" w:type="dxa"/>
            <w:vAlign w:val="center"/>
          </w:tcPr>
          <w:p>
            <w:pPr>
              <w:spacing w:line="440" w:lineRule="exact"/>
              <w:jc w:val="center"/>
              <w:rPr>
                <w:rFonts w:ascii="宋体" w:hAnsi="宋体" w:cs="宋体"/>
                <w:highlight w:val="none"/>
              </w:rPr>
            </w:pPr>
          </w:p>
        </w:tc>
        <w:tc>
          <w:tcPr>
            <w:tcW w:w="2354" w:type="dxa"/>
            <w:vAlign w:val="center"/>
          </w:tcPr>
          <w:p>
            <w:pPr>
              <w:spacing w:line="440" w:lineRule="exact"/>
              <w:jc w:val="center"/>
              <w:rPr>
                <w:rFonts w:ascii="宋体" w:hAnsi="宋体" w:cs="宋体"/>
                <w:highlight w:val="none"/>
              </w:rPr>
            </w:pPr>
          </w:p>
        </w:tc>
        <w:tc>
          <w:tcPr>
            <w:tcW w:w="1786" w:type="dxa"/>
            <w:vAlign w:val="center"/>
          </w:tcPr>
          <w:p>
            <w:pPr>
              <w:spacing w:line="440" w:lineRule="exact"/>
              <w:jc w:val="center"/>
              <w:rPr>
                <w:rFonts w:ascii="宋体" w:hAnsi="宋体" w:cs="宋体"/>
                <w:highlight w:val="none"/>
              </w:rPr>
            </w:pPr>
          </w:p>
        </w:tc>
        <w:tc>
          <w:tcPr>
            <w:tcW w:w="2475" w:type="dxa"/>
            <w:vMerge w:val="continue"/>
            <w:vAlign w:val="center"/>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907" w:type="dxa"/>
            <w:vAlign w:val="center"/>
          </w:tcPr>
          <w:p>
            <w:pPr>
              <w:spacing w:line="440" w:lineRule="exact"/>
              <w:jc w:val="center"/>
              <w:rPr>
                <w:rFonts w:ascii="宋体" w:hAnsi="宋体" w:cs="宋体"/>
                <w:highlight w:val="none"/>
              </w:rPr>
            </w:pPr>
          </w:p>
        </w:tc>
        <w:tc>
          <w:tcPr>
            <w:tcW w:w="2354" w:type="dxa"/>
            <w:vAlign w:val="center"/>
          </w:tcPr>
          <w:p>
            <w:pPr>
              <w:spacing w:line="440" w:lineRule="exact"/>
              <w:jc w:val="center"/>
              <w:rPr>
                <w:rFonts w:ascii="宋体" w:hAnsi="宋体" w:cs="宋体"/>
                <w:highlight w:val="none"/>
              </w:rPr>
            </w:pPr>
          </w:p>
        </w:tc>
        <w:tc>
          <w:tcPr>
            <w:tcW w:w="1786" w:type="dxa"/>
            <w:vAlign w:val="center"/>
          </w:tcPr>
          <w:p>
            <w:pPr>
              <w:spacing w:line="440" w:lineRule="exact"/>
              <w:jc w:val="center"/>
              <w:rPr>
                <w:rFonts w:ascii="宋体" w:hAnsi="宋体" w:cs="宋体"/>
                <w:highlight w:val="none"/>
              </w:rPr>
            </w:pPr>
          </w:p>
        </w:tc>
        <w:tc>
          <w:tcPr>
            <w:tcW w:w="2475" w:type="dxa"/>
            <w:vMerge w:val="continue"/>
            <w:vAlign w:val="center"/>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907" w:type="dxa"/>
            <w:vAlign w:val="center"/>
          </w:tcPr>
          <w:p>
            <w:pPr>
              <w:spacing w:line="440" w:lineRule="exact"/>
              <w:jc w:val="center"/>
              <w:rPr>
                <w:rFonts w:ascii="宋体" w:hAnsi="宋体" w:cs="宋体"/>
                <w:highlight w:val="none"/>
              </w:rPr>
            </w:pPr>
          </w:p>
        </w:tc>
        <w:tc>
          <w:tcPr>
            <w:tcW w:w="2354" w:type="dxa"/>
            <w:vAlign w:val="center"/>
          </w:tcPr>
          <w:p>
            <w:pPr>
              <w:spacing w:line="440" w:lineRule="exact"/>
              <w:jc w:val="center"/>
              <w:rPr>
                <w:rFonts w:ascii="宋体" w:hAnsi="宋体" w:cs="宋体"/>
                <w:highlight w:val="none"/>
              </w:rPr>
            </w:pPr>
          </w:p>
        </w:tc>
        <w:tc>
          <w:tcPr>
            <w:tcW w:w="1786" w:type="dxa"/>
            <w:vAlign w:val="center"/>
          </w:tcPr>
          <w:p>
            <w:pPr>
              <w:spacing w:line="440" w:lineRule="exact"/>
              <w:jc w:val="center"/>
              <w:rPr>
                <w:rFonts w:ascii="宋体" w:hAnsi="宋体" w:cs="宋体"/>
                <w:highlight w:val="none"/>
              </w:rPr>
            </w:pPr>
          </w:p>
        </w:tc>
        <w:tc>
          <w:tcPr>
            <w:tcW w:w="2475" w:type="dxa"/>
            <w:vMerge w:val="continue"/>
            <w:vAlign w:val="center"/>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907" w:type="dxa"/>
            <w:vAlign w:val="center"/>
          </w:tcPr>
          <w:p>
            <w:pPr>
              <w:spacing w:line="440" w:lineRule="exact"/>
              <w:jc w:val="center"/>
              <w:rPr>
                <w:rFonts w:ascii="宋体" w:hAnsi="宋体" w:cs="宋体"/>
                <w:highlight w:val="none"/>
              </w:rPr>
            </w:pPr>
          </w:p>
        </w:tc>
        <w:tc>
          <w:tcPr>
            <w:tcW w:w="2354" w:type="dxa"/>
            <w:vAlign w:val="center"/>
          </w:tcPr>
          <w:p>
            <w:pPr>
              <w:spacing w:line="440" w:lineRule="exact"/>
              <w:jc w:val="center"/>
              <w:rPr>
                <w:rFonts w:ascii="宋体" w:hAnsi="宋体" w:cs="宋体"/>
                <w:highlight w:val="none"/>
              </w:rPr>
            </w:pPr>
          </w:p>
        </w:tc>
        <w:tc>
          <w:tcPr>
            <w:tcW w:w="1786" w:type="dxa"/>
            <w:vAlign w:val="center"/>
          </w:tcPr>
          <w:p>
            <w:pPr>
              <w:spacing w:line="440" w:lineRule="exact"/>
              <w:jc w:val="center"/>
              <w:rPr>
                <w:rFonts w:ascii="宋体" w:hAnsi="宋体" w:cs="宋体"/>
                <w:highlight w:val="none"/>
              </w:rPr>
            </w:pPr>
          </w:p>
        </w:tc>
        <w:tc>
          <w:tcPr>
            <w:tcW w:w="2475" w:type="dxa"/>
            <w:vMerge w:val="continue"/>
            <w:vAlign w:val="center"/>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907" w:type="dxa"/>
            <w:vAlign w:val="center"/>
          </w:tcPr>
          <w:p>
            <w:pPr>
              <w:spacing w:line="440" w:lineRule="exact"/>
              <w:jc w:val="center"/>
              <w:rPr>
                <w:rFonts w:ascii="宋体" w:hAnsi="宋体" w:cs="宋体"/>
                <w:highlight w:val="none"/>
              </w:rPr>
            </w:pPr>
          </w:p>
        </w:tc>
        <w:tc>
          <w:tcPr>
            <w:tcW w:w="2354" w:type="dxa"/>
            <w:vAlign w:val="center"/>
          </w:tcPr>
          <w:p>
            <w:pPr>
              <w:spacing w:line="440" w:lineRule="exact"/>
              <w:jc w:val="center"/>
              <w:rPr>
                <w:rFonts w:ascii="宋体" w:hAnsi="宋体" w:cs="宋体"/>
                <w:highlight w:val="none"/>
              </w:rPr>
            </w:pPr>
          </w:p>
        </w:tc>
        <w:tc>
          <w:tcPr>
            <w:tcW w:w="1786" w:type="dxa"/>
            <w:vAlign w:val="center"/>
          </w:tcPr>
          <w:p>
            <w:pPr>
              <w:spacing w:line="440" w:lineRule="exact"/>
              <w:jc w:val="center"/>
              <w:rPr>
                <w:rFonts w:ascii="宋体" w:hAnsi="宋体" w:cs="宋体"/>
                <w:highlight w:val="none"/>
              </w:rPr>
            </w:pPr>
          </w:p>
        </w:tc>
        <w:tc>
          <w:tcPr>
            <w:tcW w:w="2475" w:type="dxa"/>
            <w:vMerge w:val="continue"/>
            <w:vAlign w:val="center"/>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907" w:type="dxa"/>
            <w:vAlign w:val="center"/>
          </w:tcPr>
          <w:p>
            <w:pPr>
              <w:spacing w:line="440" w:lineRule="exact"/>
              <w:jc w:val="center"/>
              <w:rPr>
                <w:rFonts w:ascii="宋体" w:hAnsi="宋体" w:cs="宋体"/>
                <w:highlight w:val="none"/>
              </w:rPr>
            </w:pPr>
          </w:p>
        </w:tc>
        <w:tc>
          <w:tcPr>
            <w:tcW w:w="2354" w:type="dxa"/>
            <w:vAlign w:val="center"/>
          </w:tcPr>
          <w:p>
            <w:pPr>
              <w:spacing w:line="440" w:lineRule="exact"/>
              <w:jc w:val="center"/>
              <w:rPr>
                <w:rFonts w:ascii="宋体" w:hAnsi="宋体" w:cs="宋体"/>
                <w:highlight w:val="none"/>
              </w:rPr>
            </w:pPr>
          </w:p>
        </w:tc>
        <w:tc>
          <w:tcPr>
            <w:tcW w:w="1786" w:type="dxa"/>
            <w:vAlign w:val="center"/>
          </w:tcPr>
          <w:p>
            <w:pPr>
              <w:spacing w:line="440" w:lineRule="exact"/>
              <w:jc w:val="center"/>
              <w:rPr>
                <w:rFonts w:ascii="宋体" w:hAnsi="宋体" w:cs="宋体"/>
                <w:highlight w:val="none"/>
              </w:rPr>
            </w:pPr>
          </w:p>
        </w:tc>
        <w:tc>
          <w:tcPr>
            <w:tcW w:w="2475" w:type="dxa"/>
            <w:vMerge w:val="continue"/>
            <w:vAlign w:val="center"/>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907" w:type="dxa"/>
            <w:vAlign w:val="center"/>
          </w:tcPr>
          <w:p>
            <w:pPr>
              <w:spacing w:line="440" w:lineRule="exact"/>
              <w:jc w:val="center"/>
              <w:rPr>
                <w:rFonts w:ascii="宋体" w:hAnsi="宋体" w:cs="宋体"/>
                <w:highlight w:val="none"/>
              </w:rPr>
            </w:pPr>
          </w:p>
        </w:tc>
        <w:tc>
          <w:tcPr>
            <w:tcW w:w="2354" w:type="dxa"/>
            <w:vAlign w:val="center"/>
          </w:tcPr>
          <w:p>
            <w:pPr>
              <w:spacing w:line="440" w:lineRule="exact"/>
              <w:jc w:val="center"/>
              <w:rPr>
                <w:rFonts w:ascii="宋体" w:hAnsi="宋体" w:cs="宋体"/>
                <w:highlight w:val="none"/>
              </w:rPr>
            </w:pPr>
          </w:p>
        </w:tc>
        <w:tc>
          <w:tcPr>
            <w:tcW w:w="1786" w:type="dxa"/>
            <w:vAlign w:val="center"/>
          </w:tcPr>
          <w:p>
            <w:pPr>
              <w:spacing w:line="440" w:lineRule="exact"/>
              <w:jc w:val="center"/>
              <w:rPr>
                <w:rFonts w:ascii="宋体" w:hAnsi="宋体" w:cs="宋体"/>
                <w:highlight w:val="none"/>
              </w:rPr>
            </w:pPr>
          </w:p>
        </w:tc>
        <w:tc>
          <w:tcPr>
            <w:tcW w:w="2475" w:type="dxa"/>
            <w:vMerge w:val="continue"/>
            <w:vAlign w:val="center"/>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907" w:type="dxa"/>
            <w:vAlign w:val="center"/>
          </w:tcPr>
          <w:p>
            <w:pPr>
              <w:spacing w:line="440" w:lineRule="exact"/>
              <w:jc w:val="center"/>
              <w:rPr>
                <w:rFonts w:ascii="宋体" w:hAnsi="宋体" w:cs="宋体"/>
                <w:highlight w:val="none"/>
              </w:rPr>
            </w:pPr>
          </w:p>
        </w:tc>
        <w:tc>
          <w:tcPr>
            <w:tcW w:w="2354" w:type="dxa"/>
            <w:vAlign w:val="center"/>
          </w:tcPr>
          <w:p>
            <w:pPr>
              <w:spacing w:line="440" w:lineRule="exact"/>
              <w:jc w:val="center"/>
              <w:rPr>
                <w:rFonts w:ascii="宋体" w:hAnsi="宋体" w:cs="宋体"/>
                <w:highlight w:val="none"/>
              </w:rPr>
            </w:pPr>
          </w:p>
        </w:tc>
        <w:tc>
          <w:tcPr>
            <w:tcW w:w="1786" w:type="dxa"/>
            <w:vAlign w:val="center"/>
          </w:tcPr>
          <w:p>
            <w:pPr>
              <w:spacing w:line="440" w:lineRule="exact"/>
              <w:jc w:val="center"/>
              <w:rPr>
                <w:rFonts w:ascii="宋体" w:hAnsi="宋体" w:cs="宋体"/>
                <w:highlight w:val="none"/>
              </w:rPr>
            </w:pPr>
          </w:p>
        </w:tc>
        <w:tc>
          <w:tcPr>
            <w:tcW w:w="2475" w:type="dxa"/>
            <w:vMerge w:val="continue"/>
            <w:vAlign w:val="center"/>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907" w:type="dxa"/>
            <w:vAlign w:val="center"/>
          </w:tcPr>
          <w:p>
            <w:pPr>
              <w:spacing w:line="440" w:lineRule="exact"/>
              <w:jc w:val="center"/>
              <w:rPr>
                <w:rFonts w:ascii="宋体" w:hAnsi="宋体" w:cs="宋体"/>
                <w:highlight w:val="none"/>
              </w:rPr>
            </w:pPr>
          </w:p>
        </w:tc>
        <w:tc>
          <w:tcPr>
            <w:tcW w:w="2354" w:type="dxa"/>
            <w:vAlign w:val="center"/>
          </w:tcPr>
          <w:p>
            <w:pPr>
              <w:spacing w:line="440" w:lineRule="exact"/>
              <w:jc w:val="center"/>
              <w:rPr>
                <w:rFonts w:ascii="宋体" w:hAnsi="宋体" w:cs="宋体"/>
                <w:highlight w:val="none"/>
              </w:rPr>
            </w:pPr>
          </w:p>
        </w:tc>
        <w:tc>
          <w:tcPr>
            <w:tcW w:w="1786" w:type="dxa"/>
            <w:vAlign w:val="center"/>
          </w:tcPr>
          <w:p>
            <w:pPr>
              <w:spacing w:line="440" w:lineRule="exact"/>
              <w:jc w:val="center"/>
              <w:rPr>
                <w:rFonts w:ascii="宋体" w:hAnsi="宋体" w:cs="宋体"/>
                <w:highlight w:val="none"/>
              </w:rPr>
            </w:pPr>
          </w:p>
        </w:tc>
        <w:tc>
          <w:tcPr>
            <w:tcW w:w="2475" w:type="dxa"/>
            <w:vMerge w:val="continue"/>
            <w:vAlign w:val="center"/>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907" w:type="dxa"/>
            <w:vAlign w:val="center"/>
          </w:tcPr>
          <w:p>
            <w:pPr>
              <w:spacing w:line="440" w:lineRule="exact"/>
              <w:jc w:val="center"/>
              <w:rPr>
                <w:rFonts w:ascii="宋体" w:hAnsi="宋体" w:cs="宋体"/>
                <w:highlight w:val="none"/>
              </w:rPr>
            </w:pPr>
          </w:p>
        </w:tc>
        <w:tc>
          <w:tcPr>
            <w:tcW w:w="2354" w:type="dxa"/>
            <w:vAlign w:val="center"/>
          </w:tcPr>
          <w:p>
            <w:pPr>
              <w:spacing w:line="440" w:lineRule="exact"/>
              <w:jc w:val="center"/>
              <w:rPr>
                <w:rFonts w:ascii="宋体" w:hAnsi="宋体" w:cs="宋体"/>
                <w:highlight w:val="none"/>
              </w:rPr>
            </w:pPr>
          </w:p>
        </w:tc>
        <w:tc>
          <w:tcPr>
            <w:tcW w:w="1786" w:type="dxa"/>
            <w:vAlign w:val="center"/>
          </w:tcPr>
          <w:p>
            <w:pPr>
              <w:spacing w:line="440" w:lineRule="exact"/>
              <w:jc w:val="center"/>
              <w:rPr>
                <w:rFonts w:ascii="宋体" w:hAnsi="宋体" w:cs="宋体"/>
                <w:highlight w:val="none"/>
              </w:rPr>
            </w:pPr>
          </w:p>
        </w:tc>
        <w:tc>
          <w:tcPr>
            <w:tcW w:w="2475" w:type="dxa"/>
            <w:vMerge w:val="continue"/>
            <w:vAlign w:val="center"/>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907" w:type="dxa"/>
            <w:vAlign w:val="center"/>
          </w:tcPr>
          <w:p>
            <w:pPr>
              <w:spacing w:line="440" w:lineRule="exact"/>
              <w:jc w:val="center"/>
              <w:rPr>
                <w:rFonts w:ascii="宋体" w:hAnsi="宋体" w:cs="宋体"/>
                <w:highlight w:val="none"/>
              </w:rPr>
            </w:pPr>
          </w:p>
        </w:tc>
        <w:tc>
          <w:tcPr>
            <w:tcW w:w="2354" w:type="dxa"/>
            <w:vAlign w:val="center"/>
          </w:tcPr>
          <w:p>
            <w:pPr>
              <w:spacing w:line="440" w:lineRule="exact"/>
              <w:jc w:val="center"/>
              <w:rPr>
                <w:rFonts w:ascii="宋体" w:hAnsi="宋体" w:cs="宋体"/>
                <w:highlight w:val="none"/>
              </w:rPr>
            </w:pPr>
          </w:p>
        </w:tc>
        <w:tc>
          <w:tcPr>
            <w:tcW w:w="1786" w:type="dxa"/>
            <w:vAlign w:val="center"/>
          </w:tcPr>
          <w:p>
            <w:pPr>
              <w:spacing w:line="440" w:lineRule="exact"/>
              <w:jc w:val="center"/>
              <w:rPr>
                <w:rFonts w:ascii="宋体" w:hAnsi="宋体" w:cs="宋体"/>
                <w:highlight w:val="none"/>
              </w:rPr>
            </w:pPr>
          </w:p>
        </w:tc>
        <w:tc>
          <w:tcPr>
            <w:tcW w:w="2475" w:type="dxa"/>
            <w:vMerge w:val="continue"/>
            <w:vAlign w:val="center"/>
          </w:tcPr>
          <w:p>
            <w:pPr>
              <w:spacing w:line="440" w:lineRule="exact"/>
              <w:jc w:val="center"/>
              <w:rPr>
                <w:rFonts w:ascii="宋体"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907" w:type="dxa"/>
            <w:vAlign w:val="center"/>
          </w:tcPr>
          <w:p>
            <w:pPr>
              <w:spacing w:line="440" w:lineRule="exact"/>
              <w:jc w:val="center"/>
              <w:rPr>
                <w:rFonts w:ascii="宋体" w:hAnsi="宋体" w:cs="宋体"/>
                <w:highlight w:val="none"/>
              </w:rPr>
            </w:pPr>
          </w:p>
        </w:tc>
        <w:tc>
          <w:tcPr>
            <w:tcW w:w="2354" w:type="dxa"/>
            <w:vAlign w:val="center"/>
          </w:tcPr>
          <w:p>
            <w:pPr>
              <w:spacing w:line="440" w:lineRule="exact"/>
              <w:jc w:val="center"/>
              <w:rPr>
                <w:rFonts w:ascii="宋体" w:hAnsi="宋体" w:cs="宋体"/>
                <w:highlight w:val="none"/>
              </w:rPr>
            </w:pPr>
          </w:p>
        </w:tc>
        <w:tc>
          <w:tcPr>
            <w:tcW w:w="1786" w:type="dxa"/>
            <w:vAlign w:val="center"/>
          </w:tcPr>
          <w:p>
            <w:pPr>
              <w:spacing w:line="440" w:lineRule="exact"/>
              <w:jc w:val="center"/>
              <w:rPr>
                <w:rFonts w:ascii="宋体" w:hAnsi="宋体" w:cs="宋体"/>
                <w:highlight w:val="none"/>
              </w:rPr>
            </w:pPr>
          </w:p>
        </w:tc>
        <w:tc>
          <w:tcPr>
            <w:tcW w:w="2475" w:type="dxa"/>
            <w:vMerge w:val="continue"/>
            <w:vAlign w:val="center"/>
          </w:tcPr>
          <w:p>
            <w:pPr>
              <w:spacing w:line="440" w:lineRule="exact"/>
              <w:jc w:val="center"/>
              <w:rPr>
                <w:rFonts w:ascii="宋体" w:hAnsi="宋体" w:cs="宋体"/>
                <w:highlight w:val="none"/>
              </w:rPr>
            </w:pPr>
          </w:p>
        </w:tc>
      </w:tr>
    </w:tbl>
    <w:p>
      <w:pPr>
        <w:spacing w:line="440" w:lineRule="exact"/>
        <w:jc w:val="center"/>
        <w:rPr>
          <w:rFonts w:ascii="宋体" w:hAnsi="宋体" w:cs="宋体"/>
          <w:sz w:val="27"/>
          <w:highlight w:val="none"/>
        </w:rPr>
      </w:pPr>
    </w:p>
    <w:p>
      <w:pPr>
        <w:rPr>
          <w:rFonts w:ascii="宋体" w:hAnsi="宋体" w:cs="宋体"/>
          <w:highlight w:val="none"/>
        </w:rPr>
      </w:pPr>
      <w:bookmarkStart w:id="319" w:name="_Toc482980326"/>
      <w:r>
        <w:rPr>
          <w:rFonts w:hint="eastAsia" w:ascii="宋体" w:hAnsi="宋体" w:cs="宋体"/>
          <w:highlight w:val="none"/>
        </w:rPr>
        <w:br w:type="page"/>
      </w:r>
    </w:p>
    <w:p>
      <w:pPr>
        <w:pStyle w:val="35"/>
        <w:spacing w:line="360" w:lineRule="auto"/>
        <w:jc w:val="center"/>
        <w:rPr>
          <w:rFonts w:ascii="宋体" w:hAnsi="宋体" w:eastAsia="宋体" w:cs="宋体"/>
          <w:highlight w:val="none"/>
        </w:rPr>
      </w:pPr>
      <w:r>
        <w:rPr>
          <w:rFonts w:hint="eastAsia" w:ascii="宋体" w:hAnsi="宋体" w:eastAsia="宋体" w:cs="宋体"/>
          <w:highlight w:val="none"/>
        </w:rPr>
        <w:t>八、资格审查资料</w:t>
      </w:r>
      <w:bookmarkEnd w:id="319"/>
    </w:p>
    <w:p>
      <w:pPr>
        <w:pStyle w:val="18"/>
        <w:rPr>
          <w:rFonts w:hAnsi="宋体" w:eastAsia="宋体" w:cs="宋体"/>
          <w:highlight w:val="none"/>
        </w:rPr>
      </w:pPr>
    </w:p>
    <w:p>
      <w:pPr>
        <w:pStyle w:val="18"/>
        <w:rPr>
          <w:rFonts w:hAnsi="宋体" w:eastAsia="宋体" w:cs="宋体"/>
          <w:highlight w:val="none"/>
        </w:rPr>
      </w:pPr>
    </w:p>
    <w:p>
      <w:pPr>
        <w:rPr>
          <w:rFonts w:ascii="宋体" w:hAnsi="宋体" w:cs="宋体"/>
          <w:highlight w:val="none"/>
        </w:rPr>
      </w:pPr>
      <w:bookmarkStart w:id="320" w:name="_Toc482980327"/>
      <w:r>
        <w:rPr>
          <w:rFonts w:hint="eastAsia" w:ascii="宋体" w:hAnsi="宋体" w:cs="宋体"/>
          <w:highlight w:val="none"/>
        </w:rPr>
        <w:br w:type="page"/>
      </w:r>
    </w:p>
    <w:p>
      <w:pPr>
        <w:pStyle w:val="35"/>
        <w:jc w:val="center"/>
        <w:rPr>
          <w:rFonts w:ascii="宋体" w:hAnsi="宋体" w:eastAsia="宋体" w:cs="宋体"/>
          <w:b/>
          <w:bCs/>
          <w:highlight w:val="none"/>
        </w:rPr>
      </w:pPr>
      <w:r>
        <w:rPr>
          <w:rFonts w:hint="eastAsia" w:ascii="宋体" w:hAnsi="宋体" w:eastAsia="宋体" w:cs="宋体"/>
          <w:b/>
          <w:bCs/>
          <w:highlight w:val="none"/>
        </w:rPr>
        <w:t>九、其他材料</w:t>
      </w:r>
      <w:bookmarkEnd w:id="320"/>
    </w:p>
    <w:p>
      <w:pPr>
        <w:jc w:val="left"/>
        <w:rPr>
          <w:rFonts w:ascii="宋体" w:hAnsi="宋体" w:cs="宋体"/>
          <w:sz w:val="24"/>
          <w:szCs w:val="24"/>
          <w:highlight w:val="none"/>
        </w:rPr>
      </w:pPr>
    </w:p>
    <w:p>
      <w:pPr>
        <w:spacing w:line="360" w:lineRule="auto"/>
        <w:jc w:val="left"/>
        <w:rPr>
          <w:rFonts w:hint="eastAsia" w:ascii="宋体" w:hAnsi="宋体" w:eastAsia="宋体" w:cs="宋体"/>
          <w:b/>
          <w:bCs/>
          <w:sz w:val="24"/>
          <w:szCs w:val="24"/>
          <w:highlight w:val="none"/>
          <w:lang w:val="en-US" w:eastAsia="zh-CN"/>
        </w:rPr>
      </w:pPr>
      <w:r>
        <w:rPr>
          <w:rFonts w:hint="eastAsia" w:ascii="宋体" w:hAnsi="宋体" w:cs="宋体"/>
          <w:sz w:val="24"/>
          <w:szCs w:val="24"/>
          <w:highlight w:val="none"/>
        </w:rPr>
        <w:t>1.承诺书</w:t>
      </w:r>
      <w:r>
        <w:rPr>
          <w:rFonts w:hint="default" w:ascii="Calibri" w:hAnsi="Calibri" w:cs="Calibri"/>
          <w:sz w:val="24"/>
          <w:szCs w:val="24"/>
          <w:highlight w:val="none"/>
        </w:rPr>
        <w:t>①</w:t>
      </w:r>
    </w:p>
    <w:p>
      <w:pPr>
        <w:spacing w:line="360" w:lineRule="auto"/>
        <w:jc w:val="center"/>
        <w:rPr>
          <w:rFonts w:ascii="宋体" w:hAnsi="宋体" w:cs="宋体"/>
          <w:sz w:val="24"/>
          <w:szCs w:val="24"/>
          <w:highlight w:val="none"/>
        </w:rPr>
      </w:pPr>
      <w:r>
        <w:rPr>
          <w:rFonts w:hint="eastAsia" w:ascii="宋体" w:hAnsi="宋体" w:cs="宋体"/>
          <w:sz w:val="24"/>
          <w:szCs w:val="24"/>
          <w:highlight w:val="none"/>
        </w:rPr>
        <w:t>投标单位廉政承诺书</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为充分体现公开、公平、公正、诚实信用原则，维护招标采购环节秩序，本单位承诺在参与项目投标过程中无任何违法、违规、违纪行为，自觉接受监督。承诺如下：</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1、不以不正当手段向招标人谋取资格预审及投标的不正当照顾。</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2、不使用不正当手段妨碍、排挤其他投标单位。</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3、严格按照招标文件规定的方式进行投标，不隐瞒本单位任何真实情况。不以其他人名义投标或以其他方式弄虚作假，骗取中标。</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4、不与其他投标人相互串标，不联合其他单位进行围标。</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不以任何方式向招标相关人员或评标人员赠送礼品、礼金、有价证券等；不宴请或邀请招标相关人员参加娱乐消费、旅游等活动；不以任何形式报销招标相关人员及其亲友的各种票据、费用。不向任何涉及招标的部门和个人支付好处费、介绍费等，或购置、提供通讯工具、交通工具、各类电子设备等。</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6、一旦发现招标相关人员在招标过程中有不廉洁行为，立即向招标方举报。</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7、中标后及时与招标人按招投标文件签订合同，不订立背离合同实质性内容的协议。</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8、自愿将本承诺作为投标文件及合同的附件，具有同等法律效力。</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9、若出现违反上述承诺或有关法律、法规及贵单位相关规定，三年内不参与贵单位所有采购项目投标，无条件承担招标人或相关部门在各类媒体公开我单位“不诚信或不廉洁”信息所造成的一切后果。并承担贵单位相关损失以及一切法律责任。</w:t>
      </w:r>
    </w:p>
    <w:p>
      <w:pPr>
        <w:spacing w:line="360" w:lineRule="auto"/>
        <w:rPr>
          <w:rFonts w:ascii="宋体" w:hAnsi="宋体" w:cs="宋体"/>
          <w:sz w:val="24"/>
          <w:szCs w:val="24"/>
          <w:highlight w:val="none"/>
        </w:rPr>
      </w:pPr>
    </w:p>
    <w:p>
      <w:pPr>
        <w:spacing w:line="360" w:lineRule="auto"/>
        <w:ind w:firstLine="3480" w:firstLineChars="1450"/>
        <w:rPr>
          <w:rFonts w:ascii="宋体" w:hAnsi="宋体" w:cs="宋体"/>
          <w:sz w:val="24"/>
          <w:szCs w:val="24"/>
          <w:highlight w:val="none"/>
        </w:rPr>
      </w:pPr>
      <w:r>
        <w:rPr>
          <w:rFonts w:hint="eastAsia" w:ascii="宋体" w:hAnsi="宋体" w:cs="宋体"/>
          <w:sz w:val="24"/>
          <w:szCs w:val="24"/>
          <w:highlight w:val="none"/>
        </w:rPr>
        <w:t>法定代表人（签名）：</w:t>
      </w:r>
    </w:p>
    <w:p>
      <w:pPr>
        <w:spacing w:line="360" w:lineRule="auto"/>
        <w:ind w:firstLine="3480" w:firstLineChars="1450"/>
        <w:rPr>
          <w:rFonts w:ascii="宋体" w:hAnsi="宋体" w:cs="宋体"/>
          <w:sz w:val="24"/>
          <w:szCs w:val="24"/>
          <w:highlight w:val="none"/>
        </w:rPr>
      </w:pPr>
      <w:r>
        <w:rPr>
          <w:rFonts w:hint="eastAsia" w:ascii="宋体" w:hAnsi="宋体" w:cs="宋体"/>
          <w:sz w:val="24"/>
          <w:szCs w:val="24"/>
          <w:highlight w:val="none"/>
        </w:rPr>
        <w:t>单位盖章：</w:t>
      </w:r>
    </w:p>
    <w:p>
      <w:pPr>
        <w:spacing w:line="360" w:lineRule="auto"/>
        <w:ind w:firstLine="3480" w:firstLineChars="1450"/>
        <w:rPr>
          <w:rFonts w:ascii="宋体" w:hAnsi="宋体" w:cs="宋体"/>
          <w:sz w:val="24"/>
          <w:szCs w:val="24"/>
          <w:highlight w:val="none"/>
        </w:rPr>
      </w:pPr>
      <w:r>
        <w:rPr>
          <w:rFonts w:hint="eastAsia" w:ascii="宋体" w:hAnsi="宋体" w:cs="宋体"/>
          <w:sz w:val="24"/>
          <w:szCs w:val="24"/>
          <w:highlight w:val="none"/>
        </w:rPr>
        <w:t>承诺日期：   年  月  日</w:t>
      </w:r>
      <w:r>
        <w:rPr>
          <w:rFonts w:hint="eastAsia" w:ascii="宋体" w:hAnsi="宋体" w:cs="宋体"/>
          <w:sz w:val="24"/>
          <w:szCs w:val="24"/>
          <w:highlight w:val="none"/>
        </w:rPr>
        <w:br w:type="page"/>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cs="宋体"/>
          <w:sz w:val="24"/>
          <w:szCs w:val="24"/>
          <w:highlight w:val="none"/>
        </w:rPr>
      </w:pPr>
      <w:r>
        <w:rPr>
          <w:rFonts w:hint="eastAsia" w:asciiTheme="minorEastAsia" w:hAnsiTheme="minorEastAsia" w:eastAsiaTheme="minorEastAsia" w:cstheme="minorEastAsia"/>
          <w:b w:val="0"/>
          <w:bCs w:val="0"/>
          <w:kern w:val="0"/>
          <w:sz w:val="24"/>
          <w:szCs w:val="24"/>
          <w:highlight w:val="none"/>
          <w:lang w:val="en-US" w:eastAsia="zh-CN"/>
        </w:rPr>
        <w:t>2</w:t>
      </w:r>
      <w:r>
        <w:rPr>
          <w:rFonts w:hint="eastAsia" w:ascii="宋体" w:hAnsi="宋体" w:cs="宋体"/>
          <w:sz w:val="24"/>
          <w:szCs w:val="24"/>
          <w:highlight w:val="none"/>
        </w:rPr>
        <w:t>.承诺书</w:t>
      </w:r>
      <w:r>
        <w:rPr>
          <w:rFonts w:hint="default" w:ascii="Calibri" w:hAnsi="Calibri" w:cs="Calibri"/>
          <w:sz w:val="24"/>
          <w:szCs w:val="24"/>
          <w:highlight w:val="none"/>
        </w:rPr>
        <w:t>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cs="宋体"/>
          <w:sz w:val="24"/>
          <w:szCs w:val="24"/>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i w:val="0"/>
          <w:caps w:val="0"/>
          <w:color w:val="333333"/>
          <w:spacing w:val="0"/>
          <w:kern w:val="2"/>
          <w:sz w:val="24"/>
          <w:szCs w:val="24"/>
          <w:highlight w:val="none"/>
          <w:shd w:val="clear" w:fill="FFFFFF"/>
          <w:lang w:val="en-US" w:eastAsia="zh-CN" w:bidi="ar-SA"/>
        </w:rPr>
      </w:pPr>
      <w:r>
        <w:rPr>
          <w:rFonts w:hint="eastAsia" w:asciiTheme="minorEastAsia" w:hAnsiTheme="minorEastAsia" w:eastAsiaTheme="minorEastAsia" w:cstheme="minorEastAsia"/>
          <w:b/>
          <w:bCs/>
          <w:kern w:val="0"/>
          <w:sz w:val="24"/>
          <w:szCs w:val="24"/>
          <w:highlight w:val="none"/>
          <w:lang w:val="zh-CN"/>
        </w:rPr>
        <w:t>不存在与参加本项目的其他供应商</w:t>
      </w:r>
      <w:r>
        <w:rPr>
          <w:rFonts w:hint="eastAsia" w:asciiTheme="minorEastAsia" w:hAnsiTheme="minorEastAsia" w:eastAsiaTheme="minorEastAsia" w:cstheme="minorEastAsia"/>
          <w:b/>
          <w:bCs/>
          <w:i w:val="0"/>
          <w:caps w:val="0"/>
          <w:color w:val="333333"/>
          <w:spacing w:val="0"/>
          <w:kern w:val="2"/>
          <w:sz w:val="24"/>
          <w:szCs w:val="24"/>
          <w:highlight w:val="none"/>
          <w:shd w:val="clear" w:fill="FFFFFF"/>
          <w:lang w:val="zh-CN" w:eastAsia="zh-CN" w:bidi="ar-SA"/>
        </w:rPr>
        <w:t>单位负责人为同一人或者存在直接控股、管理关系</w:t>
      </w:r>
      <w:r>
        <w:rPr>
          <w:rFonts w:hint="eastAsia" w:asciiTheme="minorEastAsia" w:hAnsiTheme="minorEastAsia" w:eastAsiaTheme="minorEastAsia" w:cstheme="minorEastAsia"/>
          <w:b/>
          <w:bCs/>
          <w:i w:val="0"/>
          <w:caps w:val="0"/>
          <w:color w:val="333333"/>
          <w:spacing w:val="0"/>
          <w:kern w:val="2"/>
          <w:sz w:val="24"/>
          <w:szCs w:val="24"/>
          <w:highlight w:val="none"/>
          <w:shd w:val="clear" w:fill="FFFFFF"/>
          <w:lang w:val="en-US" w:eastAsia="zh-CN" w:bidi="ar-SA"/>
        </w:rPr>
        <w:t>的承诺书</w:t>
      </w:r>
    </w:p>
    <w:p>
      <w:pPr>
        <w:pStyle w:val="2"/>
        <w:widowControl w:val="0"/>
        <w:numPr>
          <w:ilvl w:val="0"/>
          <w:numId w:val="0"/>
        </w:numPr>
        <w:spacing w:after="120" w:line="480" w:lineRule="auto"/>
        <w:jc w:val="both"/>
        <w:rPr>
          <w:rFonts w:hint="eastAsia"/>
          <w:highlight w:val="none"/>
          <w:lang w:val="en-US" w:eastAsia="zh-CN"/>
        </w:rPr>
      </w:pPr>
    </w:p>
    <w:p>
      <w:pPr>
        <w:pStyle w:val="2"/>
        <w:ind w:left="0" w:leftChars="0"/>
        <w:rPr>
          <w:highlight w:val="none"/>
        </w:rPr>
      </w:pPr>
    </w:p>
    <w:p>
      <w:pPr>
        <w:pStyle w:val="3"/>
        <w:rPr>
          <w:highlight w:val="none"/>
        </w:rPr>
      </w:pPr>
    </w:p>
    <w:p>
      <w:pPr>
        <w:pStyle w:val="3"/>
        <w:spacing w:before="0" w:after="0" w:line="360" w:lineRule="auto"/>
        <w:ind w:left="0" w:firstLine="0"/>
        <w:jc w:val="both"/>
        <w:rPr>
          <w:sz w:val="24"/>
          <w:szCs w:val="24"/>
          <w:highlight w:val="none"/>
        </w:rPr>
      </w:pPr>
      <w:r>
        <w:rPr>
          <w:rFonts w:hint="eastAsia"/>
          <w:sz w:val="24"/>
          <w:szCs w:val="24"/>
          <w:highlight w:val="none"/>
        </w:rPr>
        <w:t>致中国药科大学、南京金鼎工程造价评估有限公司：</w:t>
      </w:r>
    </w:p>
    <w:p>
      <w:pPr>
        <w:spacing w:line="360" w:lineRule="auto"/>
        <w:rPr>
          <w:rFonts w:ascii="宋体" w:hAnsi="宋体" w:cs="宋体"/>
          <w:sz w:val="24"/>
          <w:szCs w:val="24"/>
          <w:highlight w:val="none"/>
        </w:rPr>
      </w:pP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本单位</w:t>
      </w:r>
      <w:r>
        <w:rPr>
          <w:rFonts w:hint="eastAsia" w:ascii="宋体" w:hAnsi="宋体" w:cs="宋体"/>
          <w:sz w:val="24"/>
          <w:szCs w:val="24"/>
          <w:highlight w:val="none"/>
          <w:u w:val="single"/>
        </w:rPr>
        <w:t xml:space="preserve">（公司名称） </w:t>
      </w:r>
      <w:r>
        <w:rPr>
          <w:rFonts w:hint="eastAsia" w:ascii="宋体" w:hAnsi="宋体" w:cs="宋体"/>
          <w:sz w:val="24"/>
          <w:szCs w:val="24"/>
          <w:highlight w:val="none"/>
        </w:rPr>
        <w:t>郑重承诺对于</w:t>
      </w:r>
      <w:r>
        <w:rPr>
          <w:rFonts w:hint="eastAsia" w:ascii="宋体" w:hAnsi="宋体" w:cs="宋体"/>
          <w:sz w:val="24"/>
          <w:szCs w:val="24"/>
          <w:highlight w:val="none"/>
          <w:u w:val="single"/>
        </w:rPr>
        <w:t xml:space="preserve"> （项目名称） </w:t>
      </w:r>
      <w:r>
        <w:rPr>
          <w:rFonts w:hint="eastAsia" w:ascii="宋体" w:hAnsi="宋体" w:cs="宋体"/>
          <w:sz w:val="24"/>
          <w:szCs w:val="24"/>
          <w:highlight w:val="none"/>
        </w:rPr>
        <w:t>采购活动不存在与参加本项目的其他供应商单位负责人为同一人或者存在直接控股、管理关系的情况。</w:t>
      </w:r>
    </w:p>
    <w:p>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如存在与参加本项目的其他供应商单位负责人为同一人或者存在直接控股、管理关系的情况，将无条件承担所有由此造成的后果和给招标人造成的一切损失。</w:t>
      </w:r>
    </w:p>
    <w:p>
      <w:pPr>
        <w:spacing w:line="360" w:lineRule="auto"/>
        <w:rPr>
          <w:rFonts w:ascii="宋体" w:hAnsi="宋体" w:cs="宋体"/>
          <w:sz w:val="24"/>
          <w:szCs w:val="24"/>
          <w:highlight w:val="none"/>
        </w:rPr>
      </w:pPr>
    </w:p>
    <w:p>
      <w:pPr>
        <w:spacing w:line="360" w:lineRule="auto"/>
        <w:jc w:val="left"/>
        <w:rPr>
          <w:rFonts w:ascii="宋体" w:hAnsi="宋体" w:cs="宋体"/>
          <w:sz w:val="24"/>
          <w:szCs w:val="24"/>
          <w:highlight w:val="none"/>
        </w:rPr>
      </w:pPr>
    </w:p>
    <w:p>
      <w:pPr>
        <w:spacing w:line="360" w:lineRule="auto"/>
        <w:ind w:firstLine="3480" w:firstLineChars="1450"/>
        <w:jc w:val="left"/>
        <w:rPr>
          <w:rFonts w:ascii="宋体" w:hAnsi="宋体" w:cs="宋体"/>
          <w:sz w:val="24"/>
          <w:szCs w:val="24"/>
          <w:highlight w:val="none"/>
        </w:rPr>
      </w:pPr>
      <w:r>
        <w:rPr>
          <w:rFonts w:hint="eastAsia" w:ascii="宋体" w:hAnsi="宋体" w:cs="宋体"/>
          <w:sz w:val="24"/>
          <w:szCs w:val="24"/>
          <w:highlight w:val="none"/>
        </w:rPr>
        <w:t>法定代表人（签名）：</w:t>
      </w:r>
    </w:p>
    <w:p>
      <w:pPr>
        <w:spacing w:line="360" w:lineRule="auto"/>
        <w:ind w:firstLine="3480" w:firstLineChars="1450"/>
        <w:jc w:val="left"/>
        <w:rPr>
          <w:rFonts w:ascii="宋体" w:hAnsi="宋体" w:cs="宋体"/>
          <w:sz w:val="24"/>
          <w:szCs w:val="24"/>
          <w:highlight w:val="none"/>
        </w:rPr>
      </w:pPr>
      <w:r>
        <w:rPr>
          <w:rFonts w:hint="eastAsia" w:ascii="宋体" w:hAnsi="宋体" w:cs="宋体"/>
          <w:sz w:val="24"/>
          <w:szCs w:val="24"/>
          <w:highlight w:val="none"/>
        </w:rPr>
        <w:t>单位盖章：</w:t>
      </w:r>
    </w:p>
    <w:p>
      <w:pPr>
        <w:spacing w:line="360" w:lineRule="auto"/>
        <w:ind w:firstLine="3600" w:firstLineChars="1500"/>
        <w:jc w:val="left"/>
        <w:rPr>
          <w:rFonts w:ascii="宋体" w:hAnsi="宋体" w:cs="宋体"/>
          <w:sz w:val="24"/>
          <w:szCs w:val="24"/>
          <w:highlight w:val="none"/>
        </w:rPr>
      </w:pPr>
      <w:r>
        <w:rPr>
          <w:rFonts w:hint="eastAsia" w:ascii="宋体" w:hAnsi="宋体" w:cs="宋体"/>
          <w:sz w:val="24"/>
          <w:szCs w:val="24"/>
          <w:highlight w:val="none"/>
        </w:rPr>
        <w:t>承诺日期：   年  月  日</w:t>
      </w:r>
      <w:r>
        <w:rPr>
          <w:rFonts w:hint="eastAsia" w:ascii="宋体" w:hAnsi="宋体" w:cs="宋体"/>
          <w:sz w:val="24"/>
          <w:szCs w:val="24"/>
          <w:highlight w:val="none"/>
        </w:rPr>
        <w:br w:type="page"/>
      </w:r>
    </w:p>
    <w:p>
      <w:pPr>
        <w:pStyle w:val="2"/>
        <w:numPr>
          <w:ilvl w:val="0"/>
          <w:numId w:val="0"/>
        </w:numPr>
        <w:ind w:left="420" w:leftChars="0"/>
        <w:rPr>
          <w:rFonts w:hint="eastAsia" w:ascii="宋体" w:hAnsi="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cs="宋体"/>
          <w:sz w:val="24"/>
          <w:szCs w:val="24"/>
          <w:highlight w:val="none"/>
        </w:rPr>
        <w:t>其他材料</w:t>
      </w:r>
    </w:p>
    <w:p>
      <w:pPr>
        <w:pStyle w:val="3"/>
        <w:numPr>
          <w:ilvl w:val="0"/>
          <w:numId w:val="0"/>
        </w:numPr>
        <w:ind w:left="420" w:leftChars="0"/>
        <w:jc w:val="both"/>
        <w:rPr>
          <w:rFonts w:hint="eastAsia" w:hAnsi="宋体" w:cs="宋体"/>
          <w:b/>
          <w:bCs/>
          <w:sz w:val="24"/>
          <w:szCs w:val="24"/>
          <w:highlight w:val="none"/>
          <w:lang w:eastAsia="zh-CN"/>
        </w:rPr>
      </w:pPr>
      <w:r>
        <w:rPr>
          <w:rFonts w:hint="eastAsia" w:ascii="宋体" w:hAnsi="宋体" w:cs="宋体"/>
          <w:b/>
          <w:bCs/>
          <w:sz w:val="24"/>
          <w:szCs w:val="24"/>
          <w:highlight w:val="none"/>
        </w:rPr>
        <w:t>附件</w:t>
      </w:r>
      <w:r>
        <w:rPr>
          <w:rFonts w:hint="eastAsia" w:hAnsi="宋体" w:cs="宋体"/>
          <w:b/>
          <w:bCs/>
          <w:sz w:val="24"/>
          <w:szCs w:val="24"/>
          <w:highlight w:val="none"/>
          <w:lang w:eastAsia="zh-CN"/>
        </w:rPr>
        <w:t>一、中小企业声明函（工程、服务）</w:t>
      </w:r>
    </w:p>
    <w:p>
      <w:pPr>
        <w:pStyle w:val="4"/>
        <w:rPr>
          <w:rFonts w:hint="eastAsia"/>
          <w:highlight w:val="none"/>
          <w:lang w:eastAsia="zh-CN"/>
        </w:rPr>
      </w:pP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中小企业声明函（工程、服务）</w:t>
      </w:r>
    </w:p>
    <w:p>
      <w:pPr>
        <w:pStyle w:val="2"/>
        <w:rPr>
          <w:rFonts w:hint="eastAsia"/>
          <w:highlight w:val="none"/>
        </w:rPr>
      </w:pPr>
    </w:p>
    <w:p>
      <w:pPr>
        <w:widowControl/>
        <w:spacing w:line="360" w:lineRule="auto"/>
        <w:ind w:firstLine="480" w:firstLineChars="200"/>
        <w:jc w:val="left"/>
        <w:rPr>
          <w:rFonts w:ascii="宋体" w:hAnsi="宋体" w:cs="宋体"/>
          <w:snapToGrid w:val="0"/>
          <w:kern w:val="0"/>
          <w:sz w:val="24"/>
          <w:szCs w:val="24"/>
          <w:highlight w:val="none"/>
        </w:rPr>
      </w:pPr>
      <w:r>
        <w:rPr>
          <w:rFonts w:hint="eastAsia" w:ascii="宋体" w:hAnsi="宋体" w:cs="宋体"/>
          <w:snapToGrid w:val="0"/>
          <w:kern w:val="0"/>
          <w:sz w:val="24"/>
          <w:szCs w:val="24"/>
          <w:highlight w:val="none"/>
        </w:rPr>
        <w:t>本公司（联合体）郑重声明，根据《政府采购促进中小企业发展管理办法》（财库〔2020）46号）的规定，本公司（联合体）参加</w:t>
      </w:r>
      <w:r>
        <w:rPr>
          <w:rFonts w:hint="eastAsia" w:ascii="宋体" w:hAnsi="宋体" w:cs="宋体"/>
          <w:snapToGrid w:val="0"/>
          <w:kern w:val="0"/>
          <w:sz w:val="24"/>
          <w:szCs w:val="24"/>
          <w:highlight w:val="none"/>
          <w:u w:val="single"/>
        </w:rPr>
        <w:t>（单位名称）</w:t>
      </w:r>
      <w:r>
        <w:rPr>
          <w:rFonts w:hint="eastAsia" w:ascii="宋体" w:hAnsi="宋体" w:cs="宋体"/>
          <w:snapToGrid w:val="0"/>
          <w:kern w:val="0"/>
          <w:sz w:val="24"/>
          <w:szCs w:val="24"/>
          <w:highlight w:val="none"/>
        </w:rPr>
        <w:t>的</w:t>
      </w:r>
      <w:r>
        <w:rPr>
          <w:rFonts w:hint="eastAsia" w:ascii="宋体" w:hAnsi="宋体" w:cs="宋体"/>
          <w:snapToGrid w:val="0"/>
          <w:kern w:val="0"/>
          <w:sz w:val="24"/>
          <w:szCs w:val="24"/>
          <w:highlight w:val="none"/>
          <w:u w:val="single"/>
        </w:rPr>
        <w:t>（项目名称）</w:t>
      </w:r>
      <w:r>
        <w:rPr>
          <w:rFonts w:hint="eastAsia" w:ascii="宋体" w:hAnsi="宋体" w:cs="宋体"/>
          <w:snapToGrid w:val="0"/>
          <w:kern w:val="0"/>
          <w:sz w:val="24"/>
          <w:szCs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pPr>
        <w:widowControl/>
        <w:spacing w:line="360" w:lineRule="auto"/>
        <w:ind w:firstLine="480" w:firstLineChars="200"/>
        <w:jc w:val="left"/>
        <w:rPr>
          <w:rFonts w:ascii="宋体" w:hAnsi="宋体" w:cs="宋体"/>
          <w:snapToGrid w:val="0"/>
          <w:kern w:val="0"/>
          <w:sz w:val="24"/>
          <w:szCs w:val="24"/>
          <w:highlight w:val="none"/>
        </w:rPr>
      </w:pPr>
      <w:bookmarkStart w:id="321" w:name="bookmark35"/>
      <w:bookmarkEnd w:id="321"/>
      <w:r>
        <w:rPr>
          <w:rFonts w:hint="eastAsia" w:ascii="宋体" w:hAnsi="宋体" w:cs="宋体"/>
          <w:snapToGrid w:val="0"/>
          <w:kern w:val="0"/>
          <w:sz w:val="24"/>
          <w:szCs w:val="24"/>
          <w:highlight w:val="none"/>
        </w:rPr>
        <w:t>1、</w:t>
      </w:r>
      <w:r>
        <w:rPr>
          <w:rFonts w:hint="eastAsia" w:ascii="宋体" w:hAnsi="宋体" w:cs="宋体"/>
          <w:snapToGrid w:val="0"/>
          <w:kern w:val="0"/>
          <w:sz w:val="24"/>
          <w:szCs w:val="24"/>
          <w:highlight w:val="none"/>
          <w:u w:val="single"/>
        </w:rPr>
        <w:t>（标的名称）</w:t>
      </w:r>
      <w:r>
        <w:rPr>
          <w:rFonts w:hint="eastAsia" w:ascii="宋体" w:hAnsi="宋体" w:cs="宋体"/>
          <w:snapToGrid w:val="0"/>
          <w:kern w:val="0"/>
          <w:sz w:val="24"/>
          <w:szCs w:val="24"/>
          <w:highlight w:val="none"/>
        </w:rPr>
        <w:t>，属于</w:t>
      </w:r>
      <w:r>
        <w:rPr>
          <w:rFonts w:hint="eastAsia" w:ascii="宋体" w:hAnsi="宋体" w:cs="宋体"/>
          <w:snapToGrid w:val="0"/>
          <w:kern w:val="0"/>
          <w:sz w:val="24"/>
          <w:szCs w:val="24"/>
          <w:highlight w:val="none"/>
          <w:u w:val="single"/>
        </w:rPr>
        <w:t>（采购文件中明确的所属行业）</w:t>
      </w:r>
      <w:r>
        <w:rPr>
          <w:rFonts w:hint="eastAsia" w:ascii="宋体" w:hAnsi="宋体" w:cs="宋体"/>
          <w:snapToGrid w:val="0"/>
          <w:kern w:val="0"/>
          <w:sz w:val="24"/>
          <w:szCs w:val="24"/>
          <w:highlight w:val="none"/>
        </w:rPr>
        <w:t>，承建（承接）企业为</w:t>
      </w:r>
      <w:r>
        <w:rPr>
          <w:rFonts w:hint="eastAsia" w:ascii="宋体" w:hAnsi="宋体" w:cs="宋体"/>
          <w:snapToGrid w:val="0"/>
          <w:kern w:val="0"/>
          <w:sz w:val="24"/>
          <w:szCs w:val="24"/>
          <w:highlight w:val="none"/>
          <w:u w:val="single"/>
        </w:rPr>
        <w:t>（企业名称）</w:t>
      </w:r>
      <w:r>
        <w:rPr>
          <w:rFonts w:hint="eastAsia" w:ascii="宋体" w:hAnsi="宋体" w:cs="宋体"/>
          <w:snapToGrid w:val="0"/>
          <w:kern w:val="0"/>
          <w:sz w:val="24"/>
          <w:szCs w:val="24"/>
          <w:highlight w:val="none"/>
        </w:rPr>
        <w:t>，从业人员</w:t>
      </w:r>
      <w:r>
        <w:rPr>
          <w:rFonts w:hint="eastAsia" w:ascii="宋体" w:hAnsi="宋体" w:cs="宋体"/>
          <w:snapToGrid w:val="0"/>
          <w:kern w:val="0"/>
          <w:sz w:val="24"/>
          <w:szCs w:val="24"/>
          <w:highlight w:val="none"/>
          <w:u w:val="single"/>
        </w:rPr>
        <w:tab/>
      </w:r>
      <w:r>
        <w:rPr>
          <w:rFonts w:hint="eastAsia" w:ascii="宋体" w:hAnsi="宋体" w:cs="宋体"/>
          <w:snapToGrid w:val="0"/>
          <w:kern w:val="0"/>
          <w:sz w:val="24"/>
          <w:szCs w:val="24"/>
          <w:highlight w:val="none"/>
        </w:rPr>
        <w:t>人，营业收入为</w:t>
      </w:r>
      <w:r>
        <w:rPr>
          <w:rFonts w:hint="eastAsia" w:ascii="宋体" w:hAnsi="宋体" w:cs="宋体"/>
          <w:snapToGrid w:val="0"/>
          <w:kern w:val="0"/>
          <w:sz w:val="24"/>
          <w:szCs w:val="24"/>
          <w:highlight w:val="none"/>
          <w:u w:val="single"/>
        </w:rPr>
        <w:t xml:space="preserve">    </w:t>
      </w:r>
      <w:r>
        <w:rPr>
          <w:rFonts w:hint="eastAsia" w:ascii="宋体" w:hAnsi="宋体" w:cs="宋体"/>
          <w:snapToGrid w:val="0"/>
          <w:kern w:val="0"/>
          <w:sz w:val="24"/>
          <w:szCs w:val="24"/>
          <w:highlight w:val="none"/>
        </w:rPr>
        <w:t>万元，资产总额为</w:t>
      </w:r>
      <w:r>
        <w:rPr>
          <w:rFonts w:hint="eastAsia" w:ascii="宋体" w:hAnsi="宋体" w:cs="宋体"/>
          <w:snapToGrid w:val="0"/>
          <w:kern w:val="0"/>
          <w:sz w:val="24"/>
          <w:szCs w:val="24"/>
          <w:highlight w:val="none"/>
          <w:u w:val="single"/>
        </w:rPr>
        <w:t xml:space="preserve">    </w:t>
      </w:r>
      <w:r>
        <w:rPr>
          <w:rFonts w:hint="eastAsia" w:ascii="宋体" w:hAnsi="宋体" w:cs="宋体"/>
          <w:snapToGrid w:val="0"/>
          <w:kern w:val="0"/>
          <w:sz w:val="24"/>
          <w:szCs w:val="24"/>
          <w:highlight w:val="none"/>
        </w:rPr>
        <w:t>万元，属于</w:t>
      </w:r>
      <w:r>
        <w:rPr>
          <w:rFonts w:hint="eastAsia" w:ascii="宋体" w:hAnsi="宋体" w:cs="宋体"/>
          <w:snapToGrid w:val="0"/>
          <w:kern w:val="0"/>
          <w:sz w:val="24"/>
          <w:szCs w:val="24"/>
          <w:highlight w:val="none"/>
          <w:u w:val="single"/>
        </w:rPr>
        <w:t>（中型企业、小型企业、微型企业）</w:t>
      </w:r>
      <w:r>
        <w:rPr>
          <w:rFonts w:hint="eastAsia" w:ascii="宋体" w:hAnsi="宋体" w:cs="宋体"/>
          <w:snapToGrid w:val="0"/>
          <w:kern w:val="0"/>
          <w:sz w:val="24"/>
          <w:szCs w:val="24"/>
          <w:highlight w:val="none"/>
        </w:rPr>
        <w:t>；</w:t>
      </w:r>
    </w:p>
    <w:p>
      <w:pPr>
        <w:widowControl/>
        <w:spacing w:line="360" w:lineRule="auto"/>
        <w:ind w:firstLine="480" w:firstLineChars="200"/>
        <w:jc w:val="left"/>
        <w:rPr>
          <w:rFonts w:ascii="宋体" w:hAnsi="宋体" w:cs="宋体"/>
          <w:snapToGrid w:val="0"/>
          <w:kern w:val="0"/>
          <w:sz w:val="24"/>
          <w:szCs w:val="24"/>
          <w:highlight w:val="none"/>
        </w:rPr>
      </w:pPr>
      <w:bookmarkStart w:id="322" w:name="bookmark36"/>
      <w:bookmarkEnd w:id="322"/>
      <w:r>
        <w:rPr>
          <w:rFonts w:hint="eastAsia" w:ascii="宋体" w:hAnsi="宋体" w:cs="宋体"/>
          <w:snapToGrid w:val="0"/>
          <w:kern w:val="0"/>
          <w:sz w:val="24"/>
          <w:szCs w:val="24"/>
          <w:highlight w:val="none"/>
        </w:rPr>
        <w:t>2、</w:t>
      </w:r>
      <w:r>
        <w:rPr>
          <w:rFonts w:hint="eastAsia" w:ascii="宋体" w:hAnsi="宋体" w:cs="宋体"/>
          <w:snapToGrid w:val="0"/>
          <w:kern w:val="0"/>
          <w:sz w:val="24"/>
          <w:szCs w:val="24"/>
          <w:highlight w:val="none"/>
          <w:u w:val="single"/>
        </w:rPr>
        <w:t>（标的名称）</w:t>
      </w:r>
      <w:r>
        <w:rPr>
          <w:rFonts w:hint="eastAsia" w:ascii="宋体" w:hAnsi="宋体" w:cs="宋体"/>
          <w:snapToGrid w:val="0"/>
          <w:kern w:val="0"/>
          <w:sz w:val="24"/>
          <w:szCs w:val="24"/>
          <w:highlight w:val="none"/>
        </w:rPr>
        <w:t>，属于</w:t>
      </w:r>
      <w:r>
        <w:rPr>
          <w:rFonts w:hint="eastAsia" w:ascii="宋体" w:hAnsi="宋体" w:cs="宋体"/>
          <w:snapToGrid w:val="0"/>
          <w:kern w:val="0"/>
          <w:sz w:val="24"/>
          <w:szCs w:val="24"/>
          <w:highlight w:val="none"/>
          <w:u w:val="single"/>
        </w:rPr>
        <w:t>（采购文件中明确的所属行业）</w:t>
      </w:r>
      <w:r>
        <w:rPr>
          <w:rFonts w:hint="eastAsia" w:ascii="宋体" w:hAnsi="宋体" w:cs="宋体"/>
          <w:snapToGrid w:val="0"/>
          <w:kern w:val="0"/>
          <w:sz w:val="24"/>
          <w:szCs w:val="24"/>
          <w:highlight w:val="none"/>
        </w:rPr>
        <w:t>，承建（承接）企业为</w:t>
      </w:r>
      <w:r>
        <w:rPr>
          <w:rFonts w:hint="eastAsia" w:ascii="宋体" w:hAnsi="宋体" w:cs="宋体"/>
          <w:snapToGrid w:val="0"/>
          <w:kern w:val="0"/>
          <w:sz w:val="24"/>
          <w:szCs w:val="24"/>
          <w:highlight w:val="none"/>
          <w:u w:val="single"/>
        </w:rPr>
        <w:t>（企业名称）</w:t>
      </w:r>
      <w:r>
        <w:rPr>
          <w:rFonts w:hint="eastAsia" w:ascii="宋体" w:hAnsi="宋体" w:cs="宋体"/>
          <w:snapToGrid w:val="0"/>
          <w:kern w:val="0"/>
          <w:sz w:val="24"/>
          <w:szCs w:val="24"/>
          <w:highlight w:val="none"/>
        </w:rPr>
        <w:t>，从业人员</w:t>
      </w:r>
      <w:r>
        <w:rPr>
          <w:rFonts w:hint="eastAsia" w:ascii="宋体" w:hAnsi="宋体" w:cs="宋体"/>
          <w:snapToGrid w:val="0"/>
          <w:kern w:val="0"/>
          <w:sz w:val="24"/>
          <w:szCs w:val="24"/>
          <w:highlight w:val="none"/>
          <w:u w:val="single"/>
        </w:rPr>
        <w:tab/>
      </w:r>
      <w:r>
        <w:rPr>
          <w:rFonts w:hint="eastAsia" w:ascii="宋体" w:hAnsi="宋体" w:cs="宋体"/>
          <w:snapToGrid w:val="0"/>
          <w:kern w:val="0"/>
          <w:sz w:val="24"/>
          <w:szCs w:val="24"/>
          <w:highlight w:val="none"/>
          <w:u w:val="single"/>
        </w:rPr>
        <w:t xml:space="preserve">  </w:t>
      </w:r>
      <w:r>
        <w:rPr>
          <w:rFonts w:hint="eastAsia" w:ascii="宋体" w:hAnsi="宋体" w:cs="宋体"/>
          <w:snapToGrid w:val="0"/>
          <w:kern w:val="0"/>
          <w:sz w:val="24"/>
          <w:szCs w:val="24"/>
          <w:highlight w:val="none"/>
        </w:rPr>
        <w:t>人，营业收入为</w:t>
      </w:r>
      <w:r>
        <w:rPr>
          <w:rFonts w:hint="eastAsia" w:ascii="宋体" w:hAnsi="宋体" w:cs="宋体"/>
          <w:snapToGrid w:val="0"/>
          <w:kern w:val="0"/>
          <w:sz w:val="24"/>
          <w:szCs w:val="24"/>
          <w:highlight w:val="none"/>
          <w:u w:val="single"/>
        </w:rPr>
        <w:t xml:space="preserve">    </w:t>
      </w:r>
      <w:r>
        <w:rPr>
          <w:rFonts w:hint="eastAsia" w:ascii="宋体" w:hAnsi="宋体" w:cs="宋体"/>
          <w:snapToGrid w:val="0"/>
          <w:kern w:val="0"/>
          <w:sz w:val="24"/>
          <w:szCs w:val="24"/>
          <w:highlight w:val="none"/>
        </w:rPr>
        <w:t>万元，资产总额为</w:t>
      </w:r>
      <w:r>
        <w:rPr>
          <w:rFonts w:hint="eastAsia" w:ascii="宋体" w:hAnsi="宋体" w:cs="宋体"/>
          <w:snapToGrid w:val="0"/>
          <w:kern w:val="0"/>
          <w:sz w:val="24"/>
          <w:szCs w:val="24"/>
          <w:highlight w:val="none"/>
          <w:u w:val="single"/>
        </w:rPr>
        <w:t xml:space="preserve">    </w:t>
      </w:r>
      <w:r>
        <w:rPr>
          <w:rFonts w:hint="eastAsia" w:ascii="宋体" w:hAnsi="宋体" w:cs="宋体"/>
          <w:snapToGrid w:val="0"/>
          <w:kern w:val="0"/>
          <w:sz w:val="24"/>
          <w:szCs w:val="24"/>
          <w:highlight w:val="none"/>
        </w:rPr>
        <w:t>万元，属于</w:t>
      </w:r>
      <w:r>
        <w:rPr>
          <w:rFonts w:hint="eastAsia" w:ascii="宋体" w:hAnsi="宋体" w:cs="宋体"/>
          <w:snapToGrid w:val="0"/>
          <w:kern w:val="0"/>
          <w:sz w:val="24"/>
          <w:szCs w:val="24"/>
          <w:highlight w:val="none"/>
          <w:u w:val="single"/>
        </w:rPr>
        <w:t>（中型企业、小型企业、微型企</w:t>
      </w:r>
      <w:r>
        <w:rPr>
          <w:rFonts w:hint="eastAsia" w:ascii="宋体" w:hAnsi="宋体" w:cs="宋体"/>
          <w:snapToGrid w:val="0"/>
          <w:kern w:val="0"/>
          <w:sz w:val="24"/>
          <w:szCs w:val="24"/>
          <w:highlight w:val="none"/>
          <w:u w:val="single"/>
          <w:lang w:val="zh-CN"/>
        </w:rPr>
        <w:t>业）</w:t>
      </w:r>
      <w:r>
        <w:rPr>
          <w:rFonts w:hint="eastAsia" w:ascii="宋体" w:hAnsi="宋体" w:cs="宋体"/>
          <w:snapToGrid w:val="0"/>
          <w:kern w:val="0"/>
          <w:sz w:val="24"/>
          <w:szCs w:val="24"/>
          <w:highlight w:val="none"/>
          <w:lang w:val="zh-CN"/>
        </w:rPr>
        <w:t>；</w:t>
      </w:r>
      <w:r>
        <w:rPr>
          <w:rFonts w:hint="eastAsia" w:ascii="宋体" w:hAnsi="宋体" w:cs="宋体"/>
          <w:snapToGrid w:val="0"/>
          <w:kern w:val="0"/>
          <w:sz w:val="24"/>
          <w:szCs w:val="24"/>
          <w:highlight w:val="none"/>
        </w:rPr>
        <w:tab/>
      </w:r>
    </w:p>
    <w:p>
      <w:pPr>
        <w:widowControl/>
        <w:spacing w:line="360" w:lineRule="auto"/>
        <w:ind w:firstLine="480" w:firstLineChars="200"/>
        <w:jc w:val="left"/>
        <w:rPr>
          <w:rFonts w:ascii="宋体" w:hAnsi="宋体" w:cs="宋体"/>
          <w:snapToGrid w:val="0"/>
          <w:kern w:val="0"/>
          <w:sz w:val="24"/>
          <w:szCs w:val="24"/>
          <w:highlight w:val="none"/>
        </w:rPr>
      </w:pPr>
      <w:r>
        <w:rPr>
          <w:rFonts w:hint="eastAsia" w:ascii="宋体" w:hAnsi="宋体" w:cs="宋体"/>
          <w:snapToGrid w:val="0"/>
          <w:kern w:val="0"/>
          <w:sz w:val="24"/>
          <w:szCs w:val="24"/>
          <w:highlight w:val="none"/>
        </w:rPr>
        <w:t>以上企业，不属于大企业的分支机构，不存在控股股东为大企业的情形，也不存在与大企业的负责人为同一人的情形。</w:t>
      </w:r>
    </w:p>
    <w:p>
      <w:pPr>
        <w:widowControl/>
        <w:spacing w:line="360" w:lineRule="auto"/>
        <w:ind w:firstLine="480" w:firstLineChars="200"/>
        <w:jc w:val="left"/>
        <w:rPr>
          <w:rFonts w:ascii="宋体" w:hAnsi="宋体" w:cs="宋体"/>
          <w:snapToGrid w:val="0"/>
          <w:kern w:val="0"/>
          <w:sz w:val="24"/>
          <w:szCs w:val="24"/>
          <w:highlight w:val="none"/>
        </w:rPr>
      </w:pPr>
      <w:r>
        <w:rPr>
          <w:rFonts w:hint="eastAsia" w:ascii="宋体" w:hAnsi="宋体" w:cs="宋体"/>
          <w:snapToGrid w:val="0"/>
          <w:kern w:val="0"/>
          <w:sz w:val="24"/>
          <w:szCs w:val="24"/>
          <w:highlight w:val="none"/>
        </w:rPr>
        <w:t>本企业对上述声明内容的真实性负责。如有虚假，将依法承担相应责任。</w:t>
      </w:r>
    </w:p>
    <w:p>
      <w:pPr>
        <w:widowControl/>
        <w:spacing w:line="360" w:lineRule="auto"/>
        <w:ind w:firstLine="4800" w:firstLineChars="2000"/>
        <w:rPr>
          <w:rFonts w:ascii="宋体" w:hAnsi="宋体" w:cs="宋体"/>
          <w:snapToGrid w:val="0"/>
          <w:kern w:val="0"/>
          <w:sz w:val="24"/>
          <w:szCs w:val="24"/>
          <w:highlight w:val="none"/>
        </w:rPr>
      </w:pPr>
    </w:p>
    <w:p>
      <w:pPr>
        <w:widowControl/>
        <w:spacing w:line="360" w:lineRule="auto"/>
        <w:ind w:firstLine="4800" w:firstLineChars="2000"/>
        <w:rPr>
          <w:rFonts w:ascii="宋体" w:hAnsi="宋体" w:cs="宋体"/>
          <w:snapToGrid w:val="0"/>
          <w:kern w:val="0"/>
          <w:sz w:val="24"/>
          <w:szCs w:val="24"/>
          <w:highlight w:val="none"/>
        </w:rPr>
      </w:pPr>
    </w:p>
    <w:p>
      <w:pPr>
        <w:widowControl/>
        <w:spacing w:line="360" w:lineRule="auto"/>
        <w:ind w:firstLine="4800" w:firstLineChars="2000"/>
        <w:rPr>
          <w:rFonts w:ascii="宋体" w:hAnsi="宋体" w:cs="宋体"/>
          <w:snapToGrid w:val="0"/>
          <w:kern w:val="0"/>
          <w:sz w:val="24"/>
          <w:szCs w:val="24"/>
          <w:highlight w:val="none"/>
        </w:rPr>
      </w:pPr>
      <w:r>
        <w:rPr>
          <w:rFonts w:hint="eastAsia" w:ascii="宋体" w:hAnsi="宋体" w:cs="宋体"/>
          <w:snapToGrid w:val="0"/>
          <w:kern w:val="0"/>
          <w:sz w:val="24"/>
          <w:szCs w:val="24"/>
          <w:highlight w:val="none"/>
        </w:rPr>
        <w:t xml:space="preserve">企业名称（盖章）：           </w:t>
      </w:r>
    </w:p>
    <w:p>
      <w:pPr>
        <w:widowControl/>
        <w:spacing w:line="360" w:lineRule="auto"/>
        <w:ind w:firstLine="4800" w:firstLineChars="2000"/>
        <w:rPr>
          <w:rFonts w:ascii="宋体" w:hAnsi="宋体" w:cs="宋体"/>
          <w:snapToGrid w:val="0"/>
          <w:kern w:val="0"/>
          <w:sz w:val="24"/>
          <w:szCs w:val="24"/>
          <w:highlight w:val="none"/>
        </w:rPr>
      </w:pPr>
      <w:r>
        <w:rPr>
          <w:rFonts w:hint="eastAsia" w:ascii="宋体" w:hAnsi="宋体" w:cs="宋体"/>
          <w:snapToGrid w:val="0"/>
          <w:kern w:val="0"/>
          <w:sz w:val="24"/>
          <w:szCs w:val="24"/>
          <w:highlight w:val="none"/>
        </w:rPr>
        <w:t>日期：</w:t>
      </w:r>
    </w:p>
    <w:p>
      <w:pPr>
        <w:spacing w:line="420" w:lineRule="auto"/>
        <w:outlineLvl w:val="0"/>
        <w:rPr>
          <w:rFonts w:ascii="宋体" w:hAnsi="宋体" w:cs="宋体"/>
          <w:b/>
          <w:bCs/>
          <w:sz w:val="24"/>
          <w:szCs w:val="24"/>
          <w:highlight w:val="none"/>
        </w:rPr>
      </w:pPr>
      <w:r>
        <w:rPr>
          <w:rFonts w:hint="eastAsia" w:ascii="宋体" w:hAnsi="宋体" w:cs="宋体"/>
          <w:sz w:val="24"/>
          <w:szCs w:val="24"/>
          <w:highlight w:val="none"/>
        </w:rPr>
        <w:br w:type="page"/>
      </w:r>
      <w:bookmarkStart w:id="323" w:name="_Toc26782"/>
      <w:bookmarkStart w:id="324" w:name="_Toc24774"/>
      <w:r>
        <w:rPr>
          <w:rFonts w:hint="eastAsia" w:ascii="宋体" w:hAnsi="宋体" w:cs="宋体"/>
          <w:b/>
          <w:bCs/>
          <w:sz w:val="24"/>
          <w:szCs w:val="24"/>
          <w:highlight w:val="none"/>
        </w:rPr>
        <w:t>附件二、残疾人福利性单位声明函格式（如供应商为残疾人福利性单位须提供此函）</w:t>
      </w:r>
      <w:bookmarkEnd w:id="323"/>
      <w:bookmarkEnd w:id="324"/>
    </w:p>
    <w:p>
      <w:pPr>
        <w:spacing w:line="420" w:lineRule="auto"/>
        <w:jc w:val="center"/>
        <w:rPr>
          <w:rFonts w:ascii="宋体" w:hAnsi="宋体" w:cs="宋体"/>
          <w:b/>
          <w:bCs/>
          <w:sz w:val="24"/>
          <w:szCs w:val="24"/>
          <w:highlight w:val="none"/>
        </w:rPr>
      </w:pPr>
      <w:r>
        <w:rPr>
          <w:rFonts w:hint="eastAsia" w:ascii="宋体" w:hAnsi="宋体" w:cs="宋体"/>
          <w:b/>
          <w:bCs/>
          <w:sz w:val="24"/>
          <w:szCs w:val="24"/>
          <w:highlight w:val="none"/>
        </w:rPr>
        <w:t>残疾人福利性单位声明函</w:t>
      </w:r>
    </w:p>
    <w:p>
      <w:pPr>
        <w:widowControl/>
        <w:spacing w:line="420" w:lineRule="auto"/>
        <w:ind w:firstLine="480" w:firstLineChars="200"/>
        <w:jc w:val="left"/>
        <w:rPr>
          <w:rFonts w:ascii="宋体" w:hAnsi="宋体" w:cs="宋体"/>
          <w:snapToGrid w:val="0"/>
          <w:sz w:val="24"/>
          <w:szCs w:val="24"/>
          <w:highlight w:val="none"/>
        </w:rPr>
      </w:pPr>
      <w:r>
        <w:rPr>
          <w:rFonts w:hint="eastAsia" w:ascii="宋体" w:hAnsi="宋体" w:cs="宋体"/>
          <w:snapToGrid w:val="0"/>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widowControl/>
        <w:spacing w:line="420" w:lineRule="auto"/>
        <w:ind w:firstLine="480" w:firstLineChars="200"/>
        <w:jc w:val="left"/>
        <w:rPr>
          <w:rFonts w:ascii="宋体" w:hAnsi="宋体" w:cs="宋体"/>
          <w:snapToGrid w:val="0"/>
          <w:sz w:val="24"/>
          <w:szCs w:val="24"/>
          <w:highlight w:val="none"/>
        </w:rPr>
      </w:pPr>
      <w:r>
        <w:rPr>
          <w:rFonts w:hint="eastAsia" w:ascii="宋体" w:hAnsi="宋体" w:cs="宋体"/>
          <w:snapToGrid w:val="0"/>
          <w:sz w:val="24"/>
          <w:szCs w:val="24"/>
          <w:highlight w:val="none"/>
        </w:rPr>
        <w:t>本单位对上述声明的真实性负责。如有虚假，将依法承担相应责任。</w:t>
      </w:r>
    </w:p>
    <w:p>
      <w:pPr>
        <w:spacing w:line="420" w:lineRule="auto"/>
        <w:ind w:firstLine="4800" w:firstLineChars="2000"/>
        <w:rPr>
          <w:rFonts w:ascii="宋体" w:hAnsi="宋体" w:cs="宋体"/>
          <w:sz w:val="24"/>
          <w:szCs w:val="24"/>
          <w:highlight w:val="none"/>
        </w:rPr>
      </w:pPr>
      <w:r>
        <w:rPr>
          <w:rFonts w:hint="eastAsia" w:ascii="宋体" w:hAnsi="宋体" w:cs="宋体"/>
          <w:sz w:val="24"/>
          <w:szCs w:val="24"/>
          <w:highlight w:val="none"/>
        </w:rPr>
        <w:t>单位名称（盖章）：</w:t>
      </w:r>
    </w:p>
    <w:p>
      <w:pPr>
        <w:spacing w:line="420" w:lineRule="auto"/>
        <w:ind w:firstLine="4800" w:firstLineChars="2000"/>
        <w:rPr>
          <w:rFonts w:ascii="宋体" w:hAnsi="宋体" w:cs="宋体"/>
          <w:sz w:val="24"/>
          <w:szCs w:val="24"/>
          <w:highlight w:val="none"/>
        </w:rPr>
      </w:pPr>
      <w:r>
        <w:rPr>
          <w:rFonts w:hint="eastAsia" w:ascii="宋体" w:hAnsi="宋体" w:cs="宋体"/>
          <w:sz w:val="24"/>
          <w:szCs w:val="24"/>
          <w:highlight w:val="none"/>
        </w:rPr>
        <w:t>日　　　　　　期：</w:t>
      </w:r>
    </w:p>
    <w:p>
      <w:pPr>
        <w:spacing w:line="420" w:lineRule="auto"/>
        <w:rPr>
          <w:rFonts w:ascii="宋体" w:hAnsi="宋体" w:cs="宋体"/>
          <w:b/>
          <w:sz w:val="24"/>
          <w:szCs w:val="24"/>
          <w:highlight w:val="none"/>
        </w:rPr>
      </w:pPr>
    </w:p>
    <w:p>
      <w:pPr>
        <w:spacing w:line="420" w:lineRule="auto"/>
        <w:outlineLvl w:val="0"/>
        <w:rPr>
          <w:rFonts w:ascii="宋体" w:hAnsi="宋体" w:cs="宋体"/>
          <w:b/>
          <w:bCs/>
          <w:sz w:val="24"/>
          <w:szCs w:val="24"/>
          <w:highlight w:val="none"/>
        </w:rPr>
      </w:pPr>
      <w:bookmarkStart w:id="325" w:name="_Toc25104"/>
      <w:bookmarkStart w:id="326" w:name="_Toc5429"/>
      <w:r>
        <w:rPr>
          <w:rFonts w:hint="eastAsia" w:ascii="宋体" w:hAnsi="宋体" w:cs="宋体"/>
          <w:b/>
          <w:sz w:val="24"/>
          <w:szCs w:val="24"/>
          <w:highlight w:val="none"/>
        </w:rPr>
        <w:t>附件三、</w:t>
      </w:r>
      <w:r>
        <w:rPr>
          <w:rFonts w:hint="eastAsia" w:ascii="宋体" w:hAnsi="宋体" w:cs="宋体"/>
          <w:b/>
          <w:bCs/>
          <w:sz w:val="24"/>
          <w:szCs w:val="24"/>
          <w:highlight w:val="none"/>
        </w:rPr>
        <w:t>属于监狱企业的证明文件（如供应商为监狱企业须提供相关证明文件）</w:t>
      </w:r>
      <w:bookmarkEnd w:id="325"/>
      <w:bookmarkEnd w:id="326"/>
    </w:p>
    <w:p>
      <w:pPr>
        <w:spacing w:line="420" w:lineRule="auto"/>
        <w:rPr>
          <w:rFonts w:ascii="宋体" w:hAnsi="宋体" w:cs="宋体"/>
          <w:sz w:val="24"/>
          <w:szCs w:val="24"/>
          <w:highlight w:val="none"/>
        </w:rPr>
      </w:pPr>
    </w:p>
    <w:p>
      <w:pPr>
        <w:spacing w:line="420" w:lineRule="auto"/>
        <w:ind w:firstLine="480" w:firstLineChars="200"/>
        <w:rPr>
          <w:rFonts w:ascii="宋体" w:hAnsi="宋体" w:cs="宋体"/>
          <w:sz w:val="24"/>
          <w:szCs w:val="24"/>
          <w:highlight w:val="none"/>
        </w:rPr>
      </w:pPr>
      <w:r>
        <w:rPr>
          <w:rFonts w:hint="eastAsia" w:ascii="宋体" w:hAnsi="宋体" w:cs="宋体"/>
          <w:sz w:val="24"/>
          <w:szCs w:val="24"/>
          <w:highlight w:val="none"/>
        </w:rPr>
        <w:t>提供由省级以上监狱管理局、戒毒管理局(含新疆生产建设兵团)出具的属于监狱企业的证明文件</w:t>
      </w:r>
    </w:p>
    <w:p>
      <w:pPr>
        <w:spacing w:line="420" w:lineRule="auto"/>
        <w:rPr>
          <w:rFonts w:ascii="宋体" w:hAnsi="宋体" w:cs="宋体"/>
          <w:b/>
          <w:bCs/>
          <w:sz w:val="24"/>
          <w:szCs w:val="24"/>
          <w:highlight w:val="none"/>
        </w:rPr>
      </w:pPr>
    </w:p>
    <w:p>
      <w:pPr>
        <w:spacing w:line="420" w:lineRule="auto"/>
        <w:outlineLvl w:val="0"/>
        <w:rPr>
          <w:rFonts w:ascii="宋体" w:hAnsi="宋体" w:cs="宋体"/>
          <w:b/>
          <w:bCs/>
          <w:sz w:val="24"/>
          <w:szCs w:val="24"/>
          <w:highlight w:val="none"/>
        </w:rPr>
      </w:pPr>
      <w:bookmarkStart w:id="327" w:name="_Toc22106"/>
      <w:bookmarkStart w:id="328" w:name="_Toc12143"/>
      <w:r>
        <w:rPr>
          <w:rFonts w:hint="eastAsia" w:ascii="宋体" w:hAnsi="宋体" w:cs="宋体"/>
          <w:b/>
          <w:bCs/>
          <w:sz w:val="24"/>
          <w:szCs w:val="24"/>
          <w:highlight w:val="none"/>
        </w:rPr>
        <w:t>附件四、节能产品认证文件（如有须提供）</w:t>
      </w:r>
      <w:bookmarkEnd w:id="327"/>
      <w:bookmarkEnd w:id="328"/>
    </w:p>
    <w:p>
      <w:pPr>
        <w:spacing w:line="420" w:lineRule="auto"/>
        <w:ind w:firstLine="482" w:firstLineChars="200"/>
        <w:rPr>
          <w:rFonts w:ascii="宋体" w:hAnsi="宋体" w:cs="宋体"/>
          <w:b/>
          <w:bCs/>
          <w:sz w:val="24"/>
          <w:szCs w:val="24"/>
          <w:highlight w:val="none"/>
        </w:rPr>
      </w:pPr>
    </w:p>
    <w:p>
      <w:pPr>
        <w:spacing w:line="420" w:lineRule="auto"/>
        <w:ind w:firstLine="480" w:firstLineChars="200"/>
        <w:rPr>
          <w:rFonts w:ascii="宋体" w:hAnsi="宋体" w:cs="宋体"/>
          <w:b/>
          <w:bCs/>
          <w:sz w:val="24"/>
          <w:szCs w:val="24"/>
          <w:highlight w:val="none"/>
        </w:rPr>
      </w:pPr>
      <w:r>
        <w:rPr>
          <w:rFonts w:hint="eastAsia" w:ascii="宋体" w:hAnsi="宋体" w:cs="宋体"/>
          <w:sz w:val="24"/>
          <w:szCs w:val="24"/>
          <w:highlight w:val="none"/>
        </w:rPr>
        <w:t>提供其投标产品在《节能产品政府采购清单》中相应的页面截图或相关认证证明材料</w:t>
      </w:r>
    </w:p>
    <w:p>
      <w:pPr>
        <w:spacing w:line="420" w:lineRule="auto"/>
        <w:rPr>
          <w:rFonts w:ascii="宋体" w:hAnsi="宋体" w:cs="宋体"/>
          <w:b/>
          <w:bCs/>
          <w:sz w:val="24"/>
          <w:szCs w:val="24"/>
          <w:highlight w:val="none"/>
        </w:rPr>
      </w:pPr>
    </w:p>
    <w:p>
      <w:pPr>
        <w:spacing w:line="420" w:lineRule="auto"/>
        <w:outlineLvl w:val="0"/>
        <w:rPr>
          <w:rFonts w:ascii="宋体" w:hAnsi="宋体" w:cs="宋体"/>
          <w:b/>
          <w:bCs/>
          <w:sz w:val="24"/>
          <w:szCs w:val="24"/>
          <w:highlight w:val="none"/>
        </w:rPr>
      </w:pPr>
      <w:bookmarkStart w:id="329" w:name="_Toc11980"/>
      <w:bookmarkStart w:id="330" w:name="_Toc6109"/>
      <w:r>
        <w:rPr>
          <w:rFonts w:hint="eastAsia" w:ascii="宋体" w:hAnsi="宋体" w:cs="宋体"/>
          <w:b/>
          <w:bCs/>
          <w:sz w:val="24"/>
          <w:szCs w:val="24"/>
          <w:highlight w:val="none"/>
        </w:rPr>
        <w:t>附件五、环境标志产品认证文件（如有须提供）</w:t>
      </w:r>
      <w:bookmarkEnd w:id="329"/>
      <w:bookmarkEnd w:id="330"/>
    </w:p>
    <w:p>
      <w:pPr>
        <w:pStyle w:val="33"/>
        <w:spacing w:line="360" w:lineRule="auto"/>
        <w:ind w:left="420" w:right="272" w:firstLine="0" w:firstLineChars="0"/>
        <w:rPr>
          <w:rFonts w:ascii="宋体" w:hAnsi="宋体" w:cs="宋体"/>
          <w:b/>
          <w:bCs/>
          <w:kern w:val="44"/>
          <w:sz w:val="32"/>
          <w:szCs w:val="32"/>
          <w:highlight w:val="none"/>
        </w:rPr>
      </w:pPr>
    </w:p>
    <w:p>
      <w:pPr>
        <w:rPr>
          <w:highlight w:val="none"/>
        </w:rPr>
      </w:pPr>
    </w:p>
    <w:sectPr>
      <w:footerReference r:id="rId5" w:type="default"/>
      <w:pgSz w:w="11911" w:h="16838"/>
      <w:pgMar w:top="1440" w:right="1803" w:bottom="1440" w:left="1803" w:header="0" w:footer="1406" w:gutter="0"/>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7A"/>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51305206-72B5-4AAE-806E-2059D89FAB3D}"/>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embedRegular r:id="rId2" w:fontKey="{DE778433-FF27-4CFE-8146-410FC163EFA1}"/>
  </w:font>
  <w:font w:name="方正仿宋_GBK">
    <w:panose1 w:val="02000000000000000000"/>
    <w:charset w:val="86"/>
    <w:family w:val="script"/>
    <w:pitch w:val="default"/>
    <w:sig w:usb0="A00002BF" w:usb1="38CF7CFA" w:usb2="00082016" w:usb3="00000000" w:csb0="00040001" w:csb1="00000000"/>
    <w:embedRegular r:id="rId3" w:fontKey="{11AF5375-383B-4198-8635-B500072043B8}"/>
  </w:font>
  <w:font w:name="仿宋_GB2312">
    <w:altName w:val="仿宋"/>
    <w:panose1 w:val="00000000000000000000"/>
    <w:charset w:val="86"/>
    <w:family w:val="modern"/>
    <w:pitch w:val="default"/>
    <w:sig w:usb0="00000000" w:usb1="00000000" w:usb2="00000010" w:usb3="00000000" w:csb0="00040000" w:csb1="00000000"/>
    <w:embedRegular r:id="rId4" w:fontKey="{3AD6EDA8-2B63-454B-9EA1-9CD9BC3BEFC6}"/>
  </w:font>
  <w:font w:name="仿宋">
    <w:panose1 w:val="02010609060101010101"/>
    <w:charset w:val="86"/>
    <w:family w:val="auto"/>
    <w:pitch w:val="default"/>
    <w:sig w:usb0="800002BF" w:usb1="38CF7CFA" w:usb2="00000016" w:usb3="00000000" w:csb0="00040001" w:csb1="00000000"/>
    <w:embedRegular r:id="rId5" w:fontKey="{4287A6CA-B0EA-4D5D-AB42-B93252EA820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Text Box 4"/>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pPr>
                            <w:pStyle w:val="20"/>
                          </w:pPr>
                          <w:r>
                            <w:fldChar w:fldCharType="begin"/>
                          </w:r>
                          <w:r>
                            <w:instrText xml:space="preserve"> PAGE  \* MERGEFORMAT </w:instrText>
                          </w:r>
                          <w:r>
                            <w:fldChar w:fldCharType="separate"/>
                          </w:r>
                          <w:r>
                            <w:t>78</w:t>
                          </w:r>
                          <w:r>
                            <w:fldChar w:fldCharType="end"/>
                          </w:r>
                        </w:p>
                      </w:txbxContent>
                    </wps:txbx>
                    <wps:bodyPr rot="0" vert="horz" wrap="none" lIns="0" tIns="0" rIns="0" bIns="0" anchor="t" anchorCtr="0" upright="1">
                      <a:spAutoFit/>
                    </wps:bodyPr>
                  </wps:wsp>
                </a:graphicData>
              </a:graphic>
            </wp:anchor>
          </w:drawing>
        </mc:Choice>
        <mc:Fallback>
          <w:pict>
            <v:shape id="Text Box 4"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Q+V+SdAAAAADAQAADwAAAAAAAAABACAAAAAiAAAAZHJzL2Rvd25yZXYueG1sUEsBAhQA&#10;FAAAAAgAh07iQHa7iIz6AQAAAQQAAA4AAAAAAAAAAQAgAAAAHwEAAGRycy9lMm9Eb2MueG1sUEsF&#10;BgAAAAAGAAYAWQEAAIsFAAAAAA==&#10;">
              <v:fill on="f" focussize="0,0"/>
              <v:stroke on="f"/>
              <v:imagedata o:title=""/>
              <o:lock v:ext="edit" aspectratio="f"/>
              <v:textbox inset="0mm,0mm,0mm,0mm" style="mso-fit-shape-to-text:t;">
                <w:txbxContent>
                  <w:p>
                    <w:pPr>
                      <w:pStyle w:val="20"/>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72085" cy="131445"/>
              <wp:effectExtent l="0" t="0" r="0" b="0"/>
              <wp:wrapNone/>
              <wp:docPr id="3" name="Text Box 5"/>
              <wp:cNvGraphicFramePr/>
              <a:graphic xmlns:a="http://schemas.openxmlformats.org/drawingml/2006/main">
                <a:graphicData uri="http://schemas.microsoft.com/office/word/2010/wordprocessingShape">
                  <wps:wsp>
                    <wps:cNvSpPr txBox="1">
                      <a:spLocks noChangeArrowheads="1"/>
                    </wps:cNvSpPr>
                    <wps:spPr bwMode="auto">
                      <a:xfrm>
                        <a:off x="0" y="0"/>
                        <a:ext cx="172085" cy="131445"/>
                      </a:xfrm>
                      <a:prstGeom prst="rect">
                        <a:avLst/>
                      </a:prstGeom>
                      <a:noFill/>
                      <a:ln>
                        <a:noFill/>
                      </a:ln>
                    </wps:spPr>
                    <wps:txbx>
                      <w:txbxContent>
                        <w:p>
                          <w:pPr>
                            <w:pStyle w:val="20"/>
                          </w:pPr>
                          <w:r>
                            <w:fldChar w:fldCharType="begin"/>
                          </w:r>
                          <w:r>
                            <w:instrText xml:space="preserve"> PAGE  \* MERGEFORMAT </w:instrText>
                          </w:r>
                          <w:r>
                            <w:fldChar w:fldCharType="separate"/>
                          </w:r>
                          <w:r>
                            <w:t>84</w:t>
                          </w:r>
                          <w:r>
                            <w:fldChar w:fldCharType="end"/>
                          </w:r>
                        </w:p>
                      </w:txbxContent>
                    </wps:txbx>
                    <wps:bodyPr rot="0" vert="horz" wrap="none" lIns="0" tIns="0" rIns="0" bIns="0" anchor="t" anchorCtr="0" upright="1">
                      <a:spAutoFit/>
                    </wps:bodyPr>
                  </wps:wsp>
                </a:graphicData>
              </a:graphic>
            </wp:anchor>
          </w:drawing>
        </mc:Choice>
        <mc:Fallback>
          <w:pict>
            <v:shape id="Text Box 5" o:spid="_x0000_s1026" o:spt="202" type="#_x0000_t202" style="position:absolute;left:0pt;margin-top:0pt;height:10.35pt;width:13.55pt;mso-position-horizontal:center;mso-position-horizontal-relative:margin;mso-wrap-style:none;z-index:251660288;mso-width-relative:page;mso-height-relative:page;" filled="f" stroked="f" coordsize="21600,21600" o:gfxdata="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CUldDlzwAAAAMBAAAPAAAAAAAAAAEAIAAAACIAAABkcnMvZG93bnJldi54bWxQSwECFAAU&#10;AAAACACHTuJAtuYIevoBAAABBAAADgAAAAAAAAABACAAAAAeAQAAZHJzL2Uyb0RvYy54bWxQSwUG&#10;AAAAAAYABgBZAQAAigUAAAAA&#10;">
              <v:fill on="f" focussize="0,0"/>
              <v:stroke on="f"/>
              <v:imagedata o:title=""/>
              <o:lock v:ext="edit" aspectratio="f"/>
              <v:textbox inset="0mm,0mm,0mm,0mm" style="mso-fit-shape-to-text:t;">
                <w:txbxContent>
                  <w:p>
                    <w:pPr>
                      <w:pStyle w:val="20"/>
                    </w:pPr>
                    <w:r>
                      <w:fldChar w:fldCharType="begin"/>
                    </w:r>
                    <w:r>
                      <w:instrText xml:space="preserve"> PAGE  \* MERGEFORMAT </w:instrText>
                    </w:r>
                    <w:r>
                      <w:fldChar w:fldCharType="separate"/>
                    </w:r>
                    <w:r>
                      <w:t>84</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D6BEA1"/>
    <w:multiLevelType w:val="singleLevel"/>
    <w:tmpl w:val="9FD6BEA1"/>
    <w:lvl w:ilvl="0" w:tentative="0">
      <w:start w:val="6"/>
      <w:numFmt w:val="chineseCounting"/>
      <w:suff w:val="nothing"/>
      <w:lvlText w:val="%1、"/>
      <w:lvlJc w:val="left"/>
      <w:rPr>
        <w:rFonts w:hint="eastAsia"/>
      </w:rPr>
    </w:lvl>
  </w:abstractNum>
  <w:abstractNum w:abstractNumId="1">
    <w:nsid w:val="A6E30975"/>
    <w:multiLevelType w:val="singleLevel"/>
    <w:tmpl w:val="A6E30975"/>
    <w:lvl w:ilvl="0" w:tentative="0">
      <w:start w:val="3"/>
      <w:numFmt w:val="decimal"/>
      <w:suff w:val="nothing"/>
      <w:lvlText w:val="%1、"/>
      <w:lvlJc w:val="left"/>
    </w:lvl>
  </w:abstractNum>
  <w:abstractNum w:abstractNumId="2">
    <w:nsid w:val="AF799CA0"/>
    <w:multiLevelType w:val="singleLevel"/>
    <w:tmpl w:val="AF799CA0"/>
    <w:lvl w:ilvl="0" w:tentative="0">
      <w:start w:val="3"/>
      <w:numFmt w:val="chineseCounting"/>
      <w:suff w:val="space"/>
      <w:lvlText w:val="第%1章"/>
      <w:lvlJc w:val="left"/>
      <w:rPr>
        <w:rFonts w:hint="eastAsia"/>
      </w:rPr>
    </w:lvl>
  </w:abstractNum>
  <w:abstractNum w:abstractNumId="3">
    <w:nsid w:val="BC0F499E"/>
    <w:multiLevelType w:val="singleLevel"/>
    <w:tmpl w:val="BC0F499E"/>
    <w:lvl w:ilvl="0" w:tentative="0">
      <w:start w:val="1"/>
      <w:numFmt w:val="chineseCounting"/>
      <w:suff w:val="nothing"/>
      <w:lvlText w:val="%1、"/>
      <w:lvlJc w:val="left"/>
      <w:rPr>
        <w:rFonts w:hint="eastAsia"/>
      </w:rPr>
    </w:lvl>
  </w:abstractNum>
  <w:abstractNum w:abstractNumId="4">
    <w:nsid w:val="00000006"/>
    <w:multiLevelType w:val="multilevel"/>
    <w:tmpl w:val="00000006"/>
    <w:lvl w:ilvl="0" w:tentative="0">
      <w:start w:val="1"/>
      <w:numFmt w:val="chineseCountingThousand"/>
      <w:suff w:val="nothing"/>
      <w:lvlText w:val="第%1章"/>
      <w:lvlJc w:val="left"/>
      <w:pPr>
        <w:ind w:left="0" w:firstLine="0"/>
      </w:p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abstractNum w:abstractNumId="5">
    <w:nsid w:val="0ABA3920"/>
    <w:multiLevelType w:val="multilevel"/>
    <w:tmpl w:val="0ABA3920"/>
    <w:lvl w:ilvl="0" w:tentative="0">
      <w:start w:val="4"/>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263153D8"/>
    <w:multiLevelType w:val="multilevel"/>
    <w:tmpl w:val="263153D8"/>
    <w:lvl w:ilvl="0" w:tentative="0">
      <w:start w:val="21"/>
      <w:numFmt w:val="decimal"/>
      <w:lvlText w:val="（%1）"/>
      <w:lvlJc w:val="left"/>
      <w:pPr>
        <w:ind w:left="870" w:hanging="870"/>
      </w:pPr>
      <w:rPr>
        <w:rFonts w:hint="default"/>
        <w:b w:val="0"/>
        <w:bC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2FB27978"/>
    <w:multiLevelType w:val="multilevel"/>
    <w:tmpl w:val="2FB27978"/>
    <w:lvl w:ilvl="0" w:tentative="0">
      <w:start w:val="1"/>
      <w:numFmt w:val="decimal"/>
      <w:lvlText w:val="%1、"/>
      <w:lvlJc w:val="left"/>
      <w:pPr>
        <w:ind w:left="1015" w:hanging="360"/>
      </w:pPr>
      <w:rPr>
        <w:rFonts w:hint="default"/>
      </w:rPr>
    </w:lvl>
    <w:lvl w:ilvl="1" w:tentative="0">
      <w:start w:val="1"/>
      <w:numFmt w:val="lowerLetter"/>
      <w:lvlText w:val="%2)"/>
      <w:lvlJc w:val="left"/>
      <w:pPr>
        <w:ind w:left="1495" w:hanging="420"/>
      </w:pPr>
    </w:lvl>
    <w:lvl w:ilvl="2" w:tentative="0">
      <w:start w:val="1"/>
      <w:numFmt w:val="lowerRoman"/>
      <w:lvlText w:val="%3."/>
      <w:lvlJc w:val="right"/>
      <w:pPr>
        <w:ind w:left="1915" w:hanging="420"/>
      </w:pPr>
    </w:lvl>
    <w:lvl w:ilvl="3" w:tentative="0">
      <w:start w:val="1"/>
      <w:numFmt w:val="decimal"/>
      <w:lvlText w:val="%4."/>
      <w:lvlJc w:val="left"/>
      <w:pPr>
        <w:ind w:left="2335" w:hanging="420"/>
      </w:pPr>
    </w:lvl>
    <w:lvl w:ilvl="4" w:tentative="0">
      <w:start w:val="1"/>
      <w:numFmt w:val="lowerLetter"/>
      <w:lvlText w:val="%5)"/>
      <w:lvlJc w:val="left"/>
      <w:pPr>
        <w:ind w:left="2755" w:hanging="420"/>
      </w:pPr>
    </w:lvl>
    <w:lvl w:ilvl="5" w:tentative="0">
      <w:start w:val="1"/>
      <w:numFmt w:val="lowerRoman"/>
      <w:lvlText w:val="%6."/>
      <w:lvlJc w:val="right"/>
      <w:pPr>
        <w:ind w:left="3175" w:hanging="420"/>
      </w:pPr>
    </w:lvl>
    <w:lvl w:ilvl="6" w:tentative="0">
      <w:start w:val="1"/>
      <w:numFmt w:val="decimal"/>
      <w:lvlText w:val="%7."/>
      <w:lvlJc w:val="left"/>
      <w:pPr>
        <w:ind w:left="3595" w:hanging="420"/>
      </w:pPr>
    </w:lvl>
    <w:lvl w:ilvl="7" w:tentative="0">
      <w:start w:val="1"/>
      <w:numFmt w:val="lowerLetter"/>
      <w:lvlText w:val="%8)"/>
      <w:lvlJc w:val="left"/>
      <w:pPr>
        <w:ind w:left="4015" w:hanging="420"/>
      </w:pPr>
    </w:lvl>
    <w:lvl w:ilvl="8" w:tentative="0">
      <w:start w:val="1"/>
      <w:numFmt w:val="lowerRoman"/>
      <w:lvlText w:val="%9."/>
      <w:lvlJc w:val="right"/>
      <w:pPr>
        <w:ind w:left="4435" w:hanging="420"/>
      </w:pPr>
    </w:lvl>
  </w:abstractNum>
  <w:abstractNum w:abstractNumId="8">
    <w:nsid w:val="59915CA8"/>
    <w:multiLevelType w:val="multilevel"/>
    <w:tmpl w:val="59915CA8"/>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0"/>
  </w:num>
  <w:num w:numId="2">
    <w:abstractNumId w:val="5"/>
  </w:num>
  <w:num w:numId="3">
    <w:abstractNumId w:val="6"/>
  </w:num>
  <w:num w:numId="4">
    <w:abstractNumId w:val="2"/>
  </w:num>
  <w:num w:numId="5">
    <w:abstractNumId w:val="3"/>
  </w:num>
  <w:num w:numId="6">
    <w:abstractNumId w:val="1"/>
  </w:num>
  <w:num w:numId="7">
    <w:abstractNumId w:val="4"/>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UzZDdkMWRkMTA4Y2NkNmE2OTY5Mzc0ODE0MTlkYWYifQ=="/>
  </w:docVars>
  <w:rsids>
    <w:rsidRoot w:val="16764CB7"/>
    <w:rsid w:val="00017AC5"/>
    <w:rsid w:val="00022D2F"/>
    <w:rsid w:val="00031A18"/>
    <w:rsid w:val="0007409F"/>
    <w:rsid w:val="000944E2"/>
    <w:rsid w:val="001C6FC4"/>
    <w:rsid w:val="001D1FBD"/>
    <w:rsid w:val="002132BC"/>
    <w:rsid w:val="002B0E75"/>
    <w:rsid w:val="002F7053"/>
    <w:rsid w:val="003523E6"/>
    <w:rsid w:val="003D0250"/>
    <w:rsid w:val="00421924"/>
    <w:rsid w:val="005139E1"/>
    <w:rsid w:val="00591CDF"/>
    <w:rsid w:val="005B29F4"/>
    <w:rsid w:val="005D565F"/>
    <w:rsid w:val="00652456"/>
    <w:rsid w:val="00685301"/>
    <w:rsid w:val="00697776"/>
    <w:rsid w:val="006F0A7C"/>
    <w:rsid w:val="006F1CC2"/>
    <w:rsid w:val="0080384C"/>
    <w:rsid w:val="008055AA"/>
    <w:rsid w:val="0081014D"/>
    <w:rsid w:val="0082385C"/>
    <w:rsid w:val="00853BE7"/>
    <w:rsid w:val="008A51F9"/>
    <w:rsid w:val="008E5E4B"/>
    <w:rsid w:val="0092715F"/>
    <w:rsid w:val="009614A2"/>
    <w:rsid w:val="00962EA9"/>
    <w:rsid w:val="00AF3FC0"/>
    <w:rsid w:val="00B276C9"/>
    <w:rsid w:val="00B7128C"/>
    <w:rsid w:val="00BD348D"/>
    <w:rsid w:val="00C13DD4"/>
    <w:rsid w:val="00C156FC"/>
    <w:rsid w:val="00C229C1"/>
    <w:rsid w:val="00CB18B0"/>
    <w:rsid w:val="00CC0F53"/>
    <w:rsid w:val="00CF4589"/>
    <w:rsid w:val="00D1729F"/>
    <w:rsid w:val="00D263FD"/>
    <w:rsid w:val="00D55213"/>
    <w:rsid w:val="00DB0260"/>
    <w:rsid w:val="00DB28F7"/>
    <w:rsid w:val="00DC74F8"/>
    <w:rsid w:val="00DD08BB"/>
    <w:rsid w:val="00E0557C"/>
    <w:rsid w:val="00E42653"/>
    <w:rsid w:val="00E6014A"/>
    <w:rsid w:val="00E7559F"/>
    <w:rsid w:val="00EA7AC1"/>
    <w:rsid w:val="00EE139D"/>
    <w:rsid w:val="00F51E8D"/>
    <w:rsid w:val="00F53FF4"/>
    <w:rsid w:val="00F541FC"/>
    <w:rsid w:val="00F63EAA"/>
    <w:rsid w:val="00FC35E0"/>
    <w:rsid w:val="01785455"/>
    <w:rsid w:val="023F6090"/>
    <w:rsid w:val="02E31C3D"/>
    <w:rsid w:val="03C86B9D"/>
    <w:rsid w:val="045855B3"/>
    <w:rsid w:val="052339B7"/>
    <w:rsid w:val="05871402"/>
    <w:rsid w:val="06491FD2"/>
    <w:rsid w:val="06F86715"/>
    <w:rsid w:val="09C5204A"/>
    <w:rsid w:val="0C42637B"/>
    <w:rsid w:val="0DC348F3"/>
    <w:rsid w:val="0E5E5EB3"/>
    <w:rsid w:val="0FF85F3C"/>
    <w:rsid w:val="12373D0E"/>
    <w:rsid w:val="128358D7"/>
    <w:rsid w:val="12B460CC"/>
    <w:rsid w:val="14B25C3A"/>
    <w:rsid w:val="15143298"/>
    <w:rsid w:val="16415708"/>
    <w:rsid w:val="16702739"/>
    <w:rsid w:val="16764CB7"/>
    <w:rsid w:val="17FD65AB"/>
    <w:rsid w:val="185D5126"/>
    <w:rsid w:val="196423C0"/>
    <w:rsid w:val="1A3045A7"/>
    <w:rsid w:val="1A304E9E"/>
    <w:rsid w:val="1C770500"/>
    <w:rsid w:val="1C9E034E"/>
    <w:rsid w:val="1CC610FE"/>
    <w:rsid w:val="1CF82740"/>
    <w:rsid w:val="1F1D7927"/>
    <w:rsid w:val="20CE03FE"/>
    <w:rsid w:val="2150547B"/>
    <w:rsid w:val="21A76811"/>
    <w:rsid w:val="23397507"/>
    <w:rsid w:val="24AF209D"/>
    <w:rsid w:val="25784B02"/>
    <w:rsid w:val="266324F6"/>
    <w:rsid w:val="272B4523"/>
    <w:rsid w:val="279C08A0"/>
    <w:rsid w:val="29307AEB"/>
    <w:rsid w:val="29333F88"/>
    <w:rsid w:val="298D7A66"/>
    <w:rsid w:val="2B482EA6"/>
    <w:rsid w:val="2DF121E3"/>
    <w:rsid w:val="2F636ECC"/>
    <w:rsid w:val="2F867E18"/>
    <w:rsid w:val="31F26400"/>
    <w:rsid w:val="332005AB"/>
    <w:rsid w:val="33BA7131"/>
    <w:rsid w:val="34E40E1C"/>
    <w:rsid w:val="354E02FE"/>
    <w:rsid w:val="35802413"/>
    <w:rsid w:val="3BE058B8"/>
    <w:rsid w:val="3CF6526B"/>
    <w:rsid w:val="3EF773F5"/>
    <w:rsid w:val="3FFA70D0"/>
    <w:rsid w:val="41BB2288"/>
    <w:rsid w:val="42AF0DEA"/>
    <w:rsid w:val="42B530CC"/>
    <w:rsid w:val="43090D2F"/>
    <w:rsid w:val="43557D24"/>
    <w:rsid w:val="43595363"/>
    <w:rsid w:val="45982B1D"/>
    <w:rsid w:val="45A7047E"/>
    <w:rsid w:val="45F27543"/>
    <w:rsid w:val="47977A7B"/>
    <w:rsid w:val="48276B7A"/>
    <w:rsid w:val="483C549F"/>
    <w:rsid w:val="48B27F0B"/>
    <w:rsid w:val="49AC2EAB"/>
    <w:rsid w:val="49E87752"/>
    <w:rsid w:val="4A030DFC"/>
    <w:rsid w:val="4B760E11"/>
    <w:rsid w:val="4C2C568E"/>
    <w:rsid w:val="4DB64CC0"/>
    <w:rsid w:val="4FFE6B59"/>
    <w:rsid w:val="509345D5"/>
    <w:rsid w:val="514F5DAB"/>
    <w:rsid w:val="5250299F"/>
    <w:rsid w:val="542F4278"/>
    <w:rsid w:val="5499443B"/>
    <w:rsid w:val="55EF0115"/>
    <w:rsid w:val="5609216F"/>
    <w:rsid w:val="56283B65"/>
    <w:rsid w:val="569A576F"/>
    <w:rsid w:val="5C9F2EA5"/>
    <w:rsid w:val="5CDE1F28"/>
    <w:rsid w:val="5E503A76"/>
    <w:rsid w:val="6003269F"/>
    <w:rsid w:val="61462B0F"/>
    <w:rsid w:val="637635E5"/>
    <w:rsid w:val="63D86393"/>
    <w:rsid w:val="64814397"/>
    <w:rsid w:val="65B7743A"/>
    <w:rsid w:val="65BC5817"/>
    <w:rsid w:val="66764C07"/>
    <w:rsid w:val="66F531E4"/>
    <w:rsid w:val="67325312"/>
    <w:rsid w:val="67F76824"/>
    <w:rsid w:val="68B4258B"/>
    <w:rsid w:val="696E4359"/>
    <w:rsid w:val="6B8D7AA5"/>
    <w:rsid w:val="6C4869AF"/>
    <w:rsid w:val="6C950E4F"/>
    <w:rsid w:val="6EFD7024"/>
    <w:rsid w:val="6F0D0D3F"/>
    <w:rsid w:val="6FD14446"/>
    <w:rsid w:val="72F86E79"/>
    <w:rsid w:val="72FA0E9C"/>
    <w:rsid w:val="73F3218A"/>
    <w:rsid w:val="769E0937"/>
    <w:rsid w:val="77E97A7C"/>
    <w:rsid w:val="78475249"/>
    <w:rsid w:val="790D288D"/>
    <w:rsid w:val="7AAE0029"/>
    <w:rsid w:val="7C38276C"/>
    <w:rsid w:val="7C4B227C"/>
    <w:rsid w:val="7CA26670"/>
    <w:rsid w:val="7DB6798F"/>
    <w:rsid w:val="7FBD37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1"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12">
    <w:name w:val="heading 1"/>
    <w:basedOn w:val="1"/>
    <w:next w:val="1"/>
    <w:qFormat/>
    <w:uiPriority w:val="9"/>
    <w:pPr>
      <w:keepNext/>
      <w:keepLines/>
      <w:spacing w:before="340" w:after="330" w:line="578" w:lineRule="auto"/>
      <w:outlineLvl w:val="0"/>
    </w:pPr>
    <w:rPr>
      <w:b/>
      <w:bCs/>
      <w:kern w:val="44"/>
      <w:sz w:val="44"/>
      <w:szCs w:val="44"/>
    </w:rPr>
  </w:style>
  <w:style w:type="paragraph" w:styleId="5">
    <w:name w:val="heading 2"/>
    <w:basedOn w:val="1"/>
    <w:next w:val="1"/>
    <w:qFormat/>
    <w:uiPriority w:val="0"/>
    <w:pPr>
      <w:keepNext/>
      <w:keepLines/>
      <w:spacing w:before="260" w:after="260" w:line="413" w:lineRule="auto"/>
      <w:outlineLvl w:val="1"/>
    </w:pPr>
    <w:rPr>
      <w:rFonts w:ascii="Arial" w:hAnsi="Arial" w:eastAsia="黑体"/>
      <w:b/>
      <w:sz w:val="32"/>
    </w:rPr>
  </w:style>
  <w:style w:type="paragraph" w:styleId="13">
    <w:name w:val="heading 3"/>
    <w:basedOn w:val="1"/>
    <w:next w:val="1"/>
    <w:qFormat/>
    <w:uiPriority w:val="1"/>
    <w:pPr>
      <w:ind w:left="710"/>
      <w:outlineLvl w:val="2"/>
    </w:pPr>
    <w:rPr>
      <w:rFonts w:ascii="宋体" w:hAnsi="宋体" w:cs="宋体"/>
      <w:b/>
      <w:bCs/>
      <w:sz w:val="31"/>
      <w:szCs w:val="31"/>
    </w:rPr>
  </w:style>
  <w:style w:type="paragraph" w:styleId="14">
    <w:name w:val="heading 4"/>
    <w:basedOn w:val="1"/>
    <w:next w:val="1"/>
    <w:qFormat/>
    <w:uiPriority w:val="0"/>
    <w:pPr>
      <w:keepNext/>
      <w:keepLines/>
      <w:spacing w:before="280" w:after="290" w:line="372" w:lineRule="auto"/>
      <w:outlineLvl w:val="3"/>
    </w:pPr>
    <w:rPr>
      <w:rFonts w:ascii="Arial" w:hAnsi="Arial" w:eastAsia="黑体"/>
      <w:b/>
      <w:sz w:val="28"/>
    </w:rPr>
  </w:style>
  <w:style w:type="character" w:default="1" w:styleId="27">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next w:val="3"/>
    <w:qFormat/>
    <w:uiPriority w:val="0"/>
    <w:pPr>
      <w:spacing w:after="120" w:line="480" w:lineRule="auto"/>
      <w:ind w:left="420" w:leftChars="200"/>
    </w:pPr>
  </w:style>
  <w:style w:type="paragraph" w:customStyle="1" w:styleId="3">
    <w:name w:val="xl75"/>
    <w:basedOn w:val="1"/>
    <w:next w:val="4"/>
    <w:qFormat/>
    <w:uiPriority w:val="0"/>
    <w:pPr>
      <w:widowControl/>
      <w:spacing w:before="280" w:after="280"/>
      <w:ind w:left="200" w:firstLine="5320"/>
      <w:jc w:val="center"/>
    </w:pPr>
    <w:rPr>
      <w:rFonts w:ascii="宋体"/>
    </w:rPr>
  </w:style>
  <w:style w:type="paragraph" w:customStyle="1" w:styleId="4">
    <w:name w:val="Test2"/>
    <w:basedOn w:val="5"/>
    <w:next w:val="6"/>
    <w:qFormat/>
    <w:uiPriority w:val="0"/>
    <w:pPr>
      <w:widowControl/>
      <w:spacing w:before="156" w:after="156" w:line="480" w:lineRule="exact"/>
      <w:ind w:left="200" w:firstLine="14"/>
      <w:jc w:val="center"/>
    </w:pPr>
  </w:style>
  <w:style w:type="paragraph" w:customStyle="1" w:styleId="6">
    <w:name w:val="xl59"/>
    <w:basedOn w:val="1"/>
    <w:next w:val="7"/>
    <w:qFormat/>
    <w:uiPriority w:val="0"/>
    <w:pPr>
      <w:widowControl/>
      <w:spacing w:before="280" w:after="280"/>
      <w:ind w:left="200" w:firstLine="5320"/>
      <w:jc w:val="center"/>
    </w:pPr>
    <w:rPr>
      <w:rFonts w:ascii="Calibri"/>
    </w:rPr>
  </w:style>
  <w:style w:type="paragraph" w:customStyle="1" w:styleId="7">
    <w:name w:val="方案正文"/>
    <w:basedOn w:val="1"/>
    <w:next w:val="8"/>
    <w:qFormat/>
    <w:uiPriority w:val="0"/>
    <w:pPr>
      <w:spacing w:before="156" w:line="360" w:lineRule="auto"/>
      <w:ind w:left="359" w:firstLine="3687"/>
    </w:pPr>
  </w:style>
  <w:style w:type="paragraph" w:customStyle="1" w:styleId="8">
    <w:name w:val="小四 段落 宋体 Char Char Char Char"/>
    <w:basedOn w:val="1"/>
    <w:next w:val="9"/>
    <w:qFormat/>
    <w:uiPriority w:val="0"/>
    <w:pPr>
      <w:spacing w:line="360" w:lineRule="auto"/>
      <w:ind w:left="480" w:right="-33" w:firstLine="3808"/>
    </w:pPr>
  </w:style>
  <w:style w:type="paragraph" w:customStyle="1" w:styleId="9">
    <w:name w:val="flType"/>
    <w:basedOn w:val="10"/>
    <w:next w:val="1"/>
    <w:qFormat/>
    <w:uiPriority w:val="0"/>
    <w:pPr>
      <w:spacing w:after="284"/>
      <w:ind w:firstLine="4608"/>
    </w:pPr>
    <w:rPr>
      <w:rFonts w:ascii="Calibri" w:eastAsia="宋体"/>
    </w:rPr>
  </w:style>
  <w:style w:type="paragraph" w:customStyle="1" w:styleId="10">
    <w:name w:val="flName"/>
    <w:basedOn w:val="11"/>
    <w:qFormat/>
    <w:uiPriority w:val="0"/>
    <w:pPr>
      <w:spacing w:before="0" w:line="113" w:lineRule="atLeast"/>
    </w:pPr>
  </w:style>
  <w:style w:type="paragraph" w:customStyle="1" w:styleId="11">
    <w:name w:val="flNote"/>
    <w:basedOn w:val="1"/>
    <w:qFormat/>
    <w:uiPriority w:val="0"/>
    <w:pPr>
      <w:adjustRightInd w:val="0"/>
      <w:spacing w:before="567" w:line="360" w:lineRule="atLeast"/>
      <w:jc w:val="center"/>
      <w:textAlignment w:val="baseline"/>
    </w:pPr>
    <w:rPr>
      <w:rFonts w:eastAsia="黑体"/>
      <w:b/>
      <w:kern w:val="0"/>
      <w:sz w:val="24"/>
    </w:rPr>
  </w:style>
  <w:style w:type="paragraph" w:styleId="15">
    <w:name w:val="annotation text"/>
    <w:basedOn w:val="1"/>
    <w:link w:val="38"/>
    <w:qFormat/>
    <w:uiPriority w:val="0"/>
    <w:pPr>
      <w:jc w:val="left"/>
    </w:pPr>
  </w:style>
  <w:style w:type="paragraph" w:styleId="16">
    <w:name w:val="Body Text"/>
    <w:basedOn w:val="1"/>
    <w:qFormat/>
    <w:uiPriority w:val="1"/>
    <w:rPr>
      <w:rFonts w:ascii="宋体" w:hAnsi="宋体" w:cs="宋体"/>
      <w:sz w:val="24"/>
      <w:szCs w:val="24"/>
    </w:rPr>
  </w:style>
  <w:style w:type="paragraph" w:styleId="17">
    <w:name w:val="Block Text"/>
    <w:basedOn w:val="1"/>
    <w:unhideWhenUsed/>
    <w:qFormat/>
    <w:uiPriority w:val="99"/>
    <w:pPr>
      <w:spacing w:after="120"/>
      <w:ind w:left="1440" w:leftChars="700" w:right="1440" w:rightChars="700"/>
    </w:pPr>
  </w:style>
  <w:style w:type="paragraph" w:styleId="18">
    <w:name w:val="Plain Text"/>
    <w:basedOn w:val="1"/>
    <w:qFormat/>
    <w:uiPriority w:val="0"/>
    <w:rPr>
      <w:rFonts w:ascii="宋体" w:hAnsi="Courier New" w:eastAsiaTheme="minorEastAsia" w:cstheme="minorBidi"/>
      <w:szCs w:val="22"/>
    </w:rPr>
  </w:style>
  <w:style w:type="paragraph" w:styleId="19">
    <w:name w:val="Balloon Text"/>
    <w:basedOn w:val="1"/>
    <w:link w:val="37"/>
    <w:qFormat/>
    <w:uiPriority w:val="0"/>
    <w:rPr>
      <w:sz w:val="18"/>
      <w:szCs w:val="18"/>
    </w:rPr>
  </w:style>
  <w:style w:type="paragraph" w:styleId="20">
    <w:name w:val="footer"/>
    <w:basedOn w:val="1"/>
    <w:qFormat/>
    <w:uiPriority w:val="99"/>
    <w:pPr>
      <w:tabs>
        <w:tab w:val="center" w:pos="4153"/>
        <w:tab w:val="right" w:pos="8306"/>
      </w:tabs>
      <w:snapToGrid w:val="0"/>
      <w:jc w:val="left"/>
    </w:pPr>
    <w:rPr>
      <w:sz w:val="18"/>
      <w:szCs w:val="18"/>
    </w:rPr>
  </w:style>
  <w:style w:type="paragraph" w:styleId="2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0"/>
  </w:style>
  <w:style w:type="paragraph" w:styleId="23">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rPr>
  </w:style>
  <w:style w:type="paragraph" w:styleId="24">
    <w:name w:val="Normal (Web)"/>
    <w:basedOn w:val="1"/>
    <w:qFormat/>
    <w:uiPriority w:val="99"/>
    <w:pPr>
      <w:spacing w:beforeAutospacing="1" w:afterAutospacing="1"/>
      <w:jc w:val="left"/>
    </w:pPr>
    <w:rPr>
      <w:kern w:val="0"/>
      <w:sz w:val="24"/>
      <w:szCs w:val="24"/>
    </w:rPr>
  </w:style>
  <w:style w:type="paragraph" w:styleId="25">
    <w:name w:val="annotation subject"/>
    <w:basedOn w:val="15"/>
    <w:next w:val="15"/>
    <w:link w:val="45"/>
    <w:qFormat/>
    <w:uiPriority w:val="0"/>
    <w:rPr>
      <w:b/>
      <w:bCs/>
    </w:rPr>
  </w:style>
  <w:style w:type="character" w:styleId="28">
    <w:name w:val="Strong"/>
    <w:basedOn w:val="27"/>
    <w:qFormat/>
    <w:uiPriority w:val="0"/>
    <w:rPr>
      <w:b/>
    </w:rPr>
  </w:style>
  <w:style w:type="character" w:styleId="29">
    <w:name w:val="FollowedHyperlink"/>
    <w:basedOn w:val="27"/>
    <w:qFormat/>
    <w:uiPriority w:val="0"/>
    <w:rPr>
      <w:color w:val="156356"/>
      <w:u w:val="none"/>
    </w:rPr>
  </w:style>
  <w:style w:type="character" w:styleId="30">
    <w:name w:val="Hyperlink"/>
    <w:basedOn w:val="27"/>
    <w:qFormat/>
    <w:uiPriority w:val="0"/>
    <w:rPr>
      <w:color w:val="156356"/>
      <w:u w:val="none"/>
    </w:rPr>
  </w:style>
  <w:style w:type="character" w:styleId="31">
    <w:name w:val="annotation reference"/>
    <w:basedOn w:val="27"/>
    <w:qFormat/>
    <w:uiPriority w:val="0"/>
    <w:rPr>
      <w:sz w:val="21"/>
      <w:szCs w:val="21"/>
    </w:rPr>
  </w:style>
  <w:style w:type="paragraph" w:customStyle="1" w:styleId="32">
    <w:name w:val="WPSOffice手动目录 1"/>
    <w:qFormat/>
    <w:uiPriority w:val="0"/>
    <w:rPr>
      <w:rFonts w:ascii="Times New Roman" w:hAnsi="Times New Roman" w:eastAsia="宋体" w:cs="Times New Roman"/>
      <w:lang w:val="en-US" w:eastAsia="zh-CN" w:bidi="ar-SA"/>
    </w:rPr>
  </w:style>
  <w:style w:type="paragraph" w:styleId="33">
    <w:name w:val="List Paragraph"/>
    <w:basedOn w:val="1"/>
    <w:qFormat/>
    <w:uiPriority w:val="34"/>
    <w:pPr>
      <w:ind w:firstLine="420" w:firstLineChars="200"/>
    </w:pPr>
  </w:style>
  <w:style w:type="paragraph" w:customStyle="1" w:styleId="34">
    <w:name w:val="Table Paragraph"/>
    <w:basedOn w:val="1"/>
    <w:qFormat/>
    <w:uiPriority w:val="1"/>
    <w:rPr>
      <w:rFonts w:ascii="宋体" w:hAnsi="宋体" w:cs="宋体"/>
    </w:rPr>
  </w:style>
  <w:style w:type="paragraph" w:customStyle="1" w:styleId="35">
    <w:name w:val="样式 标题 2 + Times New Roman 四号 非加粗 段前: 5 磅 段后: 0 磅 行距: 固定值 20..."/>
    <w:basedOn w:val="5"/>
    <w:qFormat/>
    <w:uiPriority w:val="0"/>
    <w:pPr>
      <w:spacing w:before="100" w:after="0" w:line="400" w:lineRule="exact"/>
    </w:pPr>
    <w:rPr>
      <w:rFonts w:ascii="Times New Roman" w:hAnsi="Times New Roman"/>
      <w:b w:val="0"/>
      <w:sz w:val="28"/>
    </w:rPr>
  </w:style>
  <w:style w:type="paragraph" w:customStyle="1" w:styleId="36">
    <w:name w:val="样式 标题 3 + (中文) 黑体 小四 非加粗 段前: 7.8 磅 段后: 0 磅 行距: 固定值 20 磅"/>
    <w:basedOn w:val="13"/>
    <w:qFormat/>
    <w:uiPriority w:val="0"/>
    <w:pPr>
      <w:spacing w:line="400" w:lineRule="exact"/>
    </w:pPr>
    <w:rPr>
      <w:rFonts w:eastAsia="黑体"/>
      <w:b w:val="0"/>
      <w:sz w:val="24"/>
    </w:rPr>
  </w:style>
  <w:style w:type="character" w:customStyle="1" w:styleId="37">
    <w:name w:val="批注框文本 字符"/>
    <w:basedOn w:val="27"/>
    <w:link w:val="19"/>
    <w:qFormat/>
    <w:uiPriority w:val="0"/>
    <w:rPr>
      <w:rFonts w:ascii="Times New Roman" w:hAnsi="Times New Roman" w:eastAsia="宋体" w:cs="Times New Roman"/>
      <w:kern w:val="2"/>
      <w:sz w:val="18"/>
      <w:szCs w:val="18"/>
    </w:rPr>
  </w:style>
  <w:style w:type="character" w:customStyle="1" w:styleId="38">
    <w:name w:val="批注文字 字符"/>
    <w:link w:val="15"/>
    <w:qFormat/>
    <w:uiPriority w:val="0"/>
    <w:rPr>
      <w:rFonts w:ascii="Times New Roman" w:hAnsi="Times New Roman" w:eastAsia="宋体" w:cs="Times New Roman"/>
      <w:kern w:val="2"/>
      <w:sz w:val="21"/>
    </w:rPr>
  </w:style>
  <w:style w:type="character" w:customStyle="1" w:styleId="39">
    <w:name w:val="layui-this"/>
    <w:basedOn w:val="27"/>
    <w:qFormat/>
    <w:uiPriority w:val="0"/>
    <w:rPr>
      <w:bdr w:val="single" w:color="EEEEEE" w:sz="6" w:space="0"/>
      <w:shd w:val="clear" w:color="auto" w:fill="FFFFFF"/>
    </w:rPr>
  </w:style>
  <w:style w:type="character" w:customStyle="1" w:styleId="40">
    <w:name w:val="layui-laypage-curr"/>
    <w:basedOn w:val="27"/>
    <w:qFormat/>
    <w:uiPriority w:val="0"/>
  </w:style>
  <w:style w:type="character" w:customStyle="1" w:styleId="41">
    <w:name w:val="hover12"/>
    <w:basedOn w:val="27"/>
    <w:qFormat/>
    <w:uiPriority w:val="0"/>
  </w:style>
  <w:style w:type="character" w:customStyle="1" w:styleId="42">
    <w:name w:val="first-child"/>
    <w:basedOn w:val="27"/>
    <w:qFormat/>
    <w:uiPriority w:val="0"/>
  </w:style>
  <w:style w:type="character" w:customStyle="1" w:styleId="43">
    <w:name w:val="label"/>
    <w:basedOn w:val="27"/>
    <w:qFormat/>
    <w:uiPriority w:val="0"/>
    <w:rPr>
      <w:color w:val="999999"/>
    </w:rPr>
  </w:style>
  <w:style w:type="character" w:customStyle="1" w:styleId="44">
    <w:name w:val="hover13"/>
    <w:basedOn w:val="27"/>
    <w:qFormat/>
    <w:uiPriority w:val="0"/>
  </w:style>
  <w:style w:type="character" w:customStyle="1" w:styleId="45">
    <w:name w:val="批注主题 字符"/>
    <w:basedOn w:val="38"/>
    <w:link w:val="25"/>
    <w:qFormat/>
    <w:uiPriority w:val="0"/>
    <w:rPr>
      <w:rFonts w:ascii="Times New Roman" w:hAnsi="Times New Roman" w:eastAsia="宋体" w:cs="Times New Roman"/>
      <w:b/>
      <w:bCs/>
      <w:kern w:val="2"/>
      <w:sz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4CBFA2B-A729-4BE6-9359-DDF10B2F658B}">
  <ds:schemaRefs/>
</ds:datastoreItem>
</file>

<file path=docProps/app.xml><?xml version="1.0" encoding="utf-8"?>
<Properties xmlns="http://schemas.openxmlformats.org/officeDocument/2006/extended-properties" xmlns:vt="http://schemas.openxmlformats.org/officeDocument/2006/docPropsVTypes">
  <Template>Normal</Template>
  <Pages>104</Pages>
  <Words>51213</Words>
  <Characters>53400</Characters>
  <Lines>427</Lines>
  <Paragraphs>120</Paragraphs>
  <TotalTime>151</TotalTime>
  <ScaleCrop>false</ScaleCrop>
  <LinksUpToDate>false</LinksUpToDate>
  <CharactersWithSpaces>55567</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2022-05-18T08:30:00Z</dcterms:created>
  <dc:creator>张明月</dc:creator>
  <cp:lastModifiedBy>cici</cp:lastModifiedBy>
  <cp:lastPrinted>2021-03-09T04:33:00Z</cp:lastPrinted>
  <dcterms:modified xsi:type="dcterms:W3CDTF">2022-06-29T02:05:24Z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3BCEB33E699F4145A1A774857324C845</vt:lpwstr>
  </property>
</Properties>
</file>