
<file path=[Content_Types].xml><?xml version="1.0" encoding="utf-8"?>
<Types xmlns="http://schemas.openxmlformats.org/package/2006/content-types">
  <Default Extension="xml" ContentType="application/xml"/>
  <Default Extension="bin" ContentType="application/vnd.openxmlformats-officedocument.oleObject"/>
  <Default Extension="jpeg" ContentType="image/jpeg"/>
  <Default Extension="JPG" ContentType="image/.jpg"/>
  <Default Extension="wmf" ContentType="image/x-w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16C719">
      <w:pPr>
        <w:shd w:val="clear"/>
        <w:rPr>
          <w:rFonts w:ascii="宋体" w:hAnsi="宋体" w:cs="宋体"/>
          <w:color w:val="000000" w:themeColor="text1"/>
          <w:sz w:val="44"/>
          <w:highlight w:val="none"/>
          <w14:textFill>
            <w14:solidFill>
              <w14:schemeClr w14:val="tx1"/>
            </w14:solidFill>
          </w14:textFill>
        </w:rPr>
      </w:pPr>
    </w:p>
    <w:p w14:paraId="1AAE4CF4">
      <w:pPr>
        <w:shd w:val="clear"/>
        <w:tabs>
          <w:tab w:val="left" w:pos="390"/>
          <w:tab w:val="center" w:pos="4404"/>
        </w:tabs>
        <w:wordWrap w:val="0"/>
        <w:jc w:val="center"/>
        <w:rPr>
          <w:rFonts w:ascii="宋体" w:hAnsi="宋体" w:cs="宋体"/>
          <w:color w:val="000000" w:themeColor="text1"/>
          <w:sz w:val="72"/>
          <w:szCs w:val="72"/>
          <w:highlight w:val="none"/>
          <w14:textFill>
            <w14:solidFill>
              <w14:schemeClr w14:val="tx1"/>
            </w14:solidFill>
          </w14:textFill>
        </w:rPr>
      </w:pPr>
      <w:r>
        <w:rPr>
          <w:rFonts w:hint="eastAsia" w:ascii="宋体" w:hAnsi="宋体" w:cs="宋体"/>
          <w:color w:val="000000" w:themeColor="text1"/>
          <w:sz w:val="72"/>
          <w:szCs w:val="72"/>
          <w:highlight w:val="none"/>
          <w14:textFill>
            <w14:solidFill>
              <w14:schemeClr w14:val="tx1"/>
            </w14:solidFill>
          </w14:textFill>
        </w:rPr>
        <w:t>竞争性磋商文件</w:t>
      </w:r>
    </w:p>
    <w:p w14:paraId="09D58CBD">
      <w:pPr>
        <w:shd w:val="clear"/>
        <w:wordWrap w:val="0"/>
        <w:rPr>
          <w:rFonts w:ascii="宋体" w:hAnsi="宋体" w:cs="宋体"/>
          <w:color w:val="000000" w:themeColor="text1"/>
          <w:sz w:val="32"/>
          <w:highlight w:val="none"/>
          <w14:textFill>
            <w14:solidFill>
              <w14:schemeClr w14:val="tx1"/>
            </w14:solidFill>
          </w14:textFill>
        </w:rPr>
      </w:pPr>
    </w:p>
    <w:p w14:paraId="05B27451">
      <w:pPr>
        <w:shd w:val="clear"/>
        <w:wordWrap w:val="0"/>
        <w:rPr>
          <w:rFonts w:ascii="宋体" w:hAnsi="宋体" w:cs="宋体"/>
          <w:color w:val="000000" w:themeColor="text1"/>
          <w:sz w:val="32"/>
          <w:highlight w:val="none"/>
          <w14:textFill>
            <w14:solidFill>
              <w14:schemeClr w14:val="tx1"/>
            </w14:solidFill>
          </w14:textFill>
        </w:rPr>
      </w:pPr>
    </w:p>
    <w:p w14:paraId="2CA29F78">
      <w:pPr>
        <w:shd w:val="clear"/>
        <w:wordWrap w:val="0"/>
        <w:rPr>
          <w:rFonts w:ascii="宋体" w:hAnsi="宋体" w:cs="宋体"/>
          <w:color w:val="000000" w:themeColor="text1"/>
          <w:sz w:val="32"/>
          <w:highlight w:val="none"/>
          <w14:textFill>
            <w14:solidFill>
              <w14:schemeClr w14:val="tx1"/>
            </w14:solidFill>
          </w14:textFill>
        </w:rPr>
      </w:pPr>
    </w:p>
    <w:p w14:paraId="2A4970D3">
      <w:pPr>
        <w:shd w:val="clear"/>
        <w:wordWrap w:val="0"/>
        <w:jc w:val="center"/>
        <w:rPr>
          <w:rFonts w:ascii="宋体" w:hAnsi="宋体" w:cs="宋体"/>
          <w:color w:val="000000" w:themeColor="text1"/>
          <w:sz w:val="44"/>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drawing>
          <wp:inline distT="0" distB="0" distL="114300" distR="114300">
            <wp:extent cx="1717675" cy="2131695"/>
            <wp:effectExtent l="0" t="0" r="15875" b="1905"/>
            <wp:docPr id="3" name="图片 3" descr="我的插图-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我的插图-1"/>
                    <pic:cNvPicPr>
                      <a:picLocks noChangeAspect="1"/>
                    </pic:cNvPicPr>
                  </pic:nvPicPr>
                  <pic:blipFill>
                    <a:blip r:embed="rId12"/>
                    <a:stretch>
                      <a:fillRect/>
                    </a:stretch>
                  </pic:blipFill>
                  <pic:spPr>
                    <a:xfrm>
                      <a:off x="0" y="0"/>
                      <a:ext cx="1717675" cy="2131695"/>
                    </a:xfrm>
                    <a:prstGeom prst="rect">
                      <a:avLst/>
                    </a:prstGeom>
                    <a:noFill/>
                    <a:ln>
                      <a:noFill/>
                    </a:ln>
                  </pic:spPr>
                </pic:pic>
              </a:graphicData>
            </a:graphic>
          </wp:inline>
        </w:drawing>
      </w:r>
      <w:r>
        <w:rPr>
          <w:rFonts w:ascii="宋体" w:hAnsi="宋体" w:cs="宋体"/>
          <w:b/>
          <w:bCs/>
          <w:color w:val="000000" w:themeColor="text1"/>
          <w:highlight w:val="none"/>
          <w14:textFill>
            <w14:solidFill>
              <w14:schemeClr w14:val="tx1"/>
            </w14:solidFill>
          </w14:textFill>
        </w:rPr>
        <w:t xml:space="preserve">   </w:t>
      </w:r>
    </w:p>
    <w:tbl>
      <w:tblPr>
        <w:tblStyle w:val="25"/>
        <w:tblW w:w="9204"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04"/>
      </w:tblGrid>
      <w:tr w14:paraId="22FD84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23" w:hRule="atLeast"/>
        </w:trPr>
        <w:tc>
          <w:tcPr>
            <w:tcW w:w="9204" w:type="dxa"/>
            <w:tcBorders>
              <w:top w:val="nil"/>
              <w:left w:val="nil"/>
              <w:bottom w:val="nil"/>
              <w:right w:val="nil"/>
            </w:tcBorders>
          </w:tcPr>
          <w:p w14:paraId="06DAD7DF">
            <w:pPr>
              <w:shd w:val="clear"/>
              <w:wordWrap w:val="0"/>
              <w:ind w:firstLine="720" w:firstLineChars="200"/>
              <w:rPr>
                <w:rFonts w:hint="eastAsia" w:ascii="宋体" w:hAnsi="宋体" w:eastAsia="宋体" w:cs="宋体"/>
                <w:color w:val="000000" w:themeColor="text1"/>
                <w:sz w:val="36"/>
                <w:szCs w:val="36"/>
                <w:highlight w:val="none"/>
                <w:lang w:eastAsia="zh-CN"/>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项目编号：校方编号：</w:t>
            </w:r>
            <w:r>
              <w:rPr>
                <w:rFonts w:hint="eastAsia" w:ascii="宋体" w:hAnsi="宋体" w:cs="宋体"/>
                <w:color w:val="000000" w:themeColor="text1"/>
                <w:sz w:val="36"/>
                <w:szCs w:val="36"/>
                <w:highlight w:val="none"/>
                <w:lang w:eastAsia="zh-CN"/>
                <w14:textFill>
                  <w14:solidFill>
                    <w14:schemeClr w14:val="tx1"/>
                  </w14:solidFill>
                </w14:textFill>
              </w:rPr>
              <w:t>DCGPCS031250387</w:t>
            </w:r>
          </w:p>
          <w:p w14:paraId="5C88C190">
            <w:pPr>
              <w:shd w:val="clear"/>
              <w:wordWrap w:val="0"/>
              <w:ind w:firstLine="2520" w:firstLineChars="700"/>
              <w:rPr>
                <w:rFonts w:hint="eastAsia" w:ascii="宋体" w:hAnsi="宋体" w:eastAsia="宋体" w:cs="宋体"/>
                <w:color w:val="000000" w:themeColor="text1"/>
                <w:sz w:val="36"/>
                <w:szCs w:val="36"/>
                <w:highlight w:val="none"/>
                <w:lang w:eastAsia="zh-CN"/>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代理机构编号：SNZX-</w:t>
            </w:r>
            <w:r>
              <w:rPr>
                <w:rFonts w:hint="eastAsia" w:ascii="宋体" w:hAnsi="宋体" w:cs="宋体"/>
                <w:color w:val="000000" w:themeColor="text1"/>
                <w:sz w:val="36"/>
                <w:szCs w:val="36"/>
                <w:highlight w:val="none"/>
                <w:lang w:eastAsia="zh-CN"/>
                <w14:textFill>
                  <w14:solidFill>
                    <w14:schemeClr w14:val="tx1"/>
                  </w14:solidFill>
                </w14:textFill>
              </w:rPr>
              <w:t>20250768</w:t>
            </w:r>
          </w:p>
          <w:p w14:paraId="1CB1E8C1">
            <w:pPr>
              <w:shd w:val="clear"/>
              <w:wordWrap w:val="0"/>
              <w:ind w:firstLine="720" w:firstLineChars="200"/>
              <w:rPr>
                <w:rFonts w:hint="eastAsia" w:ascii="宋体" w:hAnsi="宋体" w:eastAsia="宋体" w:cs="宋体"/>
                <w:color w:val="000000" w:themeColor="text1"/>
                <w:sz w:val="36"/>
                <w:szCs w:val="36"/>
                <w:highlight w:val="none"/>
                <w:lang w:eastAsia="zh-CN"/>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项目名称：</w:t>
            </w:r>
            <w:r>
              <w:rPr>
                <w:rFonts w:hint="eastAsia" w:ascii="宋体" w:hAnsi="宋体" w:cs="宋体"/>
                <w:color w:val="000000" w:themeColor="text1"/>
                <w:sz w:val="36"/>
                <w:szCs w:val="36"/>
                <w:highlight w:val="none"/>
                <w:lang w:eastAsia="zh-CN"/>
                <w14:textFill>
                  <w14:solidFill>
                    <w14:schemeClr w14:val="tx1"/>
                  </w14:solidFill>
                </w14:textFill>
              </w:rPr>
              <w:t>中国药科大学玄武门校区学生宿舍浴室改造项目</w:t>
            </w:r>
          </w:p>
          <w:p w14:paraId="6797D645">
            <w:pPr>
              <w:shd w:val="clear"/>
              <w:wordWrap w:val="0"/>
              <w:ind w:firstLine="720" w:firstLineChars="200"/>
              <w:rPr>
                <w:rFonts w:ascii="宋体" w:hAnsi="宋体" w:cs="宋体"/>
                <w:color w:val="000000" w:themeColor="text1"/>
                <w:sz w:val="44"/>
                <w:szCs w:val="44"/>
                <w:highlight w:val="none"/>
                <w:lang w:val="zh-CN"/>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采购类别：工程类</w:t>
            </w:r>
          </w:p>
        </w:tc>
      </w:tr>
    </w:tbl>
    <w:p w14:paraId="161B3D5E">
      <w:pPr>
        <w:pStyle w:val="5"/>
        <w:shd w:val="clear"/>
        <w:spacing w:before="0" w:after="0"/>
        <w:rPr>
          <w:color w:val="000000" w:themeColor="text1"/>
          <w:highlight w:val="none"/>
          <w14:textFill>
            <w14:solidFill>
              <w14:schemeClr w14:val="tx1"/>
            </w14:solidFill>
          </w14:textFill>
        </w:rPr>
      </w:pPr>
    </w:p>
    <w:p w14:paraId="2A91070F">
      <w:pPr>
        <w:rPr>
          <w:color w:val="000000" w:themeColor="text1"/>
          <w:highlight w:val="none"/>
          <w14:textFill>
            <w14:solidFill>
              <w14:schemeClr w14:val="tx1"/>
            </w14:solidFill>
          </w14:textFill>
        </w:rPr>
      </w:pPr>
    </w:p>
    <w:p w14:paraId="3427AF9D">
      <w:pPr>
        <w:pStyle w:val="14"/>
        <w:rPr>
          <w:color w:val="000000" w:themeColor="text1"/>
          <w:highlight w:val="none"/>
          <w14:textFill>
            <w14:solidFill>
              <w14:schemeClr w14:val="tx1"/>
            </w14:solidFill>
          </w14:textFill>
        </w:rPr>
      </w:pPr>
    </w:p>
    <w:p w14:paraId="1FF19EB3">
      <w:pPr>
        <w:pStyle w:val="14"/>
        <w:rPr>
          <w:color w:val="000000" w:themeColor="text1"/>
          <w:highlight w:val="none"/>
          <w14:textFill>
            <w14:solidFill>
              <w14:schemeClr w14:val="tx1"/>
            </w14:solidFill>
          </w14:textFill>
        </w:rPr>
      </w:pPr>
    </w:p>
    <w:p w14:paraId="350C627C">
      <w:pPr>
        <w:pStyle w:val="14"/>
        <w:rPr>
          <w:color w:val="000000" w:themeColor="text1"/>
          <w:highlight w:val="none"/>
          <w14:textFill>
            <w14:solidFill>
              <w14:schemeClr w14:val="tx1"/>
            </w14:solidFill>
          </w14:textFill>
        </w:rPr>
      </w:pPr>
    </w:p>
    <w:p w14:paraId="0C7D6F8F">
      <w:pPr>
        <w:shd w:val="clear"/>
        <w:ind w:firstLine="720" w:firstLineChars="200"/>
        <w:jc w:val="left"/>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采购人：中国药科大学</w:t>
      </w:r>
    </w:p>
    <w:p w14:paraId="214894E5">
      <w:pPr>
        <w:shd w:val="clear"/>
        <w:ind w:firstLine="720" w:firstLineChars="200"/>
        <w:jc w:val="left"/>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招标代理机构：南京苏宁工程咨询有限公司</w:t>
      </w:r>
    </w:p>
    <w:p w14:paraId="2104A490">
      <w:pPr>
        <w:shd w:val="clear"/>
        <w:ind w:firstLine="720" w:firstLineChars="200"/>
        <w:rPr>
          <w:rFonts w:hint="eastAsia"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日期：二〇二</w:t>
      </w:r>
      <w:r>
        <w:rPr>
          <w:rFonts w:hint="eastAsia" w:ascii="宋体" w:hAnsi="宋体" w:cs="宋体"/>
          <w:color w:val="000000" w:themeColor="text1"/>
          <w:sz w:val="36"/>
          <w:szCs w:val="36"/>
          <w:highlight w:val="none"/>
          <w:lang w:eastAsia="zh-CN"/>
          <w14:textFill>
            <w14:solidFill>
              <w14:schemeClr w14:val="tx1"/>
            </w14:solidFill>
          </w14:textFill>
        </w:rPr>
        <w:t>六</w:t>
      </w:r>
      <w:r>
        <w:rPr>
          <w:rFonts w:hint="eastAsia" w:ascii="宋体" w:hAnsi="宋体" w:cs="宋体"/>
          <w:color w:val="000000" w:themeColor="text1"/>
          <w:sz w:val="36"/>
          <w:szCs w:val="36"/>
          <w:highlight w:val="none"/>
          <w14:textFill>
            <w14:solidFill>
              <w14:schemeClr w14:val="tx1"/>
            </w14:solidFill>
          </w14:textFill>
        </w:rPr>
        <w:t>年</w:t>
      </w:r>
      <w:r>
        <w:rPr>
          <w:rFonts w:hint="eastAsia" w:ascii="宋体" w:hAnsi="宋体" w:cs="宋体"/>
          <w:color w:val="000000" w:themeColor="text1"/>
          <w:sz w:val="36"/>
          <w:szCs w:val="36"/>
          <w:highlight w:val="none"/>
          <w:lang w:val="en-US" w:eastAsia="zh-CN"/>
          <w14:textFill>
            <w14:solidFill>
              <w14:schemeClr w14:val="tx1"/>
            </w14:solidFill>
          </w14:textFill>
        </w:rPr>
        <w:t>一</w:t>
      </w:r>
      <w:r>
        <w:rPr>
          <w:rFonts w:hint="eastAsia" w:ascii="宋体" w:hAnsi="宋体" w:cs="宋体"/>
          <w:color w:val="000000" w:themeColor="text1"/>
          <w:sz w:val="36"/>
          <w:szCs w:val="36"/>
          <w:highlight w:val="none"/>
          <w14:textFill>
            <w14:solidFill>
              <w14:schemeClr w14:val="tx1"/>
            </w14:solidFill>
          </w14:textFill>
        </w:rPr>
        <w:t>月</w:t>
      </w:r>
    </w:p>
    <w:sdt>
      <w:sdtPr>
        <w:rPr>
          <w:rFonts w:ascii="宋体" w:hAnsi="宋体" w:eastAsia="宋体" w:cs="Times New Roman"/>
          <w:color w:val="000000" w:themeColor="text1"/>
          <w:kern w:val="2"/>
          <w:sz w:val="21"/>
          <w:highlight w:val="none"/>
          <w:lang w:val="en-US" w:eastAsia="zh-CN" w:bidi="ar-SA"/>
          <w14:textFill>
            <w14:solidFill>
              <w14:schemeClr w14:val="tx1"/>
            </w14:solidFill>
          </w14:textFill>
        </w:rPr>
        <w:id w:val="147456884"/>
        <w15:color w:val="DBDBDB"/>
        <w:docPartObj>
          <w:docPartGallery w:val="Table of Contents"/>
          <w:docPartUnique/>
        </w:docPartObj>
      </w:sdtPr>
      <w:sdtEndPr>
        <w:rPr>
          <w:rFonts w:hint="eastAsia" w:ascii="宋体" w:hAnsi="宋体" w:eastAsia="宋体" w:cs="宋体"/>
          <w:color w:val="000000" w:themeColor="text1"/>
          <w:kern w:val="2"/>
          <w:sz w:val="21"/>
          <w:szCs w:val="36"/>
          <w:highlight w:val="none"/>
          <w:lang w:val="en-US" w:eastAsia="zh-CN" w:bidi="ar-SA"/>
          <w14:textFill>
            <w14:solidFill>
              <w14:schemeClr w14:val="tx1"/>
            </w14:solidFill>
          </w14:textFill>
        </w:rPr>
      </w:sdtEndPr>
      <w:sdtContent>
        <w:p w14:paraId="731B4478">
          <w:pPr>
            <w:keepNext w:val="0"/>
            <w:keepLines w:val="0"/>
            <w:pageBreakBefore w:val="0"/>
            <w:widowControl w:val="0"/>
            <w:kinsoku/>
            <w:wordWrap/>
            <w:overflowPunct/>
            <w:topLinePunct w:val="0"/>
            <w:autoSpaceDE/>
            <w:autoSpaceDN/>
            <w:bidi w:val="0"/>
            <w:adjustRightInd/>
            <w:snapToGrid/>
            <w:spacing w:before="625" w:beforeLines="200" w:after="625" w:afterLines="200" w:line="360" w:lineRule="auto"/>
            <w:ind w:left="0" w:leftChars="0" w:right="0" w:rightChars="0" w:firstLine="0" w:firstLineChars="0"/>
            <w:jc w:val="center"/>
            <w:textAlignment w:val="auto"/>
            <w:rPr>
              <w:color w:val="000000" w:themeColor="text1"/>
              <w:sz w:val="36"/>
              <w:szCs w:val="32"/>
              <w:highlight w:val="none"/>
              <w14:textFill>
                <w14:solidFill>
                  <w14:schemeClr w14:val="tx1"/>
                </w14:solidFill>
              </w14:textFill>
            </w:rPr>
          </w:pPr>
          <w:r>
            <w:rPr>
              <w:rFonts w:ascii="宋体" w:hAnsi="宋体" w:eastAsia="宋体"/>
              <w:color w:val="000000" w:themeColor="text1"/>
              <w:sz w:val="36"/>
              <w:szCs w:val="32"/>
              <w:highlight w:val="none"/>
              <w14:textFill>
                <w14:solidFill>
                  <w14:schemeClr w14:val="tx1"/>
                </w14:solidFill>
              </w14:textFill>
            </w:rPr>
            <w:t>目录</w:t>
          </w:r>
        </w:p>
        <w:p w14:paraId="6DFC80A3">
          <w:pPr>
            <w:pStyle w:val="19"/>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000000" w:themeColor="text1"/>
              <w:sz w:val="32"/>
              <w:szCs w:val="28"/>
              <w:highlight w:val="none"/>
              <w14:textFill>
                <w14:solidFill>
                  <w14:schemeClr w14:val="tx1"/>
                </w14:solidFill>
              </w14:textFill>
            </w:rPr>
          </w:pPr>
          <w:r>
            <w:rPr>
              <w:rFonts w:hint="eastAsia" w:ascii="宋体" w:hAnsi="宋体" w:eastAsia="宋体" w:cs="宋体"/>
              <w:b w:val="0"/>
              <w:bCs w:val="0"/>
              <w:color w:val="000000" w:themeColor="text1"/>
              <w:sz w:val="32"/>
              <w:szCs w:val="28"/>
              <w:highlight w:val="none"/>
              <w14:textFill>
                <w14:solidFill>
                  <w14:schemeClr w14:val="tx1"/>
                </w14:solidFill>
              </w14:textFill>
            </w:rPr>
            <w:fldChar w:fldCharType="begin"/>
          </w:r>
          <w:r>
            <w:rPr>
              <w:rFonts w:hint="eastAsia" w:ascii="宋体" w:hAnsi="宋体" w:eastAsia="宋体" w:cs="宋体"/>
              <w:b w:val="0"/>
              <w:bCs w:val="0"/>
              <w:color w:val="000000" w:themeColor="text1"/>
              <w:sz w:val="32"/>
              <w:szCs w:val="28"/>
              <w:highlight w:val="none"/>
              <w14:textFill>
                <w14:solidFill>
                  <w14:schemeClr w14:val="tx1"/>
                </w14:solidFill>
              </w14:textFill>
            </w:rPr>
            <w:instrText xml:space="preserve">TOC \o "1-1" \h \u </w:instrText>
          </w:r>
          <w:r>
            <w:rPr>
              <w:rFonts w:hint="eastAsia" w:ascii="宋体" w:hAnsi="宋体" w:eastAsia="宋体" w:cs="宋体"/>
              <w:b w:val="0"/>
              <w:bCs w:val="0"/>
              <w:color w:val="000000" w:themeColor="text1"/>
              <w:sz w:val="32"/>
              <w:szCs w:val="28"/>
              <w:highlight w:val="none"/>
              <w14:textFill>
                <w14:solidFill>
                  <w14:schemeClr w14:val="tx1"/>
                </w14:solidFill>
              </w14:textFill>
            </w:rPr>
            <w:fldChar w:fldCharType="separate"/>
          </w:r>
          <w:r>
            <w:rPr>
              <w:rFonts w:hint="eastAsia" w:ascii="宋体" w:hAnsi="宋体" w:eastAsia="宋体" w:cs="宋体"/>
              <w:b w:val="0"/>
              <w:bCs w:val="0"/>
              <w:color w:val="000000" w:themeColor="text1"/>
              <w:sz w:val="32"/>
              <w:szCs w:val="28"/>
              <w:highlight w:val="none"/>
              <w14:textFill>
                <w14:solidFill>
                  <w14:schemeClr w14:val="tx1"/>
                </w14:solidFill>
              </w14:textFill>
            </w:rPr>
            <w:fldChar w:fldCharType="begin"/>
          </w:r>
          <w:r>
            <w:rPr>
              <w:rFonts w:hint="eastAsia" w:ascii="宋体" w:hAnsi="宋体" w:eastAsia="宋体" w:cs="宋体"/>
              <w:b w:val="0"/>
              <w:bCs w:val="0"/>
              <w:color w:val="000000" w:themeColor="text1"/>
              <w:sz w:val="32"/>
              <w:szCs w:val="28"/>
              <w:highlight w:val="none"/>
              <w14:textFill>
                <w14:solidFill>
                  <w14:schemeClr w14:val="tx1"/>
                </w14:solidFill>
              </w14:textFill>
            </w:rPr>
            <w:instrText xml:space="preserve"> HYPERLINK \l _Toc30187 </w:instrText>
          </w:r>
          <w:r>
            <w:rPr>
              <w:rFonts w:hint="eastAsia" w:ascii="宋体" w:hAnsi="宋体" w:eastAsia="宋体" w:cs="宋体"/>
              <w:b w:val="0"/>
              <w:bCs w:val="0"/>
              <w:color w:val="000000" w:themeColor="text1"/>
              <w:sz w:val="32"/>
              <w:szCs w:val="28"/>
              <w:highlight w:val="none"/>
              <w14:textFill>
                <w14:solidFill>
                  <w14:schemeClr w14:val="tx1"/>
                </w14:solidFill>
              </w14:textFill>
            </w:rPr>
            <w:fldChar w:fldCharType="separate"/>
          </w:r>
          <w:r>
            <w:rPr>
              <w:rFonts w:hint="eastAsia" w:ascii="宋体" w:hAnsi="宋体" w:eastAsia="宋体" w:cs="宋体"/>
              <w:b w:val="0"/>
              <w:bCs w:val="0"/>
              <w:color w:val="000000" w:themeColor="text1"/>
              <w:spacing w:val="-10"/>
              <w:sz w:val="32"/>
              <w:szCs w:val="52"/>
              <w:highlight w:val="none"/>
              <w14:textFill>
                <w14:solidFill>
                  <w14:schemeClr w14:val="tx1"/>
                </w14:solidFill>
              </w14:textFill>
            </w:rPr>
            <w:t xml:space="preserve">第一章 </w:t>
          </w:r>
          <w:r>
            <w:rPr>
              <w:rFonts w:hint="eastAsia" w:ascii="宋体" w:hAnsi="宋体" w:cs="宋体"/>
              <w:b w:val="0"/>
              <w:bCs w:val="0"/>
              <w:color w:val="000000" w:themeColor="text1"/>
              <w:spacing w:val="-10"/>
              <w:sz w:val="32"/>
              <w:szCs w:val="52"/>
              <w:highlight w:val="none"/>
              <w:lang w:val="en-US" w:eastAsia="zh-CN"/>
              <w14:textFill>
                <w14:solidFill>
                  <w14:schemeClr w14:val="tx1"/>
                </w14:solidFill>
              </w14:textFill>
            </w:rPr>
            <w:t xml:space="preserve"> </w:t>
          </w:r>
          <w:r>
            <w:rPr>
              <w:rFonts w:hint="eastAsia" w:ascii="宋体" w:hAnsi="宋体" w:eastAsia="宋体" w:cs="宋体"/>
              <w:b w:val="0"/>
              <w:bCs w:val="0"/>
              <w:color w:val="000000" w:themeColor="text1"/>
              <w:spacing w:val="-10"/>
              <w:sz w:val="32"/>
              <w:szCs w:val="52"/>
              <w:highlight w:val="none"/>
              <w14:textFill>
                <w14:solidFill>
                  <w14:schemeClr w14:val="tx1"/>
                </w14:solidFill>
              </w14:textFill>
            </w:rPr>
            <w:t>竞争性磋商邀请</w:t>
          </w:r>
          <w:r>
            <w:rPr>
              <w:rFonts w:hint="eastAsia" w:ascii="宋体" w:hAnsi="宋体" w:eastAsia="宋体" w:cs="宋体"/>
              <w:b w:val="0"/>
              <w:bCs w:val="0"/>
              <w:color w:val="000000" w:themeColor="text1"/>
              <w:sz w:val="32"/>
              <w:szCs w:val="28"/>
              <w:highlight w:val="none"/>
              <w14:textFill>
                <w14:solidFill>
                  <w14:schemeClr w14:val="tx1"/>
                </w14:solidFill>
              </w14:textFill>
            </w:rPr>
            <w:tab/>
          </w:r>
          <w:r>
            <w:rPr>
              <w:rFonts w:hint="eastAsia" w:ascii="宋体" w:hAnsi="宋体" w:eastAsia="宋体" w:cs="宋体"/>
              <w:b w:val="0"/>
              <w:bCs w:val="0"/>
              <w:color w:val="000000" w:themeColor="text1"/>
              <w:sz w:val="32"/>
              <w:szCs w:val="28"/>
              <w:highlight w:val="none"/>
              <w14:textFill>
                <w14:solidFill>
                  <w14:schemeClr w14:val="tx1"/>
                </w14:solidFill>
              </w14:textFill>
            </w:rPr>
            <w:fldChar w:fldCharType="begin"/>
          </w:r>
          <w:r>
            <w:rPr>
              <w:rFonts w:hint="eastAsia" w:ascii="宋体" w:hAnsi="宋体" w:eastAsia="宋体" w:cs="宋体"/>
              <w:b w:val="0"/>
              <w:bCs w:val="0"/>
              <w:color w:val="000000" w:themeColor="text1"/>
              <w:sz w:val="32"/>
              <w:szCs w:val="28"/>
              <w:highlight w:val="none"/>
              <w14:textFill>
                <w14:solidFill>
                  <w14:schemeClr w14:val="tx1"/>
                </w14:solidFill>
              </w14:textFill>
            </w:rPr>
            <w:instrText xml:space="preserve"> PAGEREF _Toc30187 \h </w:instrText>
          </w:r>
          <w:r>
            <w:rPr>
              <w:rFonts w:hint="eastAsia" w:ascii="宋体" w:hAnsi="宋体" w:eastAsia="宋体" w:cs="宋体"/>
              <w:b w:val="0"/>
              <w:bCs w:val="0"/>
              <w:color w:val="000000" w:themeColor="text1"/>
              <w:sz w:val="32"/>
              <w:szCs w:val="28"/>
              <w:highlight w:val="none"/>
              <w14:textFill>
                <w14:solidFill>
                  <w14:schemeClr w14:val="tx1"/>
                </w14:solidFill>
              </w14:textFill>
            </w:rPr>
            <w:fldChar w:fldCharType="separate"/>
          </w:r>
          <w:r>
            <w:rPr>
              <w:rFonts w:hint="eastAsia" w:ascii="宋体" w:hAnsi="宋体" w:eastAsia="宋体" w:cs="宋体"/>
              <w:b w:val="0"/>
              <w:bCs w:val="0"/>
              <w:color w:val="000000" w:themeColor="text1"/>
              <w:sz w:val="32"/>
              <w:szCs w:val="28"/>
              <w:highlight w:val="none"/>
              <w14:textFill>
                <w14:solidFill>
                  <w14:schemeClr w14:val="tx1"/>
                </w14:solidFill>
              </w14:textFill>
            </w:rPr>
            <w:t>3</w:t>
          </w:r>
          <w:r>
            <w:rPr>
              <w:rFonts w:hint="eastAsia" w:ascii="宋体" w:hAnsi="宋体" w:eastAsia="宋体" w:cs="宋体"/>
              <w:b w:val="0"/>
              <w:bCs w:val="0"/>
              <w:color w:val="000000" w:themeColor="text1"/>
              <w:sz w:val="32"/>
              <w:szCs w:val="28"/>
              <w:highlight w:val="none"/>
              <w14:textFill>
                <w14:solidFill>
                  <w14:schemeClr w14:val="tx1"/>
                </w14:solidFill>
              </w14:textFill>
            </w:rPr>
            <w:fldChar w:fldCharType="end"/>
          </w:r>
          <w:r>
            <w:rPr>
              <w:rFonts w:hint="eastAsia" w:ascii="宋体" w:hAnsi="宋体" w:eastAsia="宋体" w:cs="宋体"/>
              <w:b w:val="0"/>
              <w:bCs w:val="0"/>
              <w:color w:val="000000" w:themeColor="text1"/>
              <w:sz w:val="32"/>
              <w:szCs w:val="28"/>
              <w:highlight w:val="none"/>
              <w14:textFill>
                <w14:solidFill>
                  <w14:schemeClr w14:val="tx1"/>
                </w14:solidFill>
              </w14:textFill>
            </w:rPr>
            <w:fldChar w:fldCharType="end"/>
          </w:r>
        </w:p>
        <w:p w14:paraId="7A3E9012">
          <w:pPr>
            <w:pStyle w:val="19"/>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000000" w:themeColor="text1"/>
              <w:sz w:val="32"/>
              <w:szCs w:val="28"/>
              <w:highlight w:val="none"/>
              <w14:textFill>
                <w14:solidFill>
                  <w14:schemeClr w14:val="tx1"/>
                </w14:solidFill>
              </w14:textFill>
            </w:rPr>
          </w:pPr>
          <w:r>
            <w:rPr>
              <w:rFonts w:hint="eastAsia" w:ascii="宋体" w:hAnsi="宋体" w:eastAsia="宋体" w:cs="宋体"/>
              <w:b w:val="0"/>
              <w:bCs w:val="0"/>
              <w:color w:val="000000" w:themeColor="text1"/>
              <w:sz w:val="32"/>
              <w:szCs w:val="28"/>
              <w:highlight w:val="none"/>
              <w14:textFill>
                <w14:solidFill>
                  <w14:schemeClr w14:val="tx1"/>
                </w14:solidFill>
              </w14:textFill>
            </w:rPr>
            <w:fldChar w:fldCharType="begin"/>
          </w:r>
          <w:r>
            <w:rPr>
              <w:rFonts w:hint="eastAsia" w:ascii="宋体" w:hAnsi="宋体" w:eastAsia="宋体" w:cs="宋体"/>
              <w:b w:val="0"/>
              <w:bCs w:val="0"/>
              <w:color w:val="000000" w:themeColor="text1"/>
              <w:sz w:val="32"/>
              <w:szCs w:val="28"/>
              <w:highlight w:val="none"/>
              <w14:textFill>
                <w14:solidFill>
                  <w14:schemeClr w14:val="tx1"/>
                </w14:solidFill>
              </w14:textFill>
            </w:rPr>
            <w:instrText xml:space="preserve"> HYPERLINK \l _Toc10257 </w:instrText>
          </w:r>
          <w:r>
            <w:rPr>
              <w:rFonts w:hint="eastAsia" w:ascii="宋体" w:hAnsi="宋体" w:eastAsia="宋体" w:cs="宋体"/>
              <w:b w:val="0"/>
              <w:bCs w:val="0"/>
              <w:color w:val="000000" w:themeColor="text1"/>
              <w:sz w:val="32"/>
              <w:szCs w:val="28"/>
              <w:highlight w:val="none"/>
              <w14:textFill>
                <w14:solidFill>
                  <w14:schemeClr w14:val="tx1"/>
                </w14:solidFill>
              </w14:textFill>
            </w:rPr>
            <w:fldChar w:fldCharType="separate"/>
          </w:r>
          <w:r>
            <w:rPr>
              <w:rFonts w:hint="eastAsia" w:ascii="宋体" w:hAnsi="宋体" w:eastAsia="宋体" w:cs="宋体"/>
              <w:b w:val="0"/>
              <w:bCs w:val="0"/>
              <w:color w:val="000000" w:themeColor="text1"/>
              <w:spacing w:val="-10"/>
              <w:sz w:val="32"/>
              <w:szCs w:val="52"/>
              <w:highlight w:val="none"/>
              <w14:textFill>
                <w14:solidFill>
                  <w14:schemeClr w14:val="tx1"/>
                </w14:solidFill>
              </w14:textFill>
            </w:rPr>
            <w:t>第二章  竞争性磋商须知</w:t>
          </w:r>
          <w:r>
            <w:rPr>
              <w:rFonts w:hint="eastAsia" w:ascii="宋体" w:hAnsi="宋体" w:eastAsia="宋体" w:cs="宋体"/>
              <w:b w:val="0"/>
              <w:bCs w:val="0"/>
              <w:color w:val="000000" w:themeColor="text1"/>
              <w:sz w:val="32"/>
              <w:szCs w:val="28"/>
              <w:highlight w:val="none"/>
              <w14:textFill>
                <w14:solidFill>
                  <w14:schemeClr w14:val="tx1"/>
                </w14:solidFill>
              </w14:textFill>
            </w:rPr>
            <w:tab/>
          </w:r>
          <w:r>
            <w:rPr>
              <w:rFonts w:hint="eastAsia" w:ascii="宋体" w:hAnsi="宋体" w:eastAsia="宋体" w:cs="宋体"/>
              <w:b w:val="0"/>
              <w:bCs w:val="0"/>
              <w:color w:val="000000" w:themeColor="text1"/>
              <w:sz w:val="32"/>
              <w:szCs w:val="28"/>
              <w:highlight w:val="none"/>
              <w14:textFill>
                <w14:solidFill>
                  <w14:schemeClr w14:val="tx1"/>
                </w14:solidFill>
              </w14:textFill>
            </w:rPr>
            <w:fldChar w:fldCharType="begin"/>
          </w:r>
          <w:r>
            <w:rPr>
              <w:rFonts w:hint="eastAsia" w:ascii="宋体" w:hAnsi="宋体" w:eastAsia="宋体" w:cs="宋体"/>
              <w:b w:val="0"/>
              <w:bCs w:val="0"/>
              <w:color w:val="000000" w:themeColor="text1"/>
              <w:sz w:val="32"/>
              <w:szCs w:val="28"/>
              <w:highlight w:val="none"/>
              <w14:textFill>
                <w14:solidFill>
                  <w14:schemeClr w14:val="tx1"/>
                </w14:solidFill>
              </w14:textFill>
            </w:rPr>
            <w:instrText xml:space="preserve"> PAGEREF _Toc10257 \h </w:instrText>
          </w:r>
          <w:r>
            <w:rPr>
              <w:rFonts w:hint="eastAsia" w:ascii="宋体" w:hAnsi="宋体" w:eastAsia="宋体" w:cs="宋体"/>
              <w:b w:val="0"/>
              <w:bCs w:val="0"/>
              <w:color w:val="000000" w:themeColor="text1"/>
              <w:sz w:val="32"/>
              <w:szCs w:val="28"/>
              <w:highlight w:val="none"/>
              <w14:textFill>
                <w14:solidFill>
                  <w14:schemeClr w14:val="tx1"/>
                </w14:solidFill>
              </w14:textFill>
            </w:rPr>
            <w:fldChar w:fldCharType="separate"/>
          </w:r>
          <w:r>
            <w:rPr>
              <w:rFonts w:hint="eastAsia" w:ascii="宋体" w:hAnsi="宋体" w:eastAsia="宋体" w:cs="宋体"/>
              <w:b w:val="0"/>
              <w:bCs w:val="0"/>
              <w:color w:val="000000" w:themeColor="text1"/>
              <w:sz w:val="32"/>
              <w:szCs w:val="28"/>
              <w:highlight w:val="none"/>
              <w14:textFill>
                <w14:solidFill>
                  <w14:schemeClr w14:val="tx1"/>
                </w14:solidFill>
              </w14:textFill>
            </w:rPr>
            <w:t>8</w:t>
          </w:r>
          <w:r>
            <w:rPr>
              <w:rFonts w:hint="eastAsia" w:ascii="宋体" w:hAnsi="宋体" w:eastAsia="宋体" w:cs="宋体"/>
              <w:b w:val="0"/>
              <w:bCs w:val="0"/>
              <w:color w:val="000000" w:themeColor="text1"/>
              <w:sz w:val="32"/>
              <w:szCs w:val="28"/>
              <w:highlight w:val="none"/>
              <w14:textFill>
                <w14:solidFill>
                  <w14:schemeClr w14:val="tx1"/>
                </w14:solidFill>
              </w14:textFill>
            </w:rPr>
            <w:fldChar w:fldCharType="end"/>
          </w:r>
          <w:r>
            <w:rPr>
              <w:rFonts w:hint="eastAsia" w:ascii="宋体" w:hAnsi="宋体" w:eastAsia="宋体" w:cs="宋体"/>
              <w:b w:val="0"/>
              <w:bCs w:val="0"/>
              <w:color w:val="000000" w:themeColor="text1"/>
              <w:sz w:val="32"/>
              <w:szCs w:val="28"/>
              <w:highlight w:val="none"/>
              <w14:textFill>
                <w14:solidFill>
                  <w14:schemeClr w14:val="tx1"/>
                </w14:solidFill>
              </w14:textFill>
            </w:rPr>
            <w:fldChar w:fldCharType="end"/>
          </w:r>
        </w:p>
        <w:p w14:paraId="04302656">
          <w:pPr>
            <w:pStyle w:val="19"/>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000000" w:themeColor="text1"/>
              <w:sz w:val="32"/>
              <w:szCs w:val="28"/>
              <w:highlight w:val="none"/>
              <w14:textFill>
                <w14:solidFill>
                  <w14:schemeClr w14:val="tx1"/>
                </w14:solidFill>
              </w14:textFill>
            </w:rPr>
          </w:pPr>
          <w:r>
            <w:rPr>
              <w:rFonts w:hint="eastAsia" w:ascii="宋体" w:hAnsi="宋体" w:eastAsia="宋体" w:cs="宋体"/>
              <w:b w:val="0"/>
              <w:bCs w:val="0"/>
              <w:color w:val="000000" w:themeColor="text1"/>
              <w:sz w:val="32"/>
              <w:szCs w:val="28"/>
              <w:highlight w:val="none"/>
              <w14:textFill>
                <w14:solidFill>
                  <w14:schemeClr w14:val="tx1"/>
                </w14:solidFill>
              </w14:textFill>
            </w:rPr>
            <w:fldChar w:fldCharType="begin"/>
          </w:r>
          <w:r>
            <w:rPr>
              <w:rFonts w:hint="eastAsia" w:ascii="宋体" w:hAnsi="宋体" w:eastAsia="宋体" w:cs="宋体"/>
              <w:b w:val="0"/>
              <w:bCs w:val="0"/>
              <w:color w:val="000000" w:themeColor="text1"/>
              <w:sz w:val="32"/>
              <w:szCs w:val="28"/>
              <w:highlight w:val="none"/>
              <w14:textFill>
                <w14:solidFill>
                  <w14:schemeClr w14:val="tx1"/>
                </w14:solidFill>
              </w14:textFill>
            </w:rPr>
            <w:instrText xml:space="preserve"> HYPERLINK \l _Toc20089 </w:instrText>
          </w:r>
          <w:r>
            <w:rPr>
              <w:rFonts w:hint="eastAsia" w:ascii="宋体" w:hAnsi="宋体" w:eastAsia="宋体" w:cs="宋体"/>
              <w:b w:val="0"/>
              <w:bCs w:val="0"/>
              <w:color w:val="000000" w:themeColor="text1"/>
              <w:sz w:val="32"/>
              <w:szCs w:val="28"/>
              <w:highlight w:val="none"/>
              <w14:textFill>
                <w14:solidFill>
                  <w14:schemeClr w14:val="tx1"/>
                </w14:solidFill>
              </w14:textFill>
            </w:rPr>
            <w:fldChar w:fldCharType="separate"/>
          </w:r>
          <w:r>
            <w:rPr>
              <w:rFonts w:hint="eastAsia" w:ascii="宋体" w:hAnsi="宋体" w:eastAsia="宋体" w:cs="宋体"/>
              <w:b w:val="0"/>
              <w:bCs w:val="0"/>
              <w:color w:val="000000" w:themeColor="text1"/>
              <w:spacing w:val="-10"/>
              <w:sz w:val="32"/>
              <w:szCs w:val="52"/>
              <w:highlight w:val="none"/>
              <w14:textFill>
                <w14:solidFill>
                  <w14:schemeClr w14:val="tx1"/>
                </w14:solidFill>
              </w14:textFill>
            </w:rPr>
            <w:t xml:space="preserve">第三章 </w:t>
          </w:r>
          <w:r>
            <w:rPr>
              <w:rFonts w:hint="eastAsia" w:ascii="宋体" w:hAnsi="宋体" w:cs="宋体"/>
              <w:b w:val="0"/>
              <w:bCs w:val="0"/>
              <w:color w:val="000000" w:themeColor="text1"/>
              <w:spacing w:val="-10"/>
              <w:sz w:val="32"/>
              <w:szCs w:val="52"/>
              <w:highlight w:val="none"/>
              <w:lang w:val="en-US" w:eastAsia="zh-CN"/>
              <w14:textFill>
                <w14:solidFill>
                  <w14:schemeClr w14:val="tx1"/>
                </w14:solidFill>
              </w14:textFill>
            </w:rPr>
            <w:t xml:space="preserve"> </w:t>
          </w:r>
          <w:r>
            <w:rPr>
              <w:rFonts w:hint="eastAsia" w:ascii="宋体" w:hAnsi="宋体" w:eastAsia="宋体" w:cs="宋体"/>
              <w:b w:val="0"/>
              <w:bCs w:val="0"/>
              <w:color w:val="000000" w:themeColor="text1"/>
              <w:spacing w:val="-10"/>
              <w:sz w:val="32"/>
              <w:szCs w:val="52"/>
              <w:highlight w:val="none"/>
              <w14:textFill>
                <w14:solidFill>
                  <w14:schemeClr w14:val="tx1"/>
                </w14:solidFill>
              </w14:textFill>
            </w:rPr>
            <w:t>成交标准</w:t>
          </w:r>
          <w:r>
            <w:rPr>
              <w:rFonts w:hint="eastAsia" w:ascii="宋体" w:hAnsi="宋体" w:eastAsia="宋体" w:cs="宋体"/>
              <w:b w:val="0"/>
              <w:bCs w:val="0"/>
              <w:color w:val="000000" w:themeColor="text1"/>
              <w:sz w:val="32"/>
              <w:szCs w:val="28"/>
              <w:highlight w:val="none"/>
              <w14:textFill>
                <w14:solidFill>
                  <w14:schemeClr w14:val="tx1"/>
                </w14:solidFill>
              </w14:textFill>
            </w:rPr>
            <w:tab/>
          </w:r>
          <w:r>
            <w:rPr>
              <w:rFonts w:hint="eastAsia" w:ascii="宋体" w:hAnsi="宋体" w:eastAsia="宋体" w:cs="宋体"/>
              <w:b w:val="0"/>
              <w:bCs w:val="0"/>
              <w:color w:val="000000" w:themeColor="text1"/>
              <w:sz w:val="32"/>
              <w:szCs w:val="28"/>
              <w:highlight w:val="none"/>
              <w14:textFill>
                <w14:solidFill>
                  <w14:schemeClr w14:val="tx1"/>
                </w14:solidFill>
              </w14:textFill>
            </w:rPr>
            <w:fldChar w:fldCharType="begin"/>
          </w:r>
          <w:r>
            <w:rPr>
              <w:rFonts w:hint="eastAsia" w:ascii="宋体" w:hAnsi="宋体" w:eastAsia="宋体" w:cs="宋体"/>
              <w:b w:val="0"/>
              <w:bCs w:val="0"/>
              <w:color w:val="000000" w:themeColor="text1"/>
              <w:sz w:val="32"/>
              <w:szCs w:val="28"/>
              <w:highlight w:val="none"/>
              <w14:textFill>
                <w14:solidFill>
                  <w14:schemeClr w14:val="tx1"/>
                </w14:solidFill>
              </w14:textFill>
            </w:rPr>
            <w:instrText xml:space="preserve"> PAGEREF _Toc20089 \h </w:instrText>
          </w:r>
          <w:r>
            <w:rPr>
              <w:rFonts w:hint="eastAsia" w:ascii="宋体" w:hAnsi="宋体" w:eastAsia="宋体" w:cs="宋体"/>
              <w:b w:val="0"/>
              <w:bCs w:val="0"/>
              <w:color w:val="000000" w:themeColor="text1"/>
              <w:sz w:val="32"/>
              <w:szCs w:val="28"/>
              <w:highlight w:val="none"/>
              <w14:textFill>
                <w14:solidFill>
                  <w14:schemeClr w14:val="tx1"/>
                </w14:solidFill>
              </w14:textFill>
            </w:rPr>
            <w:fldChar w:fldCharType="separate"/>
          </w:r>
          <w:r>
            <w:rPr>
              <w:rFonts w:hint="eastAsia" w:ascii="宋体" w:hAnsi="宋体" w:eastAsia="宋体" w:cs="宋体"/>
              <w:b w:val="0"/>
              <w:bCs w:val="0"/>
              <w:color w:val="000000" w:themeColor="text1"/>
              <w:sz w:val="32"/>
              <w:szCs w:val="28"/>
              <w:highlight w:val="none"/>
              <w14:textFill>
                <w14:solidFill>
                  <w14:schemeClr w14:val="tx1"/>
                </w14:solidFill>
              </w14:textFill>
            </w:rPr>
            <w:t>15</w:t>
          </w:r>
          <w:r>
            <w:rPr>
              <w:rFonts w:hint="eastAsia" w:ascii="宋体" w:hAnsi="宋体" w:eastAsia="宋体" w:cs="宋体"/>
              <w:b w:val="0"/>
              <w:bCs w:val="0"/>
              <w:color w:val="000000" w:themeColor="text1"/>
              <w:sz w:val="32"/>
              <w:szCs w:val="28"/>
              <w:highlight w:val="none"/>
              <w14:textFill>
                <w14:solidFill>
                  <w14:schemeClr w14:val="tx1"/>
                </w14:solidFill>
              </w14:textFill>
            </w:rPr>
            <w:fldChar w:fldCharType="end"/>
          </w:r>
          <w:r>
            <w:rPr>
              <w:rFonts w:hint="eastAsia" w:ascii="宋体" w:hAnsi="宋体" w:eastAsia="宋体" w:cs="宋体"/>
              <w:b w:val="0"/>
              <w:bCs w:val="0"/>
              <w:color w:val="000000" w:themeColor="text1"/>
              <w:sz w:val="32"/>
              <w:szCs w:val="28"/>
              <w:highlight w:val="none"/>
              <w14:textFill>
                <w14:solidFill>
                  <w14:schemeClr w14:val="tx1"/>
                </w14:solidFill>
              </w14:textFill>
            </w:rPr>
            <w:fldChar w:fldCharType="end"/>
          </w:r>
        </w:p>
        <w:p w14:paraId="78EDE4EC">
          <w:pPr>
            <w:pStyle w:val="19"/>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000000" w:themeColor="text1"/>
              <w:sz w:val="32"/>
              <w:szCs w:val="28"/>
              <w:highlight w:val="none"/>
              <w14:textFill>
                <w14:solidFill>
                  <w14:schemeClr w14:val="tx1"/>
                </w14:solidFill>
              </w14:textFill>
            </w:rPr>
          </w:pPr>
          <w:r>
            <w:rPr>
              <w:rFonts w:hint="eastAsia" w:ascii="宋体" w:hAnsi="宋体" w:eastAsia="宋体" w:cs="宋体"/>
              <w:b w:val="0"/>
              <w:bCs w:val="0"/>
              <w:color w:val="000000" w:themeColor="text1"/>
              <w:sz w:val="32"/>
              <w:szCs w:val="28"/>
              <w:highlight w:val="none"/>
              <w14:textFill>
                <w14:solidFill>
                  <w14:schemeClr w14:val="tx1"/>
                </w14:solidFill>
              </w14:textFill>
            </w:rPr>
            <w:fldChar w:fldCharType="begin"/>
          </w:r>
          <w:r>
            <w:rPr>
              <w:rFonts w:hint="eastAsia" w:ascii="宋体" w:hAnsi="宋体" w:eastAsia="宋体" w:cs="宋体"/>
              <w:b w:val="0"/>
              <w:bCs w:val="0"/>
              <w:color w:val="000000" w:themeColor="text1"/>
              <w:sz w:val="32"/>
              <w:szCs w:val="28"/>
              <w:highlight w:val="none"/>
              <w14:textFill>
                <w14:solidFill>
                  <w14:schemeClr w14:val="tx1"/>
                </w14:solidFill>
              </w14:textFill>
            </w:rPr>
            <w:instrText xml:space="preserve"> HYPERLINK \l _Toc31334 </w:instrText>
          </w:r>
          <w:r>
            <w:rPr>
              <w:rFonts w:hint="eastAsia" w:ascii="宋体" w:hAnsi="宋体" w:eastAsia="宋体" w:cs="宋体"/>
              <w:b w:val="0"/>
              <w:bCs w:val="0"/>
              <w:color w:val="000000" w:themeColor="text1"/>
              <w:sz w:val="32"/>
              <w:szCs w:val="28"/>
              <w:highlight w:val="none"/>
              <w14:textFill>
                <w14:solidFill>
                  <w14:schemeClr w14:val="tx1"/>
                </w14:solidFill>
              </w14:textFill>
            </w:rPr>
            <w:fldChar w:fldCharType="separate"/>
          </w:r>
          <w:r>
            <w:rPr>
              <w:rFonts w:hint="eastAsia" w:ascii="宋体" w:hAnsi="宋体" w:eastAsia="宋体" w:cs="宋体"/>
              <w:b w:val="0"/>
              <w:bCs w:val="0"/>
              <w:color w:val="000000" w:themeColor="text1"/>
              <w:sz w:val="32"/>
              <w:szCs w:val="48"/>
              <w:highlight w:val="none"/>
              <w14:textFill>
                <w14:solidFill>
                  <w14:schemeClr w14:val="tx1"/>
                </w14:solidFill>
              </w14:textFill>
            </w:rPr>
            <w:t>第四章 采购项目需求</w:t>
          </w:r>
          <w:r>
            <w:rPr>
              <w:rFonts w:hint="eastAsia" w:ascii="宋体" w:hAnsi="宋体" w:eastAsia="宋体" w:cs="宋体"/>
              <w:b w:val="0"/>
              <w:bCs w:val="0"/>
              <w:color w:val="000000" w:themeColor="text1"/>
              <w:sz w:val="32"/>
              <w:szCs w:val="28"/>
              <w:highlight w:val="none"/>
              <w14:textFill>
                <w14:solidFill>
                  <w14:schemeClr w14:val="tx1"/>
                </w14:solidFill>
              </w14:textFill>
            </w:rPr>
            <w:tab/>
          </w:r>
          <w:r>
            <w:rPr>
              <w:rFonts w:hint="eastAsia" w:ascii="宋体" w:hAnsi="宋体" w:eastAsia="宋体" w:cs="宋体"/>
              <w:b w:val="0"/>
              <w:bCs w:val="0"/>
              <w:color w:val="000000" w:themeColor="text1"/>
              <w:sz w:val="32"/>
              <w:szCs w:val="28"/>
              <w:highlight w:val="none"/>
              <w14:textFill>
                <w14:solidFill>
                  <w14:schemeClr w14:val="tx1"/>
                </w14:solidFill>
              </w14:textFill>
            </w:rPr>
            <w:fldChar w:fldCharType="begin"/>
          </w:r>
          <w:r>
            <w:rPr>
              <w:rFonts w:hint="eastAsia" w:ascii="宋体" w:hAnsi="宋体" w:eastAsia="宋体" w:cs="宋体"/>
              <w:b w:val="0"/>
              <w:bCs w:val="0"/>
              <w:color w:val="000000" w:themeColor="text1"/>
              <w:sz w:val="32"/>
              <w:szCs w:val="28"/>
              <w:highlight w:val="none"/>
              <w14:textFill>
                <w14:solidFill>
                  <w14:schemeClr w14:val="tx1"/>
                </w14:solidFill>
              </w14:textFill>
            </w:rPr>
            <w:instrText xml:space="preserve"> PAGEREF _Toc31334 \h </w:instrText>
          </w:r>
          <w:r>
            <w:rPr>
              <w:rFonts w:hint="eastAsia" w:ascii="宋体" w:hAnsi="宋体" w:eastAsia="宋体" w:cs="宋体"/>
              <w:b w:val="0"/>
              <w:bCs w:val="0"/>
              <w:color w:val="000000" w:themeColor="text1"/>
              <w:sz w:val="32"/>
              <w:szCs w:val="28"/>
              <w:highlight w:val="none"/>
              <w14:textFill>
                <w14:solidFill>
                  <w14:schemeClr w14:val="tx1"/>
                </w14:solidFill>
              </w14:textFill>
            </w:rPr>
            <w:fldChar w:fldCharType="separate"/>
          </w:r>
          <w:r>
            <w:rPr>
              <w:rFonts w:hint="eastAsia" w:ascii="宋体" w:hAnsi="宋体" w:eastAsia="宋体" w:cs="宋体"/>
              <w:b w:val="0"/>
              <w:bCs w:val="0"/>
              <w:color w:val="000000" w:themeColor="text1"/>
              <w:sz w:val="32"/>
              <w:szCs w:val="28"/>
              <w:highlight w:val="none"/>
              <w14:textFill>
                <w14:solidFill>
                  <w14:schemeClr w14:val="tx1"/>
                </w14:solidFill>
              </w14:textFill>
            </w:rPr>
            <w:t>22</w:t>
          </w:r>
          <w:r>
            <w:rPr>
              <w:rFonts w:hint="eastAsia" w:ascii="宋体" w:hAnsi="宋体" w:eastAsia="宋体" w:cs="宋体"/>
              <w:b w:val="0"/>
              <w:bCs w:val="0"/>
              <w:color w:val="000000" w:themeColor="text1"/>
              <w:sz w:val="32"/>
              <w:szCs w:val="28"/>
              <w:highlight w:val="none"/>
              <w14:textFill>
                <w14:solidFill>
                  <w14:schemeClr w14:val="tx1"/>
                </w14:solidFill>
              </w14:textFill>
            </w:rPr>
            <w:fldChar w:fldCharType="end"/>
          </w:r>
          <w:r>
            <w:rPr>
              <w:rFonts w:hint="eastAsia" w:ascii="宋体" w:hAnsi="宋体" w:eastAsia="宋体" w:cs="宋体"/>
              <w:b w:val="0"/>
              <w:bCs w:val="0"/>
              <w:color w:val="000000" w:themeColor="text1"/>
              <w:sz w:val="32"/>
              <w:szCs w:val="28"/>
              <w:highlight w:val="none"/>
              <w14:textFill>
                <w14:solidFill>
                  <w14:schemeClr w14:val="tx1"/>
                </w14:solidFill>
              </w14:textFill>
            </w:rPr>
            <w:fldChar w:fldCharType="end"/>
          </w:r>
        </w:p>
        <w:p w14:paraId="3B8D3924">
          <w:pPr>
            <w:pStyle w:val="19"/>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000000" w:themeColor="text1"/>
              <w:sz w:val="32"/>
              <w:szCs w:val="28"/>
              <w:highlight w:val="none"/>
              <w14:textFill>
                <w14:solidFill>
                  <w14:schemeClr w14:val="tx1"/>
                </w14:solidFill>
              </w14:textFill>
            </w:rPr>
          </w:pPr>
          <w:r>
            <w:rPr>
              <w:rFonts w:hint="eastAsia" w:ascii="宋体" w:hAnsi="宋体" w:eastAsia="宋体" w:cs="宋体"/>
              <w:b w:val="0"/>
              <w:bCs w:val="0"/>
              <w:color w:val="000000" w:themeColor="text1"/>
              <w:sz w:val="32"/>
              <w:szCs w:val="28"/>
              <w:highlight w:val="none"/>
              <w14:textFill>
                <w14:solidFill>
                  <w14:schemeClr w14:val="tx1"/>
                </w14:solidFill>
              </w14:textFill>
            </w:rPr>
            <w:fldChar w:fldCharType="begin"/>
          </w:r>
          <w:r>
            <w:rPr>
              <w:rFonts w:hint="eastAsia" w:ascii="宋体" w:hAnsi="宋体" w:eastAsia="宋体" w:cs="宋体"/>
              <w:b w:val="0"/>
              <w:bCs w:val="0"/>
              <w:color w:val="000000" w:themeColor="text1"/>
              <w:sz w:val="32"/>
              <w:szCs w:val="28"/>
              <w:highlight w:val="none"/>
              <w14:textFill>
                <w14:solidFill>
                  <w14:schemeClr w14:val="tx1"/>
                </w14:solidFill>
              </w14:textFill>
            </w:rPr>
            <w:instrText xml:space="preserve"> HYPERLINK \l _Toc22564 </w:instrText>
          </w:r>
          <w:r>
            <w:rPr>
              <w:rFonts w:hint="eastAsia" w:ascii="宋体" w:hAnsi="宋体" w:eastAsia="宋体" w:cs="宋体"/>
              <w:b w:val="0"/>
              <w:bCs w:val="0"/>
              <w:color w:val="000000" w:themeColor="text1"/>
              <w:sz w:val="32"/>
              <w:szCs w:val="28"/>
              <w:highlight w:val="none"/>
              <w14:textFill>
                <w14:solidFill>
                  <w14:schemeClr w14:val="tx1"/>
                </w14:solidFill>
              </w14:textFill>
            </w:rPr>
            <w:fldChar w:fldCharType="separate"/>
          </w:r>
          <w:r>
            <w:rPr>
              <w:rFonts w:hint="eastAsia" w:ascii="宋体" w:hAnsi="宋体" w:eastAsia="宋体" w:cs="宋体"/>
              <w:b w:val="0"/>
              <w:bCs w:val="0"/>
              <w:color w:val="000000" w:themeColor="text1"/>
              <w:sz w:val="32"/>
              <w:szCs w:val="52"/>
              <w:highlight w:val="none"/>
              <w14:textFill>
                <w14:solidFill>
                  <w14:schemeClr w14:val="tx1"/>
                </w14:solidFill>
              </w14:textFill>
            </w:rPr>
            <w:t>第五章 合同主要条款及格式</w:t>
          </w:r>
          <w:r>
            <w:rPr>
              <w:rFonts w:hint="eastAsia" w:ascii="宋体" w:hAnsi="宋体" w:eastAsia="宋体" w:cs="宋体"/>
              <w:b w:val="0"/>
              <w:bCs w:val="0"/>
              <w:color w:val="000000" w:themeColor="text1"/>
              <w:sz w:val="32"/>
              <w:szCs w:val="28"/>
              <w:highlight w:val="none"/>
              <w14:textFill>
                <w14:solidFill>
                  <w14:schemeClr w14:val="tx1"/>
                </w14:solidFill>
              </w14:textFill>
            </w:rPr>
            <w:tab/>
          </w:r>
          <w:r>
            <w:rPr>
              <w:rFonts w:hint="eastAsia" w:ascii="宋体" w:hAnsi="宋体" w:eastAsia="宋体" w:cs="宋体"/>
              <w:b w:val="0"/>
              <w:bCs w:val="0"/>
              <w:color w:val="000000" w:themeColor="text1"/>
              <w:sz w:val="32"/>
              <w:szCs w:val="28"/>
              <w:highlight w:val="none"/>
              <w14:textFill>
                <w14:solidFill>
                  <w14:schemeClr w14:val="tx1"/>
                </w14:solidFill>
              </w14:textFill>
            </w:rPr>
            <w:fldChar w:fldCharType="begin"/>
          </w:r>
          <w:r>
            <w:rPr>
              <w:rFonts w:hint="eastAsia" w:ascii="宋体" w:hAnsi="宋体" w:eastAsia="宋体" w:cs="宋体"/>
              <w:b w:val="0"/>
              <w:bCs w:val="0"/>
              <w:color w:val="000000" w:themeColor="text1"/>
              <w:sz w:val="32"/>
              <w:szCs w:val="28"/>
              <w:highlight w:val="none"/>
              <w14:textFill>
                <w14:solidFill>
                  <w14:schemeClr w14:val="tx1"/>
                </w14:solidFill>
              </w14:textFill>
            </w:rPr>
            <w:instrText xml:space="preserve"> PAGEREF _Toc22564 \h </w:instrText>
          </w:r>
          <w:r>
            <w:rPr>
              <w:rFonts w:hint="eastAsia" w:ascii="宋体" w:hAnsi="宋体" w:eastAsia="宋体" w:cs="宋体"/>
              <w:b w:val="0"/>
              <w:bCs w:val="0"/>
              <w:color w:val="000000" w:themeColor="text1"/>
              <w:sz w:val="32"/>
              <w:szCs w:val="28"/>
              <w:highlight w:val="none"/>
              <w14:textFill>
                <w14:solidFill>
                  <w14:schemeClr w14:val="tx1"/>
                </w14:solidFill>
              </w14:textFill>
            </w:rPr>
            <w:fldChar w:fldCharType="separate"/>
          </w:r>
          <w:r>
            <w:rPr>
              <w:rFonts w:hint="eastAsia" w:ascii="宋体" w:hAnsi="宋体" w:eastAsia="宋体" w:cs="宋体"/>
              <w:b w:val="0"/>
              <w:bCs w:val="0"/>
              <w:color w:val="000000" w:themeColor="text1"/>
              <w:sz w:val="32"/>
              <w:szCs w:val="28"/>
              <w:highlight w:val="none"/>
              <w14:textFill>
                <w14:solidFill>
                  <w14:schemeClr w14:val="tx1"/>
                </w14:solidFill>
              </w14:textFill>
            </w:rPr>
            <w:t>26</w:t>
          </w:r>
          <w:r>
            <w:rPr>
              <w:rFonts w:hint="eastAsia" w:ascii="宋体" w:hAnsi="宋体" w:eastAsia="宋体" w:cs="宋体"/>
              <w:b w:val="0"/>
              <w:bCs w:val="0"/>
              <w:color w:val="000000" w:themeColor="text1"/>
              <w:sz w:val="32"/>
              <w:szCs w:val="28"/>
              <w:highlight w:val="none"/>
              <w14:textFill>
                <w14:solidFill>
                  <w14:schemeClr w14:val="tx1"/>
                </w14:solidFill>
              </w14:textFill>
            </w:rPr>
            <w:fldChar w:fldCharType="end"/>
          </w:r>
          <w:r>
            <w:rPr>
              <w:rFonts w:hint="eastAsia" w:ascii="宋体" w:hAnsi="宋体" w:eastAsia="宋体" w:cs="宋体"/>
              <w:b w:val="0"/>
              <w:bCs w:val="0"/>
              <w:color w:val="000000" w:themeColor="text1"/>
              <w:sz w:val="32"/>
              <w:szCs w:val="28"/>
              <w:highlight w:val="none"/>
              <w14:textFill>
                <w14:solidFill>
                  <w14:schemeClr w14:val="tx1"/>
                </w14:solidFill>
              </w14:textFill>
            </w:rPr>
            <w:fldChar w:fldCharType="end"/>
          </w:r>
        </w:p>
        <w:p w14:paraId="42265E48">
          <w:pPr>
            <w:pStyle w:val="19"/>
            <w:keepNext w:val="0"/>
            <w:keepLines w:val="0"/>
            <w:pageBreakBefore w:val="0"/>
            <w:tabs>
              <w:tab w:val="right" w:leader="dot" w:pos="8306"/>
            </w:tabs>
            <w:kinsoku/>
            <w:wordWrap/>
            <w:overflowPunct/>
            <w:topLinePunct w:val="0"/>
            <w:autoSpaceDE/>
            <w:autoSpaceDN/>
            <w:bidi w:val="0"/>
            <w:adjustRightInd/>
            <w:snapToGrid/>
            <w:spacing w:line="360" w:lineRule="auto"/>
            <w:textAlignment w:val="auto"/>
            <w:rPr>
              <w:rFonts w:hint="eastAsia" w:ascii="宋体" w:hAnsi="宋体" w:eastAsia="宋体" w:cs="宋体"/>
              <w:b w:val="0"/>
              <w:bCs w:val="0"/>
              <w:color w:val="000000" w:themeColor="text1"/>
              <w:sz w:val="32"/>
              <w:szCs w:val="28"/>
              <w:highlight w:val="none"/>
              <w14:textFill>
                <w14:solidFill>
                  <w14:schemeClr w14:val="tx1"/>
                </w14:solidFill>
              </w14:textFill>
            </w:rPr>
          </w:pPr>
          <w:r>
            <w:rPr>
              <w:rFonts w:hint="eastAsia" w:ascii="宋体" w:hAnsi="宋体" w:eastAsia="宋体" w:cs="宋体"/>
              <w:b w:val="0"/>
              <w:bCs w:val="0"/>
              <w:color w:val="000000" w:themeColor="text1"/>
              <w:sz w:val="32"/>
              <w:szCs w:val="28"/>
              <w:highlight w:val="none"/>
              <w14:textFill>
                <w14:solidFill>
                  <w14:schemeClr w14:val="tx1"/>
                </w14:solidFill>
              </w14:textFill>
            </w:rPr>
            <w:fldChar w:fldCharType="begin"/>
          </w:r>
          <w:r>
            <w:rPr>
              <w:rFonts w:hint="eastAsia" w:ascii="宋体" w:hAnsi="宋体" w:eastAsia="宋体" w:cs="宋体"/>
              <w:b w:val="0"/>
              <w:bCs w:val="0"/>
              <w:color w:val="000000" w:themeColor="text1"/>
              <w:sz w:val="32"/>
              <w:szCs w:val="28"/>
              <w:highlight w:val="none"/>
              <w14:textFill>
                <w14:solidFill>
                  <w14:schemeClr w14:val="tx1"/>
                </w14:solidFill>
              </w14:textFill>
            </w:rPr>
            <w:instrText xml:space="preserve"> HYPERLINK \l _Toc7558 </w:instrText>
          </w:r>
          <w:r>
            <w:rPr>
              <w:rFonts w:hint="eastAsia" w:ascii="宋体" w:hAnsi="宋体" w:eastAsia="宋体" w:cs="宋体"/>
              <w:b w:val="0"/>
              <w:bCs w:val="0"/>
              <w:color w:val="000000" w:themeColor="text1"/>
              <w:sz w:val="32"/>
              <w:szCs w:val="28"/>
              <w:highlight w:val="none"/>
              <w14:textFill>
                <w14:solidFill>
                  <w14:schemeClr w14:val="tx1"/>
                </w14:solidFill>
              </w14:textFill>
            </w:rPr>
            <w:fldChar w:fldCharType="separate"/>
          </w:r>
          <w:r>
            <w:rPr>
              <w:rFonts w:hint="eastAsia" w:ascii="宋体" w:hAnsi="宋体" w:eastAsia="宋体" w:cs="宋体"/>
              <w:b w:val="0"/>
              <w:bCs w:val="0"/>
              <w:color w:val="000000" w:themeColor="text1"/>
              <w:sz w:val="32"/>
              <w:szCs w:val="52"/>
              <w:highlight w:val="none"/>
              <w:lang w:val="zh-CN"/>
              <w14:textFill>
                <w14:solidFill>
                  <w14:schemeClr w14:val="tx1"/>
                </w14:solidFill>
              </w14:textFill>
            </w:rPr>
            <w:t>第六章</w:t>
          </w:r>
          <w:r>
            <w:rPr>
              <w:rFonts w:hint="eastAsia" w:ascii="宋体" w:hAnsi="宋体" w:cs="宋体"/>
              <w:b w:val="0"/>
              <w:bCs w:val="0"/>
              <w:color w:val="000000" w:themeColor="text1"/>
              <w:sz w:val="32"/>
              <w:szCs w:val="52"/>
              <w:highlight w:val="none"/>
              <w:lang w:val="en-US" w:eastAsia="zh-CN"/>
              <w14:textFill>
                <w14:solidFill>
                  <w14:schemeClr w14:val="tx1"/>
                </w14:solidFill>
              </w14:textFill>
            </w:rPr>
            <w:t xml:space="preserve"> </w:t>
          </w:r>
          <w:r>
            <w:rPr>
              <w:rFonts w:hint="eastAsia" w:ascii="宋体" w:hAnsi="宋体" w:eastAsia="宋体" w:cs="宋体"/>
              <w:b w:val="0"/>
              <w:bCs w:val="0"/>
              <w:color w:val="000000" w:themeColor="text1"/>
              <w:sz w:val="32"/>
              <w:szCs w:val="52"/>
              <w:highlight w:val="none"/>
              <w:lang w:val="zh-CN"/>
              <w14:textFill>
                <w14:solidFill>
                  <w14:schemeClr w14:val="tx1"/>
                </w14:solidFill>
              </w14:textFill>
            </w:rPr>
            <w:t>附件</w:t>
          </w:r>
          <w:r>
            <w:rPr>
              <w:rFonts w:hint="eastAsia" w:ascii="宋体" w:hAnsi="宋体" w:eastAsia="宋体" w:cs="宋体"/>
              <w:b w:val="0"/>
              <w:bCs w:val="0"/>
              <w:color w:val="000000" w:themeColor="text1"/>
              <w:sz w:val="32"/>
              <w:szCs w:val="28"/>
              <w:highlight w:val="none"/>
              <w14:textFill>
                <w14:solidFill>
                  <w14:schemeClr w14:val="tx1"/>
                </w14:solidFill>
              </w14:textFill>
            </w:rPr>
            <w:tab/>
          </w:r>
          <w:r>
            <w:rPr>
              <w:rFonts w:hint="eastAsia" w:ascii="宋体" w:hAnsi="宋体" w:eastAsia="宋体" w:cs="宋体"/>
              <w:b w:val="0"/>
              <w:bCs w:val="0"/>
              <w:color w:val="000000" w:themeColor="text1"/>
              <w:sz w:val="32"/>
              <w:szCs w:val="28"/>
              <w:highlight w:val="none"/>
              <w14:textFill>
                <w14:solidFill>
                  <w14:schemeClr w14:val="tx1"/>
                </w14:solidFill>
              </w14:textFill>
            </w:rPr>
            <w:fldChar w:fldCharType="begin"/>
          </w:r>
          <w:r>
            <w:rPr>
              <w:rFonts w:hint="eastAsia" w:ascii="宋体" w:hAnsi="宋体" w:eastAsia="宋体" w:cs="宋体"/>
              <w:b w:val="0"/>
              <w:bCs w:val="0"/>
              <w:color w:val="000000" w:themeColor="text1"/>
              <w:sz w:val="32"/>
              <w:szCs w:val="28"/>
              <w:highlight w:val="none"/>
              <w14:textFill>
                <w14:solidFill>
                  <w14:schemeClr w14:val="tx1"/>
                </w14:solidFill>
              </w14:textFill>
            </w:rPr>
            <w:instrText xml:space="preserve"> PAGEREF _Toc7558 \h </w:instrText>
          </w:r>
          <w:r>
            <w:rPr>
              <w:rFonts w:hint="eastAsia" w:ascii="宋体" w:hAnsi="宋体" w:eastAsia="宋体" w:cs="宋体"/>
              <w:b w:val="0"/>
              <w:bCs w:val="0"/>
              <w:color w:val="000000" w:themeColor="text1"/>
              <w:sz w:val="32"/>
              <w:szCs w:val="28"/>
              <w:highlight w:val="none"/>
              <w14:textFill>
                <w14:solidFill>
                  <w14:schemeClr w14:val="tx1"/>
                </w14:solidFill>
              </w14:textFill>
            </w:rPr>
            <w:fldChar w:fldCharType="separate"/>
          </w:r>
          <w:r>
            <w:rPr>
              <w:rFonts w:hint="eastAsia" w:ascii="宋体" w:hAnsi="宋体" w:eastAsia="宋体" w:cs="宋体"/>
              <w:b w:val="0"/>
              <w:bCs w:val="0"/>
              <w:color w:val="000000" w:themeColor="text1"/>
              <w:sz w:val="32"/>
              <w:szCs w:val="28"/>
              <w:highlight w:val="none"/>
              <w14:textFill>
                <w14:solidFill>
                  <w14:schemeClr w14:val="tx1"/>
                </w14:solidFill>
              </w14:textFill>
            </w:rPr>
            <w:t>143</w:t>
          </w:r>
          <w:r>
            <w:rPr>
              <w:rFonts w:hint="eastAsia" w:ascii="宋体" w:hAnsi="宋体" w:eastAsia="宋体" w:cs="宋体"/>
              <w:b w:val="0"/>
              <w:bCs w:val="0"/>
              <w:color w:val="000000" w:themeColor="text1"/>
              <w:sz w:val="32"/>
              <w:szCs w:val="28"/>
              <w:highlight w:val="none"/>
              <w14:textFill>
                <w14:solidFill>
                  <w14:schemeClr w14:val="tx1"/>
                </w14:solidFill>
              </w14:textFill>
            </w:rPr>
            <w:fldChar w:fldCharType="end"/>
          </w:r>
          <w:r>
            <w:rPr>
              <w:rFonts w:hint="eastAsia" w:ascii="宋体" w:hAnsi="宋体" w:eastAsia="宋体" w:cs="宋体"/>
              <w:b w:val="0"/>
              <w:bCs w:val="0"/>
              <w:color w:val="000000" w:themeColor="text1"/>
              <w:sz w:val="32"/>
              <w:szCs w:val="28"/>
              <w:highlight w:val="none"/>
              <w14:textFill>
                <w14:solidFill>
                  <w14:schemeClr w14:val="tx1"/>
                </w14:solidFill>
              </w14:textFill>
            </w:rPr>
            <w:fldChar w:fldCharType="end"/>
          </w:r>
        </w:p>
        <w:p w14:paraId="1FCFBAF2">
          <w:pPr>
            <w:keepNext w:val="0"/>
            <w:keepLines w:val="0"/>
            <w:pageBreakBefore w:val="0"/>
            <w:kinsoku/>
            <w:wordWrap/>
            <w:overflowPunct/>
            <w:topLinePunct w:val="0"/>
            <w:autoSpaceDE/>
            <w:autoSpaceDN/>
            <w:bidi w:val="0"/>
            <w:adjustRightInd/>
            <w:snapToGrid/>
            <w:spacing w:line="360" w:lineRule="auto"/>
            <w:textAlignment w:val="auto"/>
            <w:rPr>
              <w:color w:val="000000" w:themeColor="text1"/>
              <w:highlight w:val="none"/>
              <w14:textFill>
                <w14:solidFill>
                  <w14:schemeClr w14:val="tx1"/>
                </w14:solidFill>
              </w14:textFill>
            </w:rPr>
          </w:pPr>
          <w:r>
            <w:rPr>
              <w:rFonts w:hint="eastAsia" w:ascii="宋体" w:hAnsi="宋体" w:eastAsia="宋体" w:cs="宋体"/>
              <w:b w:val="0"/>
              <w:bCs w:val="0"/>
              <w:color w:val="000000" w:themeColor="text1"/>
              <w:sz w:val="28"/>
              <w:szCs w:val="28"/>
              <w:highlight w:val="none"/>
              <w14:textFill>
                <w14:solidFill>
                  <w14:schemeClr w14:val="tx1"/>
                </w14:solidFill>
              </w14:textFill>
            </w:rPr>
            <w:fldChar w:fldCharType="end"/>
          </w:r>
        </w:p>
        <w:p w14:paraId="089FBA85">
          <w:pPr>
            <w:shd w:val="clear"/>
            <w:ind w:firstLine="420" w:firstLineChars="200"/>
            <w:rPr>
              <w:rFonts w:hint="eastAsia" w:ascii="宋体" w:hAnsi="宋体" w:eastAsia="宋体" w:cs="宋体"/>
              <w:color w:val="000000" w:themeColor="text1"/>
              <w:kern w:val="2"/>
              <w:sz w:val="21"/>
              <w:szCs w:val="36"/>
              <w:highlight w:val="none"/>
              <w:lang w:val="en-US" w:eastAsia="zh-CN" w:bidi="ar-SA"/>
              <w14:textFill>
                <w14:solidFill>
                  <w14:schemeClr w14:val="tx1"/>
                </w14:solidFill>
              </w14:textFill>
            </w:rPr>
            <w:sectPr>
              <w:footerReference r:id="rId4" w:type="first"/>
              <w:footerReference r:id="rId3" w:type="default"/>
              <w:pgSz w:w="11906" w:h="16838"/>
              <w:pgMar w:top="850" w:right="850" w:bottom="850" w:left="1417" w:header="850" w:footer="992" w:gutter="0"/>
              <w:paperSrc/>
              <w:pgNumType w:start="1"/>
              <w:cols w:space="0" w:num="1"/>
              <w:rtlGutter w:val="0"/>
              <w:docGrid w:type="lines" w:linePitch="315" w:charSpace="0"/>
            </w:sectPr>
          </w:pPr>
        </w:p>
      </w:sdtContent>
    </w:sdt>
    <w:p w14:paraId="69BA1A2E">
      <w:pPr>
        <w:shd w:val="clear"/>
        <w:ind w:firstLine="680" w:firstLineChars="200"/>
        <w:jc w:val="center"/>
        <w:outlineLvl w:val="0"/>
        <w:rPr>
          <w:rFonts w:ascii="宋体" w:hAnsi="宋体" w:cs="宋体"/>
          <w:color w:val="000000" w:themeColor="text1"/>
          <w:sz w:val="36"/>
          <w:szCs w:val="36"/>
          <w:highlight w:val="none"/>
          <w:lang w:val="zh-CN"/>
          <w14:textFill>
            <w14:solidFill>
              <w14:schemeClr w14:val="tx1"/>
            </w14:solidFill>
          </w14:textFill>
        </w:rPr>
      </w:pPr>
      <w:bookmarkStart w:id="0" w:name="_Toc11083"/>
      <w:bookmarkStart w:id="1" w:name="_Toc30187"/>
      <w:r>
        <w:rPr>
          <w:rFonts w:hint="eastAsia" w:ascii="宋体" w:hAnsi="宋体" w:cs="宋体"/>
          <w:color w:val="000000" w:themeColor="text1"/>
          <w:spacing w:val="-10"/>
          <w:sz w:val="36"/>
          <w:szCs w:val="36"/>
          <w:highlight w:val="none"/>
          <w14:textFill>
            <w14:solidFill>
              <w14:schemeClr w14:val="tx1"/>
            </w14:solidFill>
          </w14:textFill>
        </w:rPr>
        <w:t>第一章 竞争性磋商邀请</w:t>
      </w:r>
      <w:bookmarkEnd w:id="0"/>
      <w:bookmarkEnd w:id="1"/>
    </w:p>
    <w:p w14:paraId="7A3F6BF7">
      <w:pPr>
        <w:pBdr>
          <w:top w:val="single" w:color="auto" w:sz="4" w:space="1"/>
          <w:left w:val="single" w:color="auto" w:sz="4" w:space="4"/>
          <w:bottom w:val="single" w:color="auto" w:sz="4" w:space="1"/>
          <w:right w:val="single" w:color="auto" w:sz="4" w:space="4"/>
        </w:pBdr>
        <w:shd w:val="clea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项目概况</w:t>
      </w:r>
    </w:p>
    <w:p w14:paraId="3158C200">
      <w:pPr>
        <w:pBdr>
          <w:top w:val="single" w:color="auto" w:sz="4" w:space="1"/>
          <w:left w:val="single" w:color="auto" w:sz="4" w:space="4"/>
          <w:bottom w:val="single" w:color="auto" w:sz="4" w:space="1"/>
          <w:right w:val="single" w:color="auto" w:sz="4" w:space="4"/>
        </w:pBdr>
        <w:shd w:val="clea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u w:val="single"/>
          <w:lang w:eastAsia="zh-CN"/>
          <w14:textFill>
            <w14:solidFill>
              <w14:schemeClr w14:val="tx1"/>
            </w14:solidFill>
          </w14:textFill>
        </w:rPr>
        <w:t>中国药科大学玄武门校区学生宿舍浴室改造项目</w:t>
      </w:r>
      <w:r>
        <w:rPr>
          <w:rFonts w:hint="eastAsia" w:ascii="宋体" w:hAnsi="宋体" w:cs="宋体"/>
          <w:color w:val="000000" w:themeColor="text1"/>
          <w:sz w:val="24"/>
          <w:szCs w:val="24"/>
          <w:highlight w:val="none"/>
          <w14:textFill>
            <w14:solidFill>
              <w14:schemeClr w14:val="tx1"/>
            </w14:solidFill>
          </w14:textFill>
        </w:rPr>
        <w:t>招标项目的潜在投标人应在</w:t>
      </w:r>
      <w:r>
        <w:rPr>
          <w:rFonts w:hint="eastAsia" w:ascii="宋体" w:hAnsi="宋体" w:cs="宋体"/>
          <w:color w:val="000000" w:themeColor="text1"/>
          <w:sz w:val="24"/>
          <w:szCs w:val="24"/>
          <w:highlight w:val="none"/>
          <w:u w:val="single"/>
          <w14:textFill>
            <w14:solidFill>
              <w14:schemeClr w14:val="tx1"/>
            </w14:solidFill>
          </w14:textFill>
        </w:rPr>
        <w:t>南京市鼓楼区中山路99号12楼1212室</w:t>
      </w:r>
      <w:r>
        <w:rPr>
          <w:rFonts w:hint="eastAsia" w:ascii="宋体" w:hAnsi="宋体" w:cs="宋体"/>
          <w:color w:val="000000" w:themeColor="text1"/>
          <w:sz w:val="24"/>
          <w:szCs w:val="24"/>
          <w:highlight w:val="none"/>
          <w14:textFill>
            <w14:solidFill>
              <w14:schemeClr w14:val="tx1"/>
            </w14:solidFill>
          </w14:textFill>
        </w:rPr>
        <w:t>获取招标文件，并于</w:t>
      </w:r>
      <w:r>
        <w:rPr>
          <w:rFonts w:hint="eastAsia" w:ascii="宋体" w:hAnsi="宋体" w:cs="宋体"/>
          <w:color w:val="000000" w:themeColor="text1"/>
          <w:sz w:val="24"/>
          <w:szCs w:val="24"/>
          <w:highlight w:val="none"/>
          <w:u w:val="single"/>
          <w14:textFill>
            <w14:solidFill>
              <w14:schemeClr w14:val="tx1"/>
            </w14:solidFill>
          </w14:textFill>
        </w:rPr>
        <w:t>202</w:t>
      </w:r>
      <w:r>
        <w:rPr>
          <w:rFonts w:hint="eastAsia" w:ascii="宋体" w:hAnsi="宋体" w:cs="宋体"/>
          <w:color w:val="000000" w:themeColor="text1"/>
          <w:sz w:val="24"/>
          <w:szCs w:val="24"/>
          <w:highlight w:val="none"/>
          <w:u w:val="single"/>
          <w:lang w:val="en-US" w:eastAsia="zh-CN"/>
          <w14:textFill>
            <w14:solidFill>
              <w14:schemeClr w14:val="tx1"/>
            </w14:solidFill>
          </w14:textFill>
        </w:rPr>
        <w:t>6</w:t>
      </w:r>
      <w:r>
        <w:rPr>
          <w:rFonts w:hint="eastAsia" w:ascii="宋体" w:hAnsi="宋体" w:cs="宋体"/>
          <w:color w:val="000000" w:themeColor="text1"/>
          <w:sz w:val="24"/>
          <w:szCs w:val="24"/>
          <w:highlight w:val="none"/>
          <w:u w:val="single"/>
          <w14:textFill>
            <w14:solidFill>
              <w14:schemeClr w14:val="tx1"/>
            </w14:solidFill>
          </w14:textFill>
        </w:rPr>
        <w:t>年</w:t>
      </w:r>
      <w:r>
        <w:rPr>
          <w:rFonts w:hint="eastAsia" w:ascii="宋体" w:hAnsi="宋体" w:cs="宋体"/>
          <w:color w:val="000000" w:themeColor="text1"/>
          <w:sz w:val="24"/>
          <w:szCs w:val="24"/>
          <w:highlight w:val="none"/>
          <w:u w:val="single"/>
          <w:lang w:val="en-US" w:eastAsia="zh-CN"/>
          <w14:textFill>
            <w14:solidFill>
              <w14:schemeClr w14:val="tx1"/>
            </w14:solidFill>
          </w14:textFill>
        </w:rPr>
        <w:t>2</w:t>
      </w:r>
      <w:r>
        <w:rPr>
          <w:rFonts w:hint="eastAsia" w:ascii="宋体" w:hAnsi="宋体" w:cs="宋体"/>
          <w:color w:val="000000" w:themeColor="text1"/>
          <w:sz w:val="24"/>
          <w:szCs w:val="24"/>
          <w:highlight w:val="none"/>
          <w:u w:val="single"/>
          <w14:textFill>
            <w14:solidFill>
              <w14:schemeClr w14:val="tx1"/>
            </w14:solidFill>
          </w14:textFill>
        </w:rPr>
        <w:t>月</w:t>
      </w:r>
      <w:r>
        <w:rPr>
          <w:rFonts w:hint="eastAsia" w:ascii="宋体" w:hAnsi="宋体" w:cs="宋体"/>
          <w:color w:val="000000" w:themeColor="text1"/>
          <w:sz w:val="24"/>
          <w:szCs w:val="24"/>
          <w:highlight w:val="none"/>
          <w:u w:val="single"/>
          <w:lang w:val="en-US" w:eastAsia="zh-CN"/>
          <w14:textFill>
            <w14:solidFill>
              <w14:schemeClr w14:val="tx1"/>
            </w14:solidFill>
          </w14:textFill>
        </w:rPr>
        <w:t>2</w:t>
      </w:r>
      <w:r>
        <w:rPr>
          <w:rFonts w:hint="eastAsia" w:ascii="宋体" w:hAnsi="宋体" w:cs="宋体"/>
          <w:color w:val="000000" w:themeColor="text1"/>
          <w:sz w:val="24"/>
          <w:szCs w:val="24"/>
          <w:highlight w:val="none"/>
          <w:u w:val="single"/>
          <w14:textFill>
            <w14:solidFill>
              <w14:schemeClr w14:val="tx1"/>
            </w14:solidFill>
          </w14:textFill>
        </w:rPr>
        <w:t>日</w:t>
      </w:r>
      <w:r>
        <w:rPr>
          <w:rFonts w:hint="eastAsia" w:ascii="宋体" w:hAnsi="宋体" w:cs="宋体"/>
          <w:color w:val="000000" w:themeColor="text1"/>
          <w:sz w:val="24"/>
          <w:szCs w:val="24"/>
          <w:highlight w:val="none"/>
          <w:u w:val="single"/>
          <w:lang w:val="en-US" w:eastAsia="zh-CN"/>
          <w14:textFill>
            <w14:solidFill>
              <w14:schemeClr w14:val="tx1"/>
            </w14:solidFill>
          </w14:textFill>
        </w:rPr>
        <w:t>14</w:t>
      </w:r>
      <w:r>
        <w:rPr>
          <w:rFonts w:hint="eastAsia" w:ascii="宋体" w:hAnsi="宋体" w:cs="宋体"/>
          <w:color w:val="000000" w:themeColor="text1"/>
          <w:sz w:val="24"/>
          <w:szCs w:val="24"/>
          <w:highlight w:val="none"/>
          <w:u w:val="single"/>
          <w14:textFill>
            <w14:solidFill>
              <w14:schemeClr w14:val="tx1"/>
            </w14:solidFill>
          </w14:textFill>
        </w:rPr>
        <w:t>时</w:t>
      </w:r>
      <w:r>
        <w:rPr>
          <w:rFonts w:hint="eastAsia" w:ascii="宋体" w:hAnsi="宋体" w:cs="宋体"/>
          <w:color w:val="000000" w:themeColor="text1"/>
          <w:sz w:val="24"/>
          <w:szCs w:val="24"/>
          <w:highlight w:val="none"/>
          <w:u w:val="single"/>
          <w:lang w:val="en-US" w:eastAsia="zh-CN"/>
          <w14:textFill>
            <w14:solidFill>
              <w14:schemeClr w14:val="tx1"/>
            </w14:solidFill>
          </w14:textFill>
        </w:rPr>
        <w:t>00</w:t>
      </w:r>
      <w:r>
        <w:rPr>
          <w:rFonts w:hint="eastAsia" w:ascii="宋体" w:hAnsi="宋体" w:cs="宋体"/>
          <w:color w:val="000000" w:themeColor="text1"/>
          <w:sz w:val="24"/>
          <w:szCs w:val="24"/>
          <w:highlight w:val="none"/>
          <w:u w:val="single"/>
          <w14:textFill>
            <w14:solidFill>
              <w14:schemeClr w14:val="tx1"/>
            </w14:solidFill>
          </w14:textFill>
        </w:rPr>
        <w:t>分</w:t>
      </w:r>
      <w:r>
        <w:rPr>
          <w:rFonts w:hint="eastAsia" w:ascii="宋体" w:hAnsi="宋体" w:cs="宋体"/>
          <w:bCs/>
          <w:color w:val="000000" w:themeColor="text1"/>
          <w:sz w:val="24"/>
          <w:szCs w:val="24"/>
          <w:highlight w:val="none"/>
          <w:u w:val="single"/>
          <w14:textFill>
            <w14:solidFill>
              <w14:schemeClr w14:val="tx1"/>
            </w14:solidFill>
          </w14:textFill>
        </w:rPr>
        <w:t>（</w:t>
      </w:r>
      <w:r>
        <w:rPr>
          <w:rFonts w:hint="eastAsia" w:ascii="宋体" w:hAnsi="宋体" w:cs="宋体"/>
          <w:bCs/>
          <w:color w:val="000000" w:themeColor="text1"/>
          <w:sz w:val="24"/>
          <w:szCs w:val="24"/>
          <w:highlight w:val="none"/>
          <w14:textFill>
            <w14:solidFill>
              <w14:schemeClr w14:val="tx1"/>
            </w14:solidFill>
          </w14:textFill>
        </w:rPr>
        <w:t>北京时间）前递交投标文件</w:t>
      </w:r>
      <w:r>
        <w:rPr>
          <w:rFonts w:hint="eastAsia" w:ascii="宋体" w:hAnsi="宋体" w:cs="宋体"/>
          <w:color w:val="000000" w:themeColor="text1"/>
          <w:sz w:val="24"/>
          <w:szCs w:val="24"/>
          <w:highlight w:val="none"/>
          <w14:textFill>
            <w14:solidFill>
              <w14:schemeClr w14:val="tx1"/>
            </w14:solidFill>
          </w14:textFill>
        </w:rPr>
        <w:t>。</w:t>
      </w:r>
    </w:p>
    <w:p w14:paraId="7DBE1818">
      <w:pPr>
        <w:shd w:val="clear"/>
        <w:spacing w:line="360" w:lineRule="auto"/>
        <w:rPr>
          <w:rFonts w:ascii="宋体" w:hAnsi="宋体" w:cs="宋体"/>
          <w:b/>
          <w:bCs/>
          <w:color w:val="000000" w:themeColor="text1"/>
          <w:sz w:val="28"/>
          <w:szCs w:val="28"/>
          <w:highlight w:val="none"/>
          <w14:textFill>
            <w14:solidFill>
              <w14:schemeClr w14:val="tx1"/>
            </w14:solidFill>
          </w14:textFill>
        </w:rPr>
      </w:pPr>
      <w:bookmarkStart w:id="2" w:name="_Toc28359089"/>
      <w:bookmarkStart w:id="3" w:name="_Toc35393798"/>
      <w:bookmarkStart w:id="4" w:name="_Toc28359012"/>
      <w:bookmarkStart w:id="5" w:name="_Toc35393629"/>
      <w:r>
        <w:rPr>
          <w:rFonts w:hint="eastAsia" w:ascii="宋体" w:hAnsi="宋体" w:cs="宋体"/>
          <w:b/>
          <w:bCs/>
          <w:color w:val="000000" w:themeColor="text1"/>
          <w:sz w:val="28"/>
          <w:szCs w:val="28"/>
          <w:highlight w:val="none"/>
          <w14:textFill>
            <w14:solidFill>
              <w14:schemeClr w14:val="tx1"/>
            </w14:solidFill>
          </w14:textFill>
        </w:rPr>
        <w:t>一、项目基本情况</w:t>
      </w:r>
      <w:bookmarkEnd w:id="2"/>
      <w:bookmarkEnd w:id="3"/>
      <w:bookmarkEnd w:id="4"/>
      <w:bookmarkEnd w:id="5"/>
    </w:p>
    <w:p w14:paraId="588787EB">
      <w:pPr>
        <w:shd w:val="clear"/>
        <w:wordWrap w:val="0"/>
        <w:spacing w:line="360" w:lineRule="auto"/>
        <w:ind w:firstLine="480" w:firstLineChars="20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项目编号：校方编号：</w:t>
      </w:r>
      <w:r>
        <w:rPr>
          <w:rFonts w:hint="eastAsia" w:ascii="宋体" w:hAnsi="宋体" w:cs="宋体"/>
          <w:color w:val="000000" w:themeColor="text1"/>
          <w:sz w:val="24"/>
          <w:szCs w:val="24"/>
          <w:highlight w:val="none"/>
          <w:lang w:eastAsia="zh-CN"/>
          <w14:textFill>
            <w14:solidFill>
              <w14:schemeClr w14:val="tx1"/>
            </w14:solidFill>
          </w14:textFill>
        </w:rPr>
        <w:t>DCGPCS031250387</w:t>
      </w:r>
      <w:r>
        <w:rPr>
          <w:rFonts w:hint="eastAsia" w:ascii="宋体" w:hAnsi="宋体" w:cs="宋体"/>
          <w:color w:val="000000" w:themeColor="text1"/>
          <w:sz w:val="24"/>
          <w:szCs w:val="24"/>
          <w:highlight w:val="none"/>
          <w14:textFill>
            <w14:solidFill>
              <w14:schemeClr w14:val="tx1"/>
            </w14:solidFill>
          </w14:textFill>
        </w:rPr>
        <w:t>代理机构编号：</w:t>
      </w:r>
      <w:r>
        <w:rPr>
          <w:rFonts w:hint="eastAsia" w:ascii="宋体" w:hAnsi="宋体" w:cs="宋体"/>
          <w:color w:val="000000" w:themeColor="text1"/>
          <w:sz w:val="24"/>
          <w:szCs w:val="24"/>
          <w:highlight w:val="none"/>
          <w:lang w:eastAsia="zh-CN"/>
          <w14:textFill>
            <w14:solidFill>
              <w14:schemeClr w14:val="tx1"/>
            </w14:solidFill>
          </w14:textFill>
        </w:rPr>
        <w:t>SNZX-20250768</w:t>
      </w:r>
    </w:p>
    <w:p w14:paraId="70128DDA">
      <w:pPr>
        <w:shd w:val="clear"/>
        <w:spacing w:line="360" w:lineRule="auto"/>
        <w:ind w:firstLine="480" w:firstLineChars="20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项目名称：</w:t>
      </w:r>
      <w:r>
        <w:rPr>
          <w:rFonts w:hint="eastAsia" w:ascii="宋体" w:hAnsi="宋体" w:cs="宋体"/>
          <w:color w:val="000000" w:themeColor="text1"/>
          <w:sz w:val="24"/>
          <w:szCs w:val="24"/>
          <w:highlight w:val="none"/>
          <w:lang w:eastAsia="zh-CN"/>
          <w14:textFill>
            <w14:solidFill>
              <w14:schemeClr w14:val="tx1"/>
            </w14:solidFill>
          </w14:textFill>
        </w:rPr>
        <w:t>中国药科大学玄武门校区学生宿舍浴室改造项目</w:t>
      </w:r>
    </w:p>
    <w:p w14:paraId="06214C29">
      <w:pPr>
        <w:shd w:val="clea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采购方式：竞争性磋商</w:t>
      </w:r>
    </w:p>
    <w:p w14:paraId="0594BF32">
      <w:pPr>
        <w:shd w:val="clea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预算金额：5</w:t>
      </w: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cs="宋体"/>
          <w:color w:val="000000" w:themeColor="text1"/>
          <w:sz w:val="24"/>
          <w:szCs w:val="24"/>
          <w:highlight w:val="none"/>
          <w14:textFill>
            <w14:solidFill>
              <w14:schemeClr w14:val="tx1"/>
            </w14:solidFill>
          </w14:textFill>
        </w:rPr>
        <w:t>万元</w:t>
      </w:r>
    </w:p>
    <w:p w14:paraId="5A882EAE">
      <w:pPr>
        <w:shd w:val="clear"/>
        <w:spacing w:line="360" w:lineRule="auto"/>
        <w:ind w:firstLine="480" w:firstLineChars="200"/>
        <w:rPr>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最高限价：48</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905609万元</w:t>
      </w:r>
      <w:r>
        <w:rPr>
          <w:rFonts w:hint="eastAsia" w:ascii="宋体" w:hAnsi="宋体" w:eastAsia="宋体"/>
          <w:bCs/>
          <w:color w:val="000000" w:themeColor="text1"/>
          <w:sz w:val="24"/>
          <w:szCs w:val="24"/>
          <w:highlight w:val="none"/>
          <w:lang w:val="en-US"/>
          <w14:textFill>
            <w14:solidFill>
              <w14:schemeClr w14:val="tx1"/>
            </w14:solidFill>
          </w14:textFill>
        </w:rPr>
        <w:t>，最终报价超过</w:t>
      </w:r>
      <w:r>
        <w:rPr>
          <w:rFonts w:hint="eastAsia" w:ascii="宋体" w:hAnsi="宋体" w:eastAsia="宋体"/>
          <w:bCs/>
          <w:color w:val="000000" w:themeColor="text1"/>
          <w:sz w:val="24"/>
          <w:szCs w:val="24"/>
          <w:highlight w:val="none"/>
          <w14:textFill>
            <w14:solidFill>
              <w14:schemeClr w14:val="tx1"/>
            </w14:solidFill>
          </w14:textFill>
        </w:rPr>
        <w:t>最高限价的为无效响应文件。</w:t>
      </w:r>
    </w:p>
    <w:p w14:paraId="1CD9CE7F">
      <w:pPr>
        <w:spacing w:line="348" w:lineRule="auto"/>
        <w:ind w:firstLine="480" w:firstLineChars="200"/>
        <w:jc w:val="left"/>
        <w:rPr>
          <w:rFonts w:ascii="宋体" w:hAnsi="宋体"/>
          <w:color w:val="000000" w:themeColor="text1"/>
          <w:szCs w:val="21"/>
          <w:highlight w:val="none"/>
          <w14:textFill>
            <w14:solidFill>
              <w14:schemeClr w14:val="tx1"/>
            </w14:solidFill>
          </w14:textFill>
        </w:rPr>
      </w:pPr>
      <w:bookmarkStart w:id="6" w:name="_Toc35393630"/>
      <w:bookmarkStart w:id="7" w:name="_Toc28359013"/>
      <w:bookmarkStart w:id="8" w:name="_Toc35393799"/>
      <w:bookmarkStart w:id="9" w:name="_Toc28359090"/>
      <w:r>
        <w:rPr>
          <w:rFonts w:hint="eastAsia" w:ascii="宋体" w:hAnsi="宋体" w:cs="宋体"/>
          <w:color w:val="000000" w:themeColor="text1"/>
          <w:sz w:val="24"/>
          <w:szCs w:val="24"/>
          <w:highlight w:val="none"/>
          <w14:textFill>
            <w14:solidFill>
              <w14:schemeClr w14:val="tx1"/>
            </w14:solidFill>
          </w14:textFill>
        </w:rPr>
        <w:t>采购需求：本项目施工内容包括但不限于玄武门校区宿舍内卫生间拆除工程、渗漏处理以及隔断、给排水管、灯具、面板、洁具、配电箱、开关插座、热水器安装、计费系统购置安装等。具体详见采购需求、招标工程量清单及图纸。</w:t>
      </w:r>
    </w:p>
    <w:p w14:paraId="21C7DDD6">
      <w:pPr>
        <w:shd w:val="clea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工期要求：</w:t>
      </w:r>
      <w:r>
        <w:rPr>
          <w:rFonts w:hint="eastAsia" w:ascii="宋体" w:hAnsi="宋体" w:cs="宋体"/>
          <w:color w:val="000000" w:themeColor="text1"/>
          <w:sz w:val="24"/>
          <w:szCs w:val="24"/>
          <w:highlight w:val="none"/>
          <w:lang w:val="en-US" w:eastAsia="zh-CN"/>
          <w14:textFill>
            <w14:solidFill>
              <w14:schemeClr w14:val="tx1"/>
            </w14:solidFill>
          </w14:textFill>
        </w:rPr>
        <w:t>45个日历日（其中2026年2月3日至2月28日假期不计）</w:t>
      </w:r>
    </w:p>
    <w:p w14:paraId="7AD96F2E">
      <w:pPr>
        <w:shd w:val="clear"/>
        <w:spacing w:line="360" w:lineRule="auto"/>
        <w:ind w:firstLine="480" w:firstLineChars="200"/>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质量要求：符合国家质量验收标准，满足采购人要求</w:t>
      </w:r>
      <w:r>
        <w:rPr>
          <w:rFonts w:hint="eastAsia" w:ascii="宋体" w:hAnsi="宋体" w:cs="宋体"/>
          <w:color w:val="000000" w:themeColor="text1"/>
          <w:kern w:val="0"/>
          <w:sz w:val="24"/>
          <w:szCs w:val="24"/>
          <w:highlight w:val="none"/>
          <w:lang w:eastAsia="zh-CN"/>
          <w14:textFill>
            <w14:solidFill>
              <w14:schemeClr w14:val="tx1"/>
            </w14:solidFill>
          </w14:textFill>
        </w:rPr>
        <w:t>。</w:t>
      </w:r>
    </w:p>
    <w:p w14:paraId="45EDEF2C">
      <w:pPr>
        <w:shd w:val="clea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本项目不接受联合体投标</w:t>
      </w:r>
      <w:r>
        <w:rPr>
          <w:rFonts w:hint="eastAsia" w:ascii="宋体" w:hAnsi="宋体" w:cs="宋体"/>
          <w:bCs/>
          <w:color w:val="000000" w:themeColor="text1"/>
          <w:sz w:val="24"/>
          <w:szCs w:val="24"/>
          <w:highlight w:val="none"/>
          <w:lang w:val="zh-CN"/>
          <w14:textFill>
            <w14:solidFill>
              <w14:schemeClr w14:val="tx1"/>
            </w14:solidFill>
          </w14:textFill>
        </w:rPr>
        <w:t>。</w:t>
      </w:r>
    </w:p>
    <w:p w14:paraId="30CA1376">
      <w:pPr>
        <w:shd w:val="clear"/>
        <w:spacing w:line="360" w:lineRule="auto"/>
        <w:ind w:firstLine="480" w:firstLineChars="200"/>
        <w:rPr>
          <w:rFonts w:ascii="宋体" w:hAnsi="宋体" w:cs="宋体"/>
          <w:bCs/>
          <w:color w:val="000000" w:themeColor="text1"/>
          <w:sz w:val="24"/>
          <w:szCs w:val="24"/>
          <w:highlight w:val="none"/>
          <w:lang w:val="zh-CN"/>
          <w14:textFill>
            <w14:solidFill>
              <w14:schemeClr w14:val="tx1"/>
            </w14:solidFill>
          </w14:textFill>
        </w:rPr>
      </w:pPr>
      <w:r>
        <w:rPr>
          <w:rFonts w:hint="eastAsia" w:ascii="宋体" w:hAnsi="宋体" w:cs="宋体"/>
          <w:bCs/>
          <w:color w:val="000000" w:themeColor="text1"/>
          <w:sz w:val="24"/>
          <w:szCs w:val="24"/>
          <w:highlight w:val="none"/>
          <w:lang w:val="zh-CN"/>
          <w14:textFill>
            <w14:solidFill>
              <w14:schemeClr w14:val="tx1"/>
            </w14:solidFill>
          </w14:textFill>
        </w:rPr>
        <w:t>本项目采购标的所属行业为：建筑业。</w:t>
      </w:r>
    </w:p>
    <w:p w14:paraId="1B0FFAA8">
      <w:pPr>
        <w:shd w:val="clear"/>
        <w:spacing w:line="360" w:lineRule="auto"/>
        <w:ind w:firstLine="480" w:firstLineChars="200"/>
        <w:rPr>
          <w:rFonts w:ascii="宋体" w:hAnsi="宋体" w:cs="宋体"/>
          <w:color w:val="000000" w:themeColor="text1"/>
          <w:sz w:val="24"/>
          <w:szCs w:val="24"/>
          <w:highlight w:val="none"/>
          <w:u w:color="000000"/>
          <w14:textFill>
            <w14:solidFill>
              <w14:schemeClr w14:val="tx1"/>
            </w14:solidFill>
          </w14:textFill>
        </w:rPr>
      </w:pPr>
      <w:r>
        <w:rPr>
          <w:rFonts w:hint="eastAsia" w:ascii="宋体" w:hAnsi="宋体" w:cs="宋体"/>
          <w:color w:val="000000" w:themeColor="text1"/>
          <w:sz w:val="24"/>
          <w:szCs w:val="24"/>
          <w:highlight w:val="none"/>
          <w:u w:color="000000"/>
          <w14:textFill>
            <w14:solidFill>
              <w14:schemeClr w14:val="tx1"/>
            </w14:solidFill>
          </w14:textFill>
        </w:rPr>
        <w:t>本项目是否属专门面向中小企业采购项目：</w:t>
      </w:r>
      <w:r>
        <w:rPr>
          <w:rFonts w:ascii="宋体" w:hAnsi="宋体"/>
          <w:bCs/>
          <w:color w:val="000000" w:themeColor="text1"/>
          <w:sz w:val="24"/>
          <w:szCs w:val="24"/>
          <w:highlight w:val="none"/>
          <w14:textFill>
            <w14:solidFill>
              <w14:schemeClr w14:val="tx1"/>
            </w14:solidFill>
          </w14:textFill>
        </w:rPr>
        <w:t>是，非中小型企业参与本采购项目，将做无效响应文件处理（须提供中小企业声明函）。</w:t>
      </w:r>
    </w:p>
    <w:p w14:paraId="08E217AB">
      <w:pPr>
        <w:shd w:val="clear"/>
        <w:spacing w:line="360" w:lineRule="auto"/>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二、申请人的资格要求：</w:t>
      </w:r>
      <w:bookmarkEnd w:id="6"/>
      <w:bookmarkEnd w:id="7"/>
      <w:bookmarkEnd w:id="8"/>
      <w:bookmarkEnd w:id="9"/>
    </w:p>
    <w:p w14:paraId="4B5CB5B7">
      <w:pPr>
        <w:shd w:val="clea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bookmarkStart w:id="10" w:name="_Toc28359014"/>
      <w:bookmarkStart w:id="11" w:name="_Toc35393631"/>
      <w:bookmarkStart w:id="12" w:name="_Toc28359091"/>
      <w:bookmarkStart w:id="13" w:name="_Toc35393800"/>
      <w:r>
        <w:rPr>
          <w:rFonts w:hint="eastAsia" w:ascii="宋体" w:hAnsi="宋体" w:cs="宋体"/>
          <w:color w:val="000000" w:themeColor="text1"/>
          <w:sz w:val="24"/>
          <w:szCs w:val="24"/>
          <w:highlight w:val="none"/>
          <w14:textFill>
            <w14:solidFill>
              <w14:schemeClr w14:val="tx1"/>
            </w14:solidFill>
          </w14:textFill>
        </w:rPr>
        <w:t>1.满足《中华人民共和国政府采购法》第二十二条规定；</w:t>
      </w:r>
    </w:p>
    <w:p w14:paraId="367EDE4B">
      <w:pPr>
        <w:spacing w:line="360" w:lineRule="auto"/>
        <w:ind w:firstLine="480" w:firstLineChars="200"/>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（1）具有独立承担民事责任的能力（提供法人或者其他组织的营业执照，自然人的身份证）；</w:t>
      </w:r>
    </w:p>
    <w:p w14:paraId="33D41B97">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（2）</w:t>
      </w:r>
      <w:r>
        <w:rPr>
          <w:rFonts w:hint="eastAsia" w:ascii="宋体" w:hAnsi="宋体" w:cs="宋体"/>
          <w:color w:val="000000" w:themeColor="text1"/>
          <w:sz w:val="24"/>
          <w:szCs w:val="24"/>
          <w:highlight w:val="none"/>
          <w14:textFill>
            <w14:solidFill>
              <w14:schemeClr w14:val="tx1"/>
            </w14:solidFill>
          </w14:textFill>
        </w:rPr>
        <w:t>具有良好的商业信誉和健全的财务会计制度（提供</w:t>
      </w:r>
      <w:r>
        <w:rPr>
          <w:rFonts w:hint="eastAsia" w:ascii="宋体" w:hAnsi="宋体" w:eastAsia="宋体" w:cs="Times New Roman"/>
          <w:color w:val="000000" w:themeColor="text1"/>
          <w:sz w:val="24"/>
          <w:szCs w:val="24"/>
          <w:highlight w:val="none"/>
          <w:lang w:eastAsia="zh-CN"/>
          <w14:textFill>
            <w14:solidFill>
              <w14:schemeClr w14:val="tx1"/>
            </w14:solidFill>
          </w14:textFill>
        </w:rPr>
        <w:t>投标截止时间前</w:t>
      </w:r>
      <w:r>
        <w:rPr>
          <w:rFonts w:hint="eastAsia" w:ascii="宋体" w:hAnsi="宋体" w:eastAsia="宋体" w:cs="Times New Roman"/>
          <w:color w:val="000000" w:themeColor="text1"/>
          <w:sz w:val="24"/>
          <w:szCs w:val="24"/>
          <w:highlight w:val="none"/>
          <w14:textFill>
            <w14:solidFill>
              <w14:schemeClr w14:val="tx1"/>
            </w14:solidFill>
          </w14:textFill>
        </w:rPr>
        <w:t>近半年内</w:t>
      </w:r>
      <w:r>
        <w:rPr>
          <w:rFonts w:hint="eastAsia" w:ascii="宋体" w:hAnsi="宋体" w:cs="宋体"/>
          <w:color w:val="000000" w:themeColor="text1"/>
          <w:sz w:val="24"/>
          <w:szCs w:val="24"/>
          <w:highlight w:val="none"/>
          <w14:textFill>
            <w14:solidFill>
              <w14:schemeClr w14:val="tx1"/>
            </w14:solidFill>
          </w14:textFill>
        </w:rPr>
        <w:t>银行出具的资信证明，或</w:t>
      </w:r>
      <w:r>
        <w:rPr>
          <w:rFonts w:hint="eastAsia" w:ascii="宋体" w:hAnsi="宋体" w:eastAsia="宋体" w:cs="Times New Roman"/>
          <w:color w:val="000000" w:themeColor="text1"/>
          <w:sz w:val="24"/>
          <w:szCs w:val="24"/>
          <w:highlight w:val="none"/>
          <w:lang w:eastAsia="zh-CN"/>
          <w14:textFill>
            <w14:solidFill>
              <w14:schemeClr w14:val="tx1"/>
            </w14:solidFill>
          </w14:textFill>
        </w:rPr>
        <w:t>投标截止时间前</w:t>
      </w:r>
      <w:r>
        <w:rPr>
          <w:rFonts w:hint="eastAsia" w:ascii="宋体" w:hAnsi="宋体" w:eastAsia="宋体" w:cs="Times New Roman"/>
          <w:color w:val="000000" w:themeColor="text1"/>
          <w:sz w:val="24"/>
          <w:szCs w:val="24"/>
          <w:highlight w:val="none"/>
          <w14:textFill>
            <w14:solidFill>
              <w14:schemeClr w14:val="tx1"/>
            </w14:solidFill>
          </w14:textFill>
        </w:rPr>
        <w:t>近半年内</w:t>
      </w:r>
      <w:r>
        <w:rPr>
          <w:rFonts w:hint="eastAsia" w:ascii="宋体" w:hAnsi="宋体" w:cs="宋体"/>
          <w:color w:val="000000" w:themeColor="text1"/>
          <w:sz w:val="24"/>
          <w:szCs w:val="24"/>
          <w:highlight w:val="none"/>
          <w14:textFill>
            <w14:solidFill>
              <w14:schemeClr w14:val="tx1"/>
            </w14:solidFill>
          </w14:textFill>
        </w:rPr>
        <w:t>任意一个月的财务状况报告（至少包括资产负债表和利润表），或</w:t>
      </w:r>
      <w:r>
        <w:rPr>
          <w:rFonts w:hint="eastAsia" w:ascii="宋体" w:hAnsi="宋体" w:cs="宋体"/>
          <w:color w:val="000000" w:themeColor="text1"/>
          <w:sz w:val="24"/>
          <w:szCs w:val="24"/>
          <w:highlight w:val="none"/>
          <w:lang w:eastAsia="zh-CN"/>
          <w14:textFill>
            <w14:solidFill>
              <w14:schemeClr w14:val="tx1"/>
            </w14:solidFill>
          </w14:textFill>
        </w:rPr>
        <w:t>上一年度（或</w:t>
      </w:r>
      <w:r>
        <w:rPr>
          <w:rFonts w:hint="eastAsia" w:ascii="宋体" w:hAnsi="宋体" w:cs="宋体"/>
          <w:color w:val="000000" w:themeColor="text1"/>
          <w:sz w:val="24"/>
          <w:szCs w:val="24"/>
          <w:highlight w:val="none"/>
          <w:lang w:val="en-US" w:eastAsia="zh-CN"/>
          <w14:textFill>
            <w14:solidFill>
              <w14:schemeClr w14:val="tx1"/>
            </w14:solidFill>
          </w14:textFill>
        </w:rPr>
        <w:t>2024</w:t>
      </w:r>
      <w:r>
        <w:rPr>
          <w:rFonts w:hint="eastAsia" w:ascii="宋体" w:hAnsi="宋体" w:cs="宋体"/>
          <w:color w:val="000000" w:themeColor="text1"/>
          <w:sz w:val="24"/>
          <w:szCs w:val="24"/>
          <w:highlight w:val="none"/>
          <w14:textFill>
            <w14:solidFill>
              <w14:schemeClr w14:val="tx1"/>
            </w14:solidFill>
          </w14:textFill>
        </w:rPr>
        <w:t>年度</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经审计的财务报告</w:t>
      </w:r>
      <w:r>
        <w:rPr>
          <w:rFonts w:hint="eastAsia" w:ascii="宋体" w:hAnsi="宋体" w:cs="宋体"/>
          <w:color w:val="000000" w:themeColor="text1"/>
          <w:sz w:val="24"/>
          <w:szCs w:val="24"/>
          <w:highlight w:val="none"/>
          <w:lang w:val="en-US" w:eastAsia="zh-CN"/>
          <w14:textFill>
            <w14:solidFill>
              <w14:schemeClr w14:val="tx1"/>
            </w14:solidFill>
          </w14:textFill>
        </w:rPr>
        <w:t>,成立不满一年无需提供</w:t>
      </w:r>
      <w:r>
        <w:rPr>
          <w:rFonts w:hint="eastAsia" w:ascii="宋体" w:hAnsi="宋体" w:cs="宋体"/>
          <w:color w:val="000000" w:themeColor="text1"/>
          <w:sz w:val="24"/>
          <w:szCs w:val="24"/>
          <w:highlight w:val="none"/>
          <w14:textFill>
            <w14:solidFill>
              <w14:schemeClr w14:val="tx1"/>
            </w14:solidFill>
          </w14:textFill>
        </w:rPr>
        <w:t>）；</w:t>
      </w:r>
    </w:p>
    <w:p w14:paraId="6AB8347F">
      <w:pPr>
        <w:spacing w:line="360" w:lineRule="auto"/>
        <w:ind w:firstLine="480" w:firstLineChars="200"/>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（3）具有履行合同所必需的设备和专业技术能力（根据项目需求提供履行合同所必需的设备和专业技术能力的证明材料或相关加盖公章的声明函）；  </w:t>
      </w:r>
    </w:p>
    <w:p w14:paraId="22356FCA">
      <w:pPr>
        <w:spacing w:line="360" w:lineRule="auto"/>
        <w:ind w:firstLine="480" w:firstLineChars="200"/>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（4）有依法缴纳税收和社会保障资金的良好记录（提供</w:t>
      </w:r>
      <w:r>
        <w:rPr>
          <w:rFonts w:hint="eastAsia" w:ascii="宋体" w:hAnsi="宋体" w:eastAsia="宋体" w:cs="Times New Roman"/>
          <w:color w:val="000000" w:themeColor="text1"/>
          <w:sz w:val="24"/>
          <w:szCs w:val="24"/>
          <w:highlight w:val="none"/>
          <w:lang w:eastAsia="zh-CN"/>
          <w14:textFill>
            <w14:solidFill>
              <w14:schemeClr w14:val="tx1"/>
            </w14:solidFill>
          </w14:textFill>
        </w:rPr>
        <w:t>投标截止时间前</w:t>
      </w:r>
      <w:r>
        <w:rPr>
          <w:rFonts w:hint="eastAsia" w:ascii="宋体" w:hAnsi="宋体" w:eastAsia="宋体" w:cs="Times New Roman"/>
          <w:color w:val="000000" w:themeColor="text1"/>
          <w:sz w:val="24"/>
          <w:szCs w:val="24"/>
          <w:highlight w:val="none"/>
          <w14:textFill>
            <w14:solidFill>
              <w14:schemeClr w14:val="tx1"/>
            </w14:solidFill>
          </w14:textFill>
        </w:rPr>
        <w:t>近半年内任意一个月的纳税证明文件（依法免缴的应提供相应文件说明）；并提供</w:t>
      </w:r>
      <w:r>
        <w:rPr>
          <w:rFonts w:hint="eastAsia" w:ascii="宋体" w:hAnsi="宋体" w:eastAsia="宋体" w:cs="Times New Roman"/>
          <w:color w:val="000000" w:themeColor="text1"/>
          <w:sz w:val="24"/>
          <w:szCs w:val="24"/>
          <w:highlight w:val="none"/>
          <w:lang w:eastAsia="zh-CN"/>
          <w14:textFill>
            <w14:solidFill>
              <w14:schemeClr w14:val="tx1"/>
            </w14:solidFill>
          </w14:textFill>
        </w:rPr>
        <w:t>投标截止时间前</w:t>
      </w:r>
      <w:r>
        <w:rPr>
          <w:rFonts w:hint="eastAsia" w:ascii="宋体" w:hAnsi="宋体" w:eastAsia="宋体" w:cs="Times New Roman"/>
          <w:color w:val="000000" w:themeColor="text1"/>
          <w:sz w:val="24"/>
          <w:szCs w:val="24"/>
          <w:highlight w:val="none"/>
          <w14:textFill>
            <w14:solidFill>
              <w14:schemeClr w14:val="tx1"/>
            </w14:solidFill>
          </w14:textFill>
        </w:rPr>
        <w:t>近半年内依法为员工缴纳社会保障资金的证明材料（任意一个月即可），证明材料可以是缴费的银行单据复印件、社保机构开具的证明（依法不需要缴纳社会保障资金的应提供相应文件说明））；</w:t>
      </w:r>
    </w:p>
    <w:p w14:paraId="2B82C3C7">
      <w:pPr>
        <w:spacing w:line="360" w:lineRule="auto"/>
        <w:ind w:firstLine="480" w:firstLineChars="200"/>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（5）参加本次采购活动前三年内，在经营活动中没有重大违法记录（提供参加本次采购活动前三年内在经营活动中没有重大违法记录的书面声明）。</w:t>
      </w:r>
    </w:p>
    <w:p w14:paraId="4FFDF219">
      <w:pPr>
        <w:spacing w:line="360" w:lineRule="auto"/>
        <w:ind w:firstLine="480" w:firstLineChars="200"/>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（6）法律、行政法规规定的其他条件。（符合并提供承诺书加盖供应商公章编入响应文件中）。</w:t>
      </w:r>
    </w:p>
    <w:p w14:paraId="1602C272">
      <w:pPr>
        <w:shd w:val="clea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2.落实政府采购政策需满足的资格要求：本项目为专门面向中小企业采购的项目。如为中小微型企业、监狱企业、残疾人福利性单位，提供的产品为国家认定的节能产品和环保产品的须按要求提供相关材料。</w:t>
      </w:r>
    </w:p>
    <w:p w14:paraId="1755281D">
      <w:pPr>
        <w:shd w:val="clea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3.本项目的特定资格要求：</w:t>
      </w:r>
    </w:p>
    <w:p w14:paraId="372D4663">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（1）</w:t>
      </w:r>
      <w:r>
        <w:rPr>
          <w:rFonts w:ascii="宋体" w:hAnsi="宋体" w:eastAsia="宋体"/>
          <w:color w:val="000000" w:themeColor="text1"/>
          <w:sz w:val="24"/>
          <w:szCs w:val="24"/>
          <w:highlight w:val="none"/>
          <w14:textFill>
            <w14:solidFill>
              <w14:schemeClr w14:val="tx1"/>
            </w14:solidFill>
          </w14:textFill>
        </w:rPr>
        <w:t>供应商资质等级及范围</w:t>
      </w:r>
      <w:r>
        <w:rPr>
          <w:rFonts w:hint="eastAsia" w:ascii="宋体" w:hAnsi="宋体" w:eastAsia="宋体"/>
          <w:color w:val="000000" w:themeColor="text1"/>
          <w:sz w:val="24"/>
          <w:szCs w:val="24"/>
          <w:highlight w:val="none"/>
          <w14:textFill>
            <w14:solidFill>
              <w14:schemeClr w14:val="tx1"/>
            </w14:solidFill>
          </w14:textFill>
        </w:rPr>
        <w:t>：</w:t>
      </w:r>
      <w:r>
        <w:rPr>
          <w:rFonts w:ascii="宋体" w:hAnsi="宋体" w:eastAsia="宋体"/>
          <w:color w:val="000000" w:themeColor="text1"/>
          <w:sz w:val="24"/>
          <w:szCs w:val="24"/>
          <w:highlight w:val="none"/>
          <w14:textFill>
            <w14:solidFill>
              <w14:schemeClr w14:val="tx1"/>
            </w14:solidFill>
          </w14:textFill>
        </w:rPr>
        <w:t>具</w:t>
      </w:r>
      <w:r>
        <w:rPr>
          <w:rFonts w:hint="eastAsia" w:ascii="宋体" w:hAnsi="宋体" w:eastAsia="宋体"/>
          <w:color w:val="000000" w:themeColor="text1"/>
          <w:sz w:val="24"/>
          <w:szCs w:val="24"/>
          <w:highlight w:val="none"/>
          <w14:textFill>
            <w14:solidFill>
              <w14:schemeClr w14:val="tx1"/>
            </w14:solidFill>
          </w14:textFill>
        </w:rPr>
        <w:t>备</w:t>
      </w:r>
      <w:r>
        <w:rPr>
          <w:rFonts w:ascii="宋体" w:hAnsi="宋体" w:eastAsia="宋体"/>
          <w:color w:val="000000" w:themeColor="text1"/>
          <w:sz w:val="24"/>
          <w:szCs w:val="24"/>
          <w:highlight w:val="none"/>
          <w14:textFill>
            <w14:solidFill>
              <w14:schemeClr w14:val="tx1"/>
            </w14:solidFill>
          </w14:textFill>
        </w:rPr>
        <w:t>建筑</w:t>
      </w:r>
      <w:r>
        <w:rPr>
          <w:rFonts w:hint="eastAsia" w:ascii="宋体" w:hAnsi="宋体" w:eastAsia="宋体"/>
          <w:color w:val="000000" w:themeColor="text1"/>
          <w:sz w:val="24"/>
          <w:szCs w:val="24"/>
          <w:highlight w:val="none"/>
          <w14:textFill>
            <w14:solidFill>
              <w14:schemeClr w14:val="tx1"/>
            </w14:solidFill>
          </w14:textFill>
        </w:rPr>
        <w:t>工程施工总承包三</w:t>
      </w:r>
      <w:r>
        <w:rPr>
          <w:rFonts w:ascii="宋体" w:hAnsi="宋体" w:eastAsia="宋体"/>
          <w:color w:val="000000" w:themeColor="text1"/>
          <w:sz w:val="24"/>
          <w:szCs w:val="24"/>
          <w:highlight w:val="none"/>
          <w14:textFill>
            <w14:solidFill>
              <w14:schemeClr w14:val="tx1"/>
            </w14:solidFill>
          </w14:textFill>
        </w:rPr>
        <w:t>级</w:t>
      </w:r>
      <w:r>
        <w:rPr>
          <w:rFonts w:hint="eastAsia" w:ascii="宋体" w:hAnsi="宋体" w:eastAsia="宋体"/>
          <w:color w:val="000000" w:themeColor="text1"/>
          <w:sz w:val="24"/>
          <w:szCs w:val="24"/>
          <w:highlight w:val="none"/>
          <w14:textFill>
            <w14:solidFill>
              <w14:schemeClr w14:val="tx1"/>
            </w14:solidFill>
          </w14:textFill>
        </w:rPr>
        <w:t>（含）</w:t>
      </w:r>
      <w:r>
        <w:rPr>
          <w:rFonts w:ascii="宋体" w:hAnsi="宋体" w:eastAsia="宋体"/>
          <w:color w:val="000000" w:themeColor="text1"/>
          <w:sz w:val="24"/>
          <w:szCs w:val="24"/>
          <w:highlight w:val="none"/>
          <w14:textFill>
            <w14:solidFill>
              <w14:schemeClr w14:val="tx1"/>
            </w14:solidFill>
          </w14:textFill>
        </w:rPr>
        <w:t>以上资质并具有有效的《安全生产许可证》</w:t>
      </w:r>
      <w:r>
        <w:rPr>
          <w:rFonts w:hint="eastAsia" w:ascii="宋体" w:hAnsi="宋体" w:eastAsia="宋体"/>
          <w:color w:val="000000" w:themeColor="text1"/>
          <w:sz w:val="24"/>
          <w:szCs w:val="24"/>
          <w:highlight w:val="none"/>
          <w14:textFill>
            <w14:solidFill>
              <w14:schemeClr w14:val="tx1"/>
            </w14:solidFill>
          </w14:textFill>
        </w:rPr>
        <w:t>，</w:t>
      </w:r>
      <w:r>
        <w:rPr>
          <w:rFonts w:ascii="宋体" w:hAnsi="宋体" w:eastAsia="宋体"/>
          <w:color w:val="000000" w:themeColor="text1"/>
          <w:sz w:val="24"/>
          <w:szCs w:val="24"/>
          <w:highlight w:val="none"/>
          <w14:textFill>
            <w14:solidFill>
              <w14:schemeClr w14:val="tx1"/>
            </w14:solidFill>
          </w14:textFill>
        </w:rPr>
        <w:t>提供有效的证书复印件加盖供应商公章编入响应文件中；</w:t>
      </w:r>
    </w:p>
    <w:p w14:paraId="0AC6CF27">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w:t>
      </w:r>
      <w:r>
        <w:rPr>
          <w:rFonts w:hint="eastAsia" w:ascii="宋体" w:hAnsi="宋体" w:eastAsia="宋体"/>
          <w:color w:val="000000" w:themeColor="text1"/>
          <w:sz w:val="24"/>
          <w:szCs w:val="24"/>
          <w:highlight w:val="none"/>
          <w14:textFill>
            <w14:solidFill>
              <w14:schemeClr w14:val="tx1"/>
            </w14:solidFill>
          </w14:textFill>
        </w:rPr>
        <w:t>2</w:t>
      </w:r>
      <w:r>
        <w:rPr>
          <w:rFonts w:ascii="宋体" w:hAnsi="宋体" w:eastAsia="宋体"/>
          <w:color w:val="000000" w:themeColor="text1"/>
          <w:sz w:val="24"/>
          <w:szCs w:val="24"/>
          <w:highlight w:val="none"/>
          <w14:textFill>
            <w14:solidFill>
              <w14:schemeClr w14:val="tx1"/>
            </w14:solidFill>
          </w14:textFill>
        </w:rPr>
        <w:t>）</w:t>
      </w:r>
      <w:r>
        <w:rPr>
          <w:rFonts w:hint="eastAsia" w:ascii="宋体" w:hAnsi="宋体" w:eastAsia="宋体"/>
          <w:color w:val="000000" w:themeColor="text1"/>
          <w:sz w:val="24"/>
          <w:szCs w:val="24"/>
          <w:highlight w:val="none"/>
          <w14:textFill>
            <w14:solidFill>
              <w14:schemeClr w14:val="tx1"/>
            </w14:solidFill>
          </w14:textFill>
        </w:rPr>
        <w:t>项目负责人的资格要求：取得注册建造师证建筑工程二级(含)以上注册执业证书并取得《安全生产考核合格证书》B类证书；同时需提供本工程项目负责人与供应商签订的有效劳动合同、社保机构出具的近半年内(2025年7月-2025年12月)任意一个月供应商为其缴纳的养老保险缴费证明材料并加盖社保中心章或社保中心参保缴费证明电子专用章；若项目负责人属企业退休人员、现役军人等客观原因无法提供养老保险金缴费证明，必须出具劳务合同及相关证明材料，否则一律按未提供养老保险金缴费证明材料处理。（须供有效的证书复印件、合同及养老保险缴费证明材料复印件加盖公章）。</w:t>
      </w:r>
    </w:p>
    <w:p w14:paraId="7F29628D">
      <w:pPr>
        <w:spacing w:line="360" w:lineRule="auto"/>
        <w:ind w:firstLine="480" w:firstLineChars="200"/>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w:t>
      </w:r>
      <w:r>
        <w:rPr>
          <w:rFonts w:ascii="宋体" w:hAnsi="宋体" w:eastAsia="宋体"/>
          <w:color w:val="000000" w:themeColor="text1"/>
          <w:sz w:val="24"/>
          <w:szCs w:val="24"/>
          <w:highlight w:val="none"/>
          <w14:textFill>
            <w14:solidFill>
              <w14:schemeClr w14:val="tx1"/>
            </w14:solidFill>
          </w14:textFill>
        </w:rPr>
        <w:t>3</w:t>
      </w:r>
      <w:r>
        <w:rPr>
          <w:rFonts w:hint="eastAsia" w:ascii="宋体" w:hAnsi="宋体" w:eastAsia="宋体"/>
          <w:color w:val="000000" w:themeColor="text1"/>
          <w:sz w:val="24"/>
          <w:szCs w:val="24"/>
          <w:highlight w:val="none"/>
          <w14:textFill>
            <w14:solidFill>
              <w14:schemeClr w14:val="tx1"/>
            </w14:solidFill>
          </w14:textFill>
        </w:rPr>
        <w:t>）供应商须承诺</w:t>
      </w:r>
      <w:r>
        <w:rPr>
          <w:rFonts w:ascii="宋体" w:hAnsi="宋体" w:eastAsia="宋体"/>
          <w:color w:val="000000" w:themeColor="text1"/>
          <w:sz w:val="24"/>
          <w:szCs w:val="24"/>
          <w:highlight w:val="none"/>
          <w14:textFill>
            <w14:solidFill>
              <w14:schemeClr w14:val="tx1"/>
            </w14:solidFill>
          </w14:textFill>
        </w:rPr>
        <w:t>拟投入本项目的项目</w:t>
      </w:r>
      <w:r>
        <w:rPr>
          <w:rFonts w:hint="eastAsia" w:ascii="宋体" w:hAnsi="宋体" w:eastAsia="宋体"/>
          <w:color w:val="000000" w:themeColor="text1"/>
          <w:sz w:val="24"/>
          <w:szCs w:val="24"/>
          <w:highlight w:val="none"/>
          <w14:textFill>
            <w14:solidFill>
              <w14:schemeClr w14:val="tx1"/>
            </w14:solidFill>
          </w14:textFill>
        </w:rPr>
        <w:t>负责人无在建工程（提供承诺书加盖公章）</w:t>
      </w:r>
      <w:r>
        <w:rPr>
          <w:rFonts w:ascii="宋体" w:hAnsi="宋体" w:eastAsia="宋体"/>
          <w:color w:val="000000" w:themeColor="text1"/>
          <w:sz w:val="24"/>
          <w:szCs w:val="24"/>
          <w:highlight w:val="none"/>
          <w14:textFill>
            <w14:solidFill>
              <w14:schemeClr w14:val="tx1"/>
            </w14:solidFill>
          </w14:textFill>
        </w:rPr>
        <w:t>：</w:t>
      </w:r>
    </w:p>
    <w:p w14:paraId="68FD3249">
      <w:pPr>
        <w:shd w:val="clea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4.拒绝下述供应商参加本次采购活动：（提供承诺书加盖供应商公章编入响应文件中）</w:t>
      </w:r>
    </w:p>
    <w:p w14:paraId="037BB12D">
      <w:pPr>
        <w:shd w:val="clea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（1）供应商单位负责人为同一人或者存在直接控股、管理关系的不同供应商，不得参加同一合同项下的采购活动。</w:t>
      </w:r>
    </w:p>
    <w:p w14:paraId="18E03A16">
      <w:pPr>
        <w:shd w:val="clea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（2）凡为采购项目提供整体设计、规范编制或者项目管理、监理、检测等服务的供应商，不得再参加本项目的采购活动。</w:t>
      </w:r>
    </w:p>
    <w:p w14:paraId="634483CF">
      <w:pPr>
        <w:shd w:val="clea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（3）拒绝列入失信被执行人、重大税收违法失信主体、政府采购严重违法失信行为记录名单中的供应商参加本项目的采购活动。</w:t>
      </w:r>
    </w:p>
    <w:p w14:paraId="527ED1B4">
      <w:pPr>
        <w:shd w:val="clea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注：采购人或代理机构通过 “信用中国”网站（www.creditchina.gov.cn）、“中国政府采购网”网站（www.ccgp.gov.cn）等渠道查询供应商信用记录并保存。</w:t>
      </w:r>
    </w:p>
    <w:p w14:paraId="572DF198">
      <w:pPr>
        <w:spacing w:line="360" w:lineRule="auto"/>
        <w:ind w:firstLine="480" w:firstLineChars="20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5.根据住房和城乡建设部办公厅关于全面实行一级建造师电子注册证书的通知（建办市〔2021〕40 号）要求，自 2021 年 10 月 15 日起，在全国范围内实行一级建造师电子证书，电子证书式样按照《全国一体化在线政务服务平台电子证照一级建造师注册证书》标准执行。自 2022 年 1 月 1 日起，一级建造师统一使用电子证书，纸质注册证书作废。各投标人须提供一级建造师证书电子注册证书，电子注册证书应当符合相关文件规定，签名图像应当与持证人个人手写签名笔迹一致，证书应当在使用有效期限内。若提供的电子件无法识别有效信息的，视为无效。投标人将自行承担资格审查不通过等相应后果。</w:t>
      </w:r>
    </w:p>
    <w:p w14:paraId="1795C40B">
      <w:pPr>
        <w:shd w:val="clear"/>
        <w:spacing w:line="360" w:lineRule="auto"/>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三、</w:t>
      </w:r>
      <w:bookmarkEnd w:id="10"/>
      <w:bookmarkEnd w:id="11"/>
      <w:bookmarkEnd w:id="12"/>
      <w:bookmarkEnd w:id="13"/>
      <w:bookmarkStart w:id="14" w:name="_Toc28359015"/>
      <w:bookmarkStart w:id="15" w:name="_Toc28359092"/>
      <w:bookmarkStart w:id="16" w:name="_Toc35393632"/>
      <w:bookmarkStart w:id="17" w:name="_Toc35393801"/>
      <w:r>
        <w:rPr>
          <w:rFonts w:hint="eastAsia" w:ascii="宋体" w:hAnsi="宋体" w:cs="宋体"/>
          <w:b/>
          <w:color w:val="000000" w:themeColor="text1"/>
          <w:sz w:val="24"/>
          <w:szCs w:val="24"/>
          <w:highlight w:val="none"/>
          <w14:textFill>
            <w14:solidFill>
              <w14:schemeClr w14:val="tx1"/>
            </w14:solidFill>
          </w14:textFill>
        </w:rPr>
        <w:t>获取采购文件</w:t>
      </w:r>
    </w:p>
    <w:bookmarkEnd w:id="14"/>
    <w:bookmarkEnd w:id="15"/>
    <w:bookmarkEnd w:id="16"/>
    <w:bookmarkEnd w:id="17"/>
    <w:p w14:paraId="0793808E">
      <w:pPr>
        <w:shd w:val="clea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bookmarkStart w:id="18" w:name="_Toc35393803"/>
      <w:bookmarkStart w:id="19" w:name="_Toc35393634"/>
      <w:bookmarkStart w:id="20" w:name="_Toc28359094"/>
      <w:bookmarkStart w:id="21" w:name="_Toc28359017"/>
      <w:r>
        <w:rPr>
          <w:rFonts w:hint="eastAsia" w:ascii="宋体" w:hAnsi="宋体" w:cs="宋体"/>
          <w:color w:val="000000" w:themeColor="text1"/>
          <w:sz w:val="24"/>
          <w:szCs w:val="24"/>
          <w:highlight w:val="none"/>
          <w14:textFill>
            <w14:solidFill>
              <w14:schemeClr w14:val="tx1"/>
            </w14:solidFill>
          </w14:textFill>
        </w:rPr>
        <w:t>时间：202</w:t>
      </w:r>
      <w:r>
        <w:rPr>
          <w:rFonts w:hint="eastAsia" w:ascii="宋体" w:hAnsi="宋体" w:cs="宋体"/>
          <w:color w:val="000000" w:themeColor="text1"/>
          <w:sz w:val="24"/>
          <w:szCs w:val="24"/>
          <w:highlight w:val="none"/>
          <w:lang w:val="en-US" w:eastAsia="zh-CN"/>
          <w14:textFill>
            <w14:solidFill>
              <w14:schemeClr w14:val="tx1"/>
            </w14:solidFill>
          </w14:textFill>
        </w:rPr>
        <w:t>6</w:t>
      </w:r>
      <w:r>
        <w:rPr>
          <w:rFonts w:hint="eastAsia" w:ascii="宋体" w:hAnsi="宋体" w:cs="宋体"/>
          <w:color w:val="000000" w:themeColor="text1"/>
          <w:sz w:val="24"/>
          <w:szCs w:val="24"/>
          <w:highlight w:val="none"/>
          <w14:textFill>
            <w14:solidFill>
              <w14:schemeClr w14:val="tx1"/>
            </w14:solidFill>
          </w14:textFill>
        </w:rPr>
        <w:t>年</w:t>
      </w: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cs="宋体"/>
          <w:color w:val="000000" w:themeColor="text1"/>
          <w:sz w:val="24"/>
          <w:szCs w:val="24"/>
          <w:highlight w:val="none"/>
          <w14:textFill>
            <w14:solidFill>
              <w14:schemeClr w14:val="tx1"/>
            </w14:solidFill>
          </w14:textFill>
        </w:rPr>
        <w:t>日</w:t>
      </w:r>
      <w:r>
        <w:rPr>
          <w:rFonts w:hint="eastAsia" w:ascii="宋体" w:hAnsi="宋体" w:cs="宋体"/>
          <w:color w:val="000000" w:themeColor="text1"/>
          <w:sz w:val="24"/>
          <w:szCs w:val="24"/>
          <w:highlight w:val="none"/>
          <w:lang w:val="en-US" w:eastAsia="zh-CN"/>
          <w14:textFill>
            <w14:solidFill>
              <w14:schemeClr w14:val="tx1"/>
            </w14:solidFill>
          </w14:textFill>
        </w:rPr>
        <w:t>19</w:t>
      </w:r>
      <w:r>
        <w:rPr>
          <w:rFonts w:hint="eastAsia" w:ascii="宋体" w:hAnsi="宋体" w:cs="宋体"/>
          <w:color w:val="000000" w:themeColor="text1"/>
          <w:sz w:val="24"/>
          <w:szCs w:val="24"/>
          <w:highlight w:val="none"/>
          <w14:textFill>
            <w14:solidFill>
              <w14:schemeClr w14:val="tx1"/>
            </w14:solidFill>
          </w14:textFill>
        </w:rPr>
        <w:t>日上午09：00至202</w:t>
      </w:r>
      <w:r>
        <w:rPr>
          <w:rFonts w:hint="eastAsia" w:ascii="宋体" w:hAnsi="宋体" w:cs="宋体"/>
          <w:color w:val="000000" w:themeColor="text1"/>
          <w:sz w:val="24"/>
          <w:szCs w:val="24"/>
          <w:highlight w:val="none"/>
          <w:lang w:val="en-US" w:eastAsia="zh-CN"/>
          <w14:textFill>
            <w14:solidFill>
              <w14:schemeClr w14:val="tx1"/>
            </w14:solidFill>
          </w14:textFill>
        </w:rPr>
        <w:t>6</w:t>
      </w:r>
      <w:r>
        <w:rPr>
          <w:rFonts w:hint="eastAsia" w:ascii="宋体" w:hAnsi="宋体" w:cs="宋体"/>
          <w:color w:val="000000" w:themeColor="text1"/>
          <w:sz w:val="24"/>
          <w:szCs w:val="24"/>
          <w:highlight w:val="none"/>
          <w14:textFill>
            <w14:solidFill>
              <w14:schemeClr w14:val="tx1"/>
            </w14:solidFill>
          </w14:textFill>
        </w:rPr>
        <w:t>年</w:t>
      </w: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cs="宋体"/>
          <w:color w:val="000000" w:themeColor="text1"/>
          <w:sz w:val="24"/>
          <w:szCs w:val="24"/>
          <w:highlight w:val="none"/>
          <w14:textFill>
            <w14:solidFill>
              <w14:schemeClr w14:val="tx1"/>
            </w14:solidFill>
          </w14:textFill>
        </w:rPr>
        <w:t>月</w:t>
      </w:r>
      <w:r>
        <w:rPr>
          <w:rFonts w:hint="eastAsia" w:ascii="宋体" w:hAnsi="宋体" w:cs="宋体"/>
          <w:color w:val="000000" w:themeColor="text1"/>
          <w:sz w:val="24"/>
          <w:szCs w:val="24"/>
          <w:highlight w:val="none"/>
          <w:lang w:val="en-US" w:eastAsia="zh-CN"/>
          <w14:textFill>
            <w14:solidFill>
              <w14:schemeClr w14:val="tx1"/>
            </w14:solidFill>
          </w14:textFill>
        </w:rPr>
        <w:t>23</w:t>
      </w:r>
      <w:r>
        <w:rPr>
          <w:rFonts w:hint="eastAsia" w:ascii="宋体" w:hAnsi="宋体" w:cs="宋体"/>
          <w:color w:val="000000" w:themeColor="text1"/>
          <w:sz w:val="24"/>
          <w:szCs w:val="24"/>
          <w:highlight w:val="none"/>
          <w14:textFill>
            <w14:solidFill>
              <w14:schemeClr w14:val="tx1"/>
            </w14:solidFill>
          </w14:textFill>
        </w:rPr>
        <w:t>日下午17：00（北京时间，法定节假日除外）</w:t>
      </w:r>
    </w:p>
    <w:p w14:paraId="440EBF6A">
      <w:pPr>
        <w:shd w:val="clea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线上支付：网址为：</w:t>
      </w:r>
      <w:r>
        <w:rPr>
          <w:rFonts w:hint="eastAsia" w:ascii="宋体" w:hAnsi="宋体" w:cs="宋体"/>
          <w:color w:val="000000" w:themeColor="text1"/>
          <w:sz w:val="24"/>
          <w:szCs w:val="24"/>
          <w:highlight w:val="none"/>
          <w:lang w:val="en-US" w:eastAsia="zh-CN"/>
          <w14:textFill>
            <w14:solidFill>
              <w14:schemeClr w14:val="tx1"/>
            </w14:solidFill>
          </w14:textFill>
        </w:rPr>
        <w:t>https://njsnzx.cn/#/detail?id=2736</w:t>
      </w:r>
      <w:r>
        <w:rPr>
          <w:rFonts w:hint="eastAsia" w:ascii="宋体" w:hAnsi="宋体" w:cs="宋体"/>
          <w:color w:val="000000" w:themeColor="text1"/>
          <w:sz w:val="24"/>
          <w:szCs w:val="24"/>
          <w:highlight w:val="none"/>
          <w14:textFill>
            <w14:solidFill>
              <w14:schemeClr w14:val="tx1"/>
            </w14:solidFill>
          </w14:textFill>
        </w:rPr>
        <w:t>；凡有意参加者，请于上述时间内登录网址（免费注册）根据平台提示完成招标（采购）文件线上支付事宜。获取者应充分考虑所需时间，获取招标（采购）文件时间截止后不再接受提交的支付购买。平台提交为一次性工作请确认信息后再提交，若有需要查询支付状态可用注册手机号登录网址：https://njsnzx.cn/查询。支付状态成功后，与采购代理机构联系至南京市鼓楼区中山路99号12楼1212室领取纸质盖章版招标（采购）文件，电子版招标（采购）文件可在平台获取（电子版招标（采购）文件与纸质盖章版招标文件具有同等法律效力）。</w:t>
      </w:r>
    </w:p>
    <w:p w14:paraId="337E1FAF">
      <w:pPr>
        <w:shd w:val="clea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未按照上述要求合法获取招标（采购）文件的，招标（采购）人将不予受理其投标（响应）。</w:t>
      </w:r>
    </w:p>
    <w:p w14:paraId="3ACAAC60">
      <w:pPr>
        <w:shd w:val="clea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售价：￥500元，本公告包含的招标文件售价总和。</w:t>
      </w:r>
    </w:p>
    <w:p w14:paraId="3EABB003">
      <w:pPr>
        <w:shd w:val="clear"/>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四、响应文件提交</w:t>
      </w:r>
    </w:p>
    <w:p w14:paraId="4D9BE512">
      <w:pPr>
        <w:shd w:val="clear"/>
        <w:spacing w:line="360" w:lineRule="auto"/>
        <w:ind w:firstLine="480" w:firstLineChars="20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截止时间：</w:t>
      </w:r>
      <w:r>
        <w:rPr>
          <w:rFonts w:hint="eastAsia" w:ascii="宋体" w:hAnsi="宋体" w:cs="宋体"/>
          <w:color w:val="000000" w:themeColor="text1"/>
          <w:sz w:val="24"/>
          <w:szCs w:val="24"/>
          <w:highlight w:val="none"/>
          <w:u w:val="single"/>
          <w14:textFill>
            <w14:solidFill>
              <w14:schemeClr w14:val="tx1"/>
            </w14:solidFill>
          </w14:textFill>
        </w:rPr>
        <w:t>202</w:t>
      </w:r>
      <w:r>
        <w:rPr>
          <w:rFonts w:hint="eastAsia" w:ascii="宋体" w:hAnsi="宋体" w:cs="宋体"/>
          <w:color w:val="000000" w:themeColor="text1"/>
          <w:sz w:val="24"/>
          <w:szCs w:val="24"/>
          <w:highlight w:val="none"/>
          <w:u w:val="single"/>
          <w:lang w:val="en-US" w:eastAsia="zh-CN"/>
          <w14:textFill>
            <w14:solidFill>
              <w14:schemeClr w14:val="tx1"/>
            </w14:solidFill>
          </w14:textFill>
        </w:rPr>
        <w:t>6</w:t>
      </w:r>
      <w:r>
        <w:rPr>
          <w:rFonts w:hint="eastAsia" w:ascii="宋体" w:hAnsi="宋体" w:cs="宋体"/>
          <w:color w:val="000000" w:themeColor="text1"/>
          <w:sz w:val="24"/>
          <w:szCs w:val="24"/>
          <w:highlight w:val="none"/>
          <w:u w:val="single"/>
          <w14:textFill>
            <w14:solidFill>
              <w14:schemeClr w14:val="tx1"/>
            </w14:solidFill>
          </w14:textFill>
        </w:rPr>
        <w:t>年</w:t>
      </w:r>
      <w:r>
        <w:rPr>
          <w:rFonts w:hint="eastAsia" w:ascii="宋体" w:hAnsi="宋体" w:cs="宋体"/>
          <w:color w:val="000000" w:themeColor="text1"/>
          <w:sz w:val="24"/>
          <w:szCs w:val="24"/>
          <w:highlight w:val="none"/>
          <w:u w:val="single"/>
          <w:lang w:val="en-US" w:eastAsia="zh-CN"/>
          <w14:textFill>
            <w14:solidFill>
              <w14:schemeClr w14:val="tx1"/>
            </w14:solidFill>
          </w14:textFill>
        </w:rPr>
        <w:t>2</w:t>
      </w:r>
      <w:r>
        <w:rPr>
          <w:rFonts w:hint="eastAsia" w:ascii="宋体" w:hAnsi="宋体" w:cs="宋体"/>
          <w:color w:val="000000" w:themeColor="text1"/>
          <w:sz w:val="24"/>
          <w:szCs w:val="24"/>
          <w:highlight w:val="none"/>
          <w:u w:val="single"/>
          <w14:textFill>
            <w14:solidFill>
              <w14:schemeClr w14:val="tx1"/>
            </w14:solidFill>
          </w14:textFill>
        </w:rPr>
        <w:t>月</w:t>
      </w:r>
      <w:r>
        <w:rPr>
          <w:rFonts w:hint="eastAsia" w:ascii="宋体" w:hAnsi="宋体" w:cs="宋体"/>
          <w:color w:val="000000" w:themeColor="text1"/>
          <w:sz w:val="24"/>
          <w:szCs w:val="24"/>
          <w:highlight w:val="none"/>
          <w:u w:val="single"/>
          <w:lang w:val="en-US" w:eastAsia="zh-CN"/>
          <w14:textFill>
            <w14:solidFill>
              <w14:schemeClr w14:val="tx1"/>
            </w14:solidFill>
          </w14:textFill>
        </w:rPr>
        <w:t>2</w:t>
      </w:r>
      <w:r>
        <w:rPr>
          <w:rFonts w:hint="eastAsia" w:ascii="宋体" w:hAnsi="宋体" w:cs="宋体"/>
          <w:color w:val="000000" w:themeColor="text1"/>
          <w:sz w:val="24"/>
          <w:szCs w:val="24"/>
          <w:highlight w:val="none"/>
          <w:u w:val="single"/>
          <w14:textFill>
            <w14:solidFill>
              <w14:schemeClr w14:val="tx1"/>
            </w14:solidFill>
          </w14:textFill>
        </w:rPr>
        <w:t>日</w:t>
      </w:r>
      <w:r>
        <w:rPr>
          <w:rFonts w:hint="eastAsia" w:ascii="宋体" w:hAnsi="宋体" w:cs="宋体"/>
          <w:color w:val="000000" w:themeColor="text1"/>
          <w:sz w:val="24"/>
          <w:szCs w:val="24"/>
          <w:highlight w:val="none"/>
          <w:u w:val="single"/>
          <w:lang w:val="en-US" w:eastAsia="zh-CN"/>
          <w14:textFill>
            <w14:solidFill>
              <w14:schemeClr w14:val="tx1"/>
            </w14:solidFill>
          </w14:textFill>
        </w:rPr>
        <w:t>14</w:t>
      </w:r>
      <w:r>
        <w:rPr>
          <w:rFonts w:hint="eastAsia" w:ascii="宋体" w:hAnsi="宋体" w:cs="宋体"/>
          <w:color w:val="000000" w:themeColor="text1"/>
          <w:sz w:val="24"/>
          <w:szCs w:val="24"/>
          <w:highlight w:val="none"/>
          <w:u w:val="single"/>
          <w14:textFill>
            <w14:solidFill>
              <w14:schemeClr w14:val="tx1"/>
            </w14:solidFill>
          </w14:textFill>
        </w:rPr>
        <w:t>时</w:t>
      </w:r>
      <w:r>
        <w:rPr>
          <w:rFonts w:hint="eastAsia" w:ascii="宋体" w:hAnsi="宋体" w:cs="宋体"/>
          <w:color w:val="000000" w:themeColor="text1"/>
          <w:sz w:val="24"/>
          <w:szCs w:val="24"/>
          <w:highlight w:val="none"/>
          <w:u w:val="single"/>
          <w:lang w:val="en-US" w:eastAsia="zh-CN"/>
          <w14:textFill>
            <w14:solidFill>
              <w14:schemeClr w14:val="tx1"/>
            </w14:solidFill>
          </w14:textFill>
        </w:rPr>
        <w:t>0</w:t>
      </w:r>
      <w:r>
        <w:rPr>
          <w:rFonts w:hint="eastAsia" w:ascii="宋体" w:hAnsi="宋体" w:cs="宋体"/>
          <w:color w:val="000000" w:themeColor="text1"/>
          <w:sz w:val="24"/>
          <w:szCs w:val="24"/>
          <w:highlight w:val="none"/>
          <w:u w:val="single"/>
          <w14:textFill>
            <w14:solidFill>
              <w14:schemeClr w14:val="tx1"/>
            </w14:solidFill>
          </w14:textFill>
        </w:rPr>
        <w:t>0分</w:t>
      </w:r>
      <w:r>
        <w:rPr>
          <w:rFonts w:hint="eastAsia" w:ascii="宋体" w:hAnsi="宋体" w:cs="宋体"/>
          <w:bCs/>
          <w:color w:val="000000" w:themeColor="text1"/>
          <w:sz w:val="24"/>
          <w:szCs w:val="24"/>
          <w:highlight w:val="none"/>
          <w14:textFill>
            <w14:solidFill>
              <w14:schemeClr w14:val="tx1"/>
            </w14:solidFill>
          </w14:textFill>
        </w:rPr>
        <w:t>（北京时间）</w:t>
      </w:r>
    </w:p>
    <w:p w14:paraId="0E38ADD4">
      <w:pPr>
        <w:shd w:val="clear"/>
        <w:spacing w:line="360" w:lineRule="auto"/>
        <w:ind w:firstLine="480" w:firstLineChars="20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地点：</w:t>
      </w:r>
      <w:r>
        <w:rPr>
          <w:rFonts w:hint="eastAsia" w:ascii="宋体" w:hAnsi="宋体" w:cs="宋体"/>
          <w:color w:val="000000" w:themeColor="text1"/>
          <w:sz w:val="24"/>
          <w:szCs w:val="24"/>
          <w:highlight w:val="none"/>
          <w:u w:val="single"/>
          <w14:textFill>
            <w14:solidFill>
              <w14:schemeClr w14:val="tx1"/>
            </w14:solidFill>
          </w14:textFill>
        </w:rPr>
        <w:t>南京市鼓楼区中山路99号12楼1212室二楼开标室</w:t>
      </w:r>
    </w:p>
    <w:bookmarkEnd w:id="18"/>
    <w:bookmarkEnd w:id="19"/>
    <w:bookmarkEnd w:id="20"/>
    <w:bookmarkEnd w:id="21"/>
    <w:p w14:paraId="78430FBC">
      <w:pPr>
        <w:shd w:val="clear"/>
        <w:spacing w:line="360" w:lineRule="auto"/>
        <w:rPr>
          <w:rFonts w:ascii="宋体" w:hAnsi="宋体" w:cs="宋体"/>
          <w:b/>
          <w:bCs/>
          <w:color w:val="000000" w:themeColor="text1"/>
          <w:sz w:val="24"/>
          <w:szCs w:val="24"/>
          <w:highlight w:val="none"/>
          <w14:textFill>
            <w14:solidFill>
              <w14:schemeClr w14:val="tx1"/>
            </w14:solidFill>
          </w14:textFill>
        </w:rPr>
      </w:pPr>
      <w:bookmarkStart w:id="22" w:name="_Toc35393796"/>
      <w:bookmarkStart w:id="23" w:name="_Toc28359085"/>
      <w:bookmarkStart w:id="24" w:name="_Toc28359008"/>
      <w:bookmarkStart w:id="25" w:name="_Toc35393627"/>
      <w:r>
        <w:rPr>
          <w:rFonts w:hint="eastAsia" w:ascii="宋体" w:hAnsi="宋体" w:cs="宋体"/>
          <w:b/>
          <w:bCs/>
          <w:color w:val="000000" w:themeColor="text1"/>
          <w:sz w:val="24"/>
          <w:szCs w:val="24"/>
          <w:highlight w:val="none"/>
          <w14:textFill>
            <w14:solidFill>
              <w14:schemeClr w14:val="tx1"/>
            </w14:solidFill>
          </w14:textFill>
        </w:rPr>
        <w:t>五、开启</w:t>
      </w:r>
    </w:p>
    <w:p w14:paraId="101B7D90">
      <w:pPr>
        <w:shd w:val="clear"/>
        <w:spacing w:line="360" w:lineRule="auto"/>
        <w:ind w:firstLine="480" w:firstLineChars="200"/>
        <w:rPr>
          <w:rFonts w:ascii="宋体" w:hAnsi="宋体" w:cs="宋体"/>
          <w:bCs/>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时间：</w:t>
      </w:r>
      <w:r>
        <w:rPr>
          <w:rFonts w:hint="eastAsia" w:ascii="宋体" w:hAnsi="宋体" w:cs="宋体"/>
          <w:color w:val="000000" w:themeColor="text1"/>
          <w:sz w:val="24"/>
          <w:szCs w:val="24"/>
          <w:highlight w:val="none"/>
          <w:u w:val="single"/>
          <w14:textFill>
            <w14:solidFill>
              <w14:schemeClr w14:val="tx1"/>
            </w14:solidFill>
          </w14:textFill>
        </w:rPr>
        <w:t>202</w:t>
      </w:r>
      <w:r>
        <w:rPr>
          <w:rFonts w:hint="eastAsia" w:ascii="宋体" w:hAnsi="宋体" w:cs="宋体"/>
          <w:color w:val="000000" w:themeColor="text1"/>
          <w:sz w:val="24"/>
          <w:szCs w:val="24"/>
          <w:highlight w:val="none"/>
          <w:u w:val="single"/>
          <w:lang w:val="en-US" w:eastAsia="zh-CN"/>
          <w14:textFill>
            <w14:solidFill>
              <w14:schemeClr w14:val="tx1"/>
            </w14:solidFill>
          </w14:textFill>
        </w:rPr>
        <w:t>6</w:t>
      </w:r>
      <w:r>
        <w:rPr>
          <w:rFonts w:hint="eastAsia" w:ascii="宋体" w:hAnsi="宋体" w:cs="宋体"/>
          <w:color w:val="000000" w:themeColor="text1"/>
          <w:sz w:val="24"/>
          <w:szCs w:val="24"/>
          <w:highlight w:val="none"/>
          <w:u w:val="single"/>
          <w14:textFill>
            <w14:solidFill>
              <w14:schemeClr w14:val="tx1"/>
            </w14:solidFill>
          </w14:textFill>
        </w:rPr>
        <w:t>年</w:t>
      </w:r>
      <w:r>
        <w:rPr>
          <w:rFonts w:hint="eastAsia" w:ascii="宋体" w:hAnsi="宋体" w:cs="宋体"/>
          <w:color w:val="000000" w:themeColor="text1"/>
          <w:sz w:val="24"/>
          <w:szCs w:val="24"/>
          <w:highlight w:val="none"/>
          <w:u w:val="single"/>
          <w:lang w:val="en-US" w:eastAsia="zh-CN"/>
          <w14:textFill>
            <w14:solidFill>
              <w14:schemeClr w14:val="tx1"/>
            </w14:solidFill>
          </w14:textFill>
        </w:rPr>
        <w:t>2</w:t>
      </w:r>
      <w:r>
        <w:rPr>
          <w:rFonts w:hint="eastAsia" w:ascii="宋体" w:hAnsi="宋体" w:cs="宋体"/>
          <w:color w:val="000000" w:themeColor="text1"/>
          <w:sz w:val="24"/>
          <w:szCs w:val="24"/>
          <w:highlight w:val="none"/>
          <w:u w:val="single"/>
          <w14:textFill>
            <w14:solidFill>
              <w14:schemeClr w14:val="tx1"/>
            </w14:solidFill>
          </w14:textFill>
        </w:rPr>
        <w:t>月</w:t>
      </w:r>
      <w:r>
        <w:rPr>
          <w:rFonts w:hint="eastAsia" w:ascii="宋体" w:hAnsi="宋体" w:cs="宋体"/>
          <w:color w:val="000000" w:themeColor="text1"/>
          <w:sz w:val="24"/>
          <w:szCs w:val="24"/>
          <w:highlight w:val="none"/>
          <w:u w:val="single"/>
          <w:lang w:val="en-US" w:eastAsia="zh-CN"/>
          <w14:textFill>
            <w14:solidFill>
              <w14:schemeClr w14:val="tx1"/>
            </w14:solidFill>
          </w14:textFill>
        </w:rPr>
        <w:t>2</w:t>
      </w:r>
      <w:r>
        <w:rPr>
          <w:rFonts w:hint="eastAsia" w:ascii="宋体" w:hAnsi="宋体" w:cs="宋体"/>
          <w:color w:val="000000" w:themeColor="text1"/>
          <w:sz w:val="24"/>
          <w:szCs w:val="24"/>
          <w:highlight w:val="none"/>
          <w:u w:val="single"/>
          <w14:textFill>
            <w14:solidFill>
              <w14:schemeClr w14:val="tx1"/>
            </w14:solidFill>
          </w14:textFill>
        </w:rPr>
        <w:t>日</w:t>
      </w:r>
      <w:r>
        <w:rPr>
          <w:rFonts w:hint="eastAsia" w:ascii="宋体" w:hAnsi="宋体" w:cs="宋体"/>
          <w:color w:val="000000" w:themeColor="text1"/>
          <w:sz w:val="24"/>
          <w:szCs w:val="24"/>
          <w:highlight w:val="none"/>
          <w:u w:val="single"/>
          <w:lang w:val="en-US" w:eastAsia="zh-CN"/>
          <w14:textFill>
            <w14:solidFill>
              <w14:schemeClr w14:val="tx1"/>
            </w14:solidFill>
          </w14:textFill>
        </w:rPr>
        <w:t>14</w:t>
      </w:r>
      <w:r>
        <w:rPr>
          <w:rFonts w:hint="eastAsia" w:ascii="宋体" w:hAnsi="宋体" w:cs="宋体"/>
          <w:color w:val="000000" w:themeColor="text1"/>
          <w:sz w:val="24"/>
          <w:szCs w:val="24"/>
          <w:highlight w:val="none"/>
          <w:u w:val="single"/>
          <w14:textFill>
            <w14:solidFill>
              <w14:schemeClr w14:val="tx1"/>
            </w14:solidFill>
          </w14:textFill>
        </w:rPr>
        <w:t>时</w:t>
      </w:r>
      <w:r>
        <w:rPr>
          <w:rFonts w:hint="eastAsia" w:ascii="宋体" w:hAnsi="宋体" w:cs="宋体"/>
          <w:color w:val="000000" w:themeColor="text1"/>
          <w:sz w:val="24"/>
          <w:szCs w:val="24"/>
          <w:highlight w:val="none"/>
          <w:u w:val="single"/>
          <w:lang w:val="en-US" w:eastAsia="zh-CN"/>
          <w14:textFill>
            <w14:solidFill>
              <w14:schemeClr w14:val="tx1"/>
            </w14:solidFill>
          </w14:textFill>
        </w:rPr>
        <w:t>0</w:t>
      </w:r>
      <w:bookmarkStart w:id="649" w:name="_GoBack"/>
      <w:bookmarkEnd w:id="649"/>
      <w:r>
        <w:rPr>
          <w:rFonts w:hint="eastAsia" w:ascii="宋体" w:hAnsi="宋体" w:cs="宋体"/>
          <w:color w:val="000000" w:themeColor="text1"/>
          <w:sz w:val="24"/>
          <w:szCs w:val="24"/>
          <w:highlight w:val="none"/>
          <w:u w:val="single"/>
          <w14:textFill>
            <w14:solidFill>
              <w14:schemeClr w14:val="tx1"/>
            </w14:solidFill>
          </w14:textFill>
        </w:rPr>
        <w:t>0分</w:t>
      </w:r>
      <w:r>
        <w:rPr>
          <w:rFonts w:hint="eastAsia" w:ascii="宋体" w:hAnsi="宋体" w:cs="宋体"/>
          <w:bCs/>
          <w:color w:val="000000" w:themeColor="text1"/>
          <w:sz w:val="24"/>
          <w:szCs w:val="24"/>
          <w:highlight w:val="none"/>
          <w14:textFill>
            <w14:solidFill>
              <w14:schemeClr w14:val="tx1"/>
            </w14:solidFill>
          </w14:textFill>
        </w:rPr>
        <w:t>（北京时间）</w:t>
      </w:r>
    </w:p>
    <w:p w14:paraId="074CE5C4">
      <w:pPr>
        <w:shd w:val="clear"/>
        <w:spacing w:line="360" w:lineRule="auto"/>
        <w:ind w:firstLine="480" w:firstLineChars="20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地点：</w:t>
      </w:r>
      <w:r>
        <w:rPr>
          <w:rFonts w:hint="eastAsia" w:ascii="宋体" w:hAnsi="宋体" w:cs="宋体"/>
          <w:color w:val="000000" w:themeColor="text1"/>
          <w:sz w:val="24"/>
          <w:szCs w:val="24"/>
          <w:highlight w:val="none"/>
          <w:u w:val="single"/>
          <w14:textFill>
            <w14:solidFill>
              <w14:schemeClr w14:val="tx1"/>
            </w14:solidFill>
          </w14:textFill>
        </w:rPr>
        <w:t>南京市鼓楼区中山路99号12楼1212室二楼开标室</w:t>
      </w:r>
    </w:p>
    <w:p w14:paraId="537AB08D">
      <w:pPr>
        <w:shd w:val="clear"/>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六、公告期限</w:t>
      </w:r>
    </w:p>
    <w:p w14:paraId="20F737E8">
      <w:pPr>
        <w:shd w:val="clear"/>
        <w:spacing w:line="360" w:lineRule="auto"/>
        <w:ind w:firstLine="480" w:firstLineChars="200"/>
        <w:rPr>
          <w:rFonts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自本公告发布之日起3个工作日。</w:t>
      </w:r>
      <w:bookmarkStart w:id="26" w:name="_Toc35393795"/>
      <w:bookmarkStart w:id="27" w:name="_Toc35393626"/>
    </w:p>
    <w:p w14:paraId="6A8B6213">
      <w:pPr>
        <w:shd w:val="clear"/>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七、其他补充事宜</w:t>
      </w:r>
      <w:bookmarkEnd w:id="26"/>
      <w:bookmarkEnd w:id="27"/>
    </w:p>
    <w:p w14:paraId="07B7E83D">
      <w:pPr>
        <w:shd w:val="clea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1.集中考察或答疑：</w:t>
      </w:r>
    </w:p>
    <w:p w14:paraId="064057AE">
      <w:pPr>
        <w:shd w:val="clear"/>
        <w:spacing w:line="360" w:lineRule="auto"/>
        <w:ind w:firstLine="480" w:firstLineChars="200"/>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采购人不组织集中踏勘现场，供应商可自行前往现场踏勘。未踏勘现场或踏勘工作不详细的供应商中标后，不得以不完全了解现场情况为理由而向采购人提出任何索赔或其他要求，对此采购人不承担任何责任并将不作任何答复。</w:t>
      </w:r>
    </w:p>
    <w:p w14:paraId="47DC8EA0">
      <w:pPr>
        <w:pStyle w:val="9"/>
        <w:shd w:val="clear"/>
        <w:spacing w:after="0" w:line="360" w:lineRule="auto"/>
        <w:ind w:firstLine="480" w:firstLineChars="200"/>
        <w:rPr>
          <w:rFonts w:ascii="宋体" w:hAnsi="宋体" w:cs="宋体"/>
          <w:color w:val="000000" w:themeColor="text1"/>
          <w:highlight w:val="none"/>
          <w14:textFill>
            <w14:solidFill>
              <w14:schemeClr w14:val="tx1"/>
            </w14:solidFill>
          </w14:textFill>
        </w:rPr>
      </w:pPr>
      <w:bookmarkStart w:id="28" w:name="_Toc28359016"/>
      <w:bookmarkStart w:id="29" w:name="_Toc28359093"/>
      <w:bookmarkStart w:id="30" w:name="_Toc35393802"/>
      <w:bookmarkStart w:id="31" w:name="_Toc35393633"/>
      <w:r>
        <w:rPr>
          <w:rFonts w:hint="eastAsia" w:ascii="宋体" w:hAnsi="宋体" w:cs="宋体"/>
          <w:color w:val="000000" w:themeColor="text1"/>
          <w:highlight w:val="none"/>
          <w14:textFill>
            <w14:solidFill>
              <w14:schemeClr w14:val="tx1"/>
            </w14:solidFill>
          </w14:textFill>
        </w:rPr>
        <w:t>2.响应文件份数：</w:t>
      </w:r>
      <w:r>
        <w:rPr>
          <w:rFonts w:hint="eastAsia" w:ascii="宋体" w:hAnsi="宋体" w:cs="宋体"/>
          <w:bCs/>
          <w:color w:val="000000" w:themeColor="text1"/>
          <w:highlight w:val="none"/>
          <w14:textFill>
            <w14:solidFill>
              <w14:schemeClr w14:val="tx1"/>
            </w14:solidFill>
          </w14:textFill>
        </w:rPr>
        <w:t>一式伍份（壹份正本、肆份副本），电子版响应文件壹份</w:t>
      </w:r>
      <w:r>
        <w:rPr>
          <w:rFonts w:hint="eastAsia" w:asciiTheme="minorEastAsia" w:hAnsiTheme="minorEastAsia" w:eastAsiaTheme="minorEastAsia"/>
          <w:color w:val="000000" w:themeColor="text1"/>
          <w:highlight w:val="none"/>
          <w14:textFill>
            <w14:solidFill>
              <w14:schemeClr w14:val="tx1"/>
            </w14:solidFill>
          </w14:textFill>
        </w:rPr>
        <w:t>（电子版须为响应文件盖公章（红章）正本的PDF扫描件，扫描件内容应与纸质文件完全一致。文件名建议修改为公司名+项目编号简写、U盘形式，随纸质正本文件一并提交）</w:t>
      </w:r>
      <w:r>
        <w:rPr>
          <w:rFonts w:hint="eastAsia" w:ascii="宋体" w:hAnsi="宋体" w:cs="宋体"/>
          <w:bCs/>
          <w:color w:val="000000" w:themeColor="text1"/>
          <w:highlight w:val="none"/>
          <w14:textFill>
            <w14:solidFill>
              <w14:schemeClr w14:val="tx1"/>
            </w14:solidFill>
          </w14:textFill>
        </w:rPr>
        <w:t>。当纸质正本文件和电子版文件不一致时，以纸质正本文件为准。电子版文件用于存档，投标供应商需承担前述不一致造成的不利后果。每份纸质文件须清楚标明“正本”或“副本”字样。一旦正本和副本不符，以正本为准。</w:t>
      </w:r>
    </w:p>
    <w:bookmarkEnd w:id="28"/>
    <w:bookmarkEnd w:id="29"/>
    <w:bookmarkEnd w:id="30"/>
    <w:bookmarkEnd w:id="31"/>
    <w:p w14:paraId="0D895590">
      <w:pPr>
        <w:shd w:val="clear"/>
        <w:spacing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3.公告媒体</w:t>
      </w:r>
    </w:p>
    <w:p w14:paraId="0881D832">
      <w:pPr>
        <w:pStyle w:val="9"/>
        <w:shd w:val="clear"/>
        <w:spacing w:after="0" w:line="360" w:lineRule="auto"/>
        <w:ind w:firstLine="480" w:firstLineChars="200"/>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（1）本公告在中国药科大学招投标办公室网站发布，敬请各投标人关注；</w:t>
      </w:r>
    </w:p>
    <w:p w14:paraId="3EA305AB">
      <w:pPr>
        <w:pStyle w:val="9"/>
        <w:shd w:val="clear"/>
        <w:spacing w:after="0" w:line="360" w:lineRule="auto"/>
        <w:ind w:firstLine="480" w:firstLineChars="200"/>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（2）若有关本次采购存在变动或修改，敬请各投标人及时关注中国药科大学招投标办公室网</w:t>
      </w:r>
      <w:r>
        <w:rPr>
          <w:rFonts w:hint="eastAsia" w:ascii="宋体" w:hAnsi="宋体" w:cs="宋体"/>
          <w:bCs/>
          <w:color w:val="000000" w:themeColor="text1"/>
          <w:highlight w:val="none"/>
          <w:lang w:val="en-US" w:eastAsia="zh-CN"/>
          <w14:textFill>
            <w14:solidFill>
              <w14:schemeClr w14:val="tx1"/>
            </w14:solidFill>
          </w14:textFill>
        </w:rPr>
        <w:t>站</w:t>
      </w:r>
      <w:r>
        <w:rPr>
          <w:rFonts w:hint="eastAsia" w:ascii="宋体" w:hAnsi="宋体" w:cs="宋体"/>
          <w:bCs/>
          <w:color w:val="000000" w:themeColor="text1"/>
          <w:highlight w:val="none"/>
          <w14:textFill>
            <w14:solidFill>
              <w14:schemeClr w14:val="tx1"/>
            </w14:solidFill>
          </w14:textFill>
        </w:rPr>
        <w:t>发布的关于本项目的信息更正公告。</w:t>
      </w:r>
    </w:p>
    <w:p w14:paraId="3DF46ADE">
      <w:pPr>
        <w:shd w:val="clear"/>
        <w:spacing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4.采购项目需要落实的政府采购政策：</w:t>
      </w:r>
    </w:p>
    <w:p w14:paraId="592DD976">
      <w:pPr>
        <w:shd w:val="clear"/>
        <w:spacing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（1）政府采购促进中小企业发展</w:t>
      </w:r>
    </w:p>
    <w:p w14:paraId="00DC2221">
      <w:pPr>
        <w:shd w:val="clear"/>
        <w:spacing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（2）政府采购支持监狱企业发展</w:t>
      </w:r>
    </w:p>
    <w:p w14:paraId="0ADC8C2D">
      <w:pPr>
        <w:shd w:val="clear"/>
        <w:spacing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（3）政府采购促进残疾人就业</w:t>
      </w:r>
    </w:p>
    <w:p w14:paraId="7B53775E">
      <w:pPr>
        <w:shd w:val="clear"/>
        <w:spacing w:line="360" w:lineRule="auto"/>
        <w:ind w:firstLine="480" w:firstLineChars="200"/>
        <w:jc w:val="lef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（4）政府采购鼓励采购节能环保产品</w:t>
      </w:r>
    </w:p>
    <w:p w14:paraId="4DD912F7">
      <w:pPr>
        <w:pStyle w:val="81"/>
        <w:widowControl/>
        <w:shd w:val="clear"/>
        <w:spacing w:line="360" w:lineRule="auto"/>
        <w:ind w:firstLine="480"/>
        <w:rPr>
          <w:rFonts w:hint="default" w:ascii="宋体" w:hAnsi="宋体" w:eastAsia="宋体" w:cs="宋体"/>
          <w:color w:val="000000" w:themeColor="text1"/>
          <w:sz w:val="24"/>
          <w:szCs w:val="24"/>
          <w:highlight w:val="none"/>
          <w14:textFill>
            <w14:solidFill>
              <w14:schemeClr w14:val="tx1"/>
            </w14:solidFill>
          </w14:textFill>
        </w:rPr>
      </w:pPr>
      <w:r>
        <w:rPr>
          <w:rFonts w:hint="default" w:ascii="宋体" w:hAnsi="宋体" w:eastAsia="宋体" w:cs="宋体"/>
          <w:color w:val="000000" w:themeColor="text1"/>
          <w:sz w:val="24"/>
          <w:szCs w:val="24"/>
          <w:highlight w:val="none"/>
          <w14:textFill>
            <w14:solidFill>
              <w14:schemeClr w14:val="tx1"/>
            </w14:solidFill>
          </w14:textFill>
        </w:rPr>
        <w:t>5.</w:t>
      </w:r>
      <w:r>
        <w:rPr>
          <w:rFonts w:ascii="宋体" w:hAnsi="宋体" w:eastAsia="宋体" w:cs="宋体"/>
          <w:color w:val="000000" w:themeColor="text1"/>
          <w:sz w:val="24"/>
          <w:szCs w:val="24"/>
          <w:highlight w:val="none"/>
          <w14:textFill>
            <w14:solidFill>
              <w14:schemeClr w14:val="tx1"/>
            </w14:solidFill>
          </w14:textFill>
        </w:rPr>
        <w:t>本项目投标前需缴纳磋商保证金，金额：人民币</w:t>
      </w:r>
      <w:r>
        <w:rPr>
          <w:rFonts w:hint="eastAsia" w:ascii="宋体" w:hAnsi="宋体" w:eastAsia="宋体" w:cs="宋体"/>
          <w:color w:val="000000" w:themeColor="text1"/>
          <w:sz w:val="24"/>
          <w:szCs w:val="24"/>
          <w:highlight w:val="none"/>
          <w:lang w:val="en-US" w:eastAsia="zh-CN"/>
          <w14:textFill>
            <w14:solidFill>
              <w14:schemeClr w14:val="tx1"/>
            </w14:solidFill>
          </w14:textFill>
        </w:rPr>
        <w:t>8000</w:t>
      </w:r>
      <w:r>
        <w:rPr>
          <w:rFonts w:ascii="宋体" w:hAnsi="宋体" w:eastAsia="宋体" w:cs="宋体"/>
          <w:color w:val="000000" w:themeColor="text1"/>
          <w:sz w:val="24"/>
          <w:szCs w:val="24"/>
          <w:highlight w:val="none"/>
          <w14:textFill>
            <w14:solidFill>
              <w14:schemeClr w14:val="tx1"/>
            </w14:solidFill>
          </w14:textFill>
        </w:rPr>
        <w:t>元（大写：</w:t>
      </w:r>
      <w:r>
        <w:rPr>
          <w:rFonts w:hint="eastAsia" w:ascii="宋体" w:hAnsi="宋体" w:eastAsia="宋体" w:cs="宋体"/>
          <w:color w:val="000000" w:themeColor="text1"/>
          <w:sz w:val="24"/>
          <w:szCs w:val="24"/>
          <w:highlight w:val="none"/>
          <w:lang w:eastAsia="zh-CN"/>
          <w14:textFill>
            <w14:solidFill>
              <w14:schemeClr w14:val="tx1"/>
            </w14:solidFill>
          </w14:textFill>
        </w:rPr>
        <w:t>捌仟</w:t>
      </w:r>
      <w:r>
        <w:rPr>
          <w:rFonts w:ascii="宋体" w:hAnsi="宋体" w:eastAsia="宋体" w:cs="宋体"/>
          <w:color w:val="000000" w:themeColor="text1"/>
          <w:sz w:val="24"/>
          <w:szCs w:val="24"/>
          <w:highlight w:val="none"/>
          <w14:textFill>
            <w14:solidFill>
              <w14:schemeClr w14:val="tx1"/>
            </w14:solidFill>
          </w14:textFill>
        </w:rPr>
        <w:t>元整），支付信息详见采购文件。</w:t>
      </w:r>
    </w:p>
    <w:p w14:paraId="3D572FA4">
      <w:pPr>
        <w:shd w:val="clear"/>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八、对本次招标提出询问，请按以下方式联系。</w:t>
      </w:r>
      <w:bookmarkEnd w:id="22"/>
      <w:bookmarkEnd w:id="23"/>
      <w:bookmarkEnd w:id="24"/>
      <w:bookmarkEnd w:id="25"/>
    </w:p>
    <w:p w14:paraId="10B1FDC2">
      <w:pPr>
        <w:pStyle w:val="81"/>
        <w:widowControl/>
        <w:shd w:val="clear"/>
        <w:spacing w:line="360" w:lineRule="auto"/>
        <w:ind w:firstLine="480"/>
        <w:rPr>
          <w:rFonts w:hint="default"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1.采购人信息</w:t>
      </w:r>
    </w:p>
    <w:p w14:paraId="0330BABE">
      <w:pPr>
        <w:pStyle w:val="81"/>
        <w:widowControl/>
        <w:shd w:val="clear"/>
        <w:spacing w:line="360" w:lineRule="auto"/>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名称：中国药科大学</w:t>
      </w:r>
    </w:p>
    <w:p w14:paraId="35261CBE">
      <w:pPr>
        <w:pStyle w:val="81"/>
        <w:widowControl/>
        <w:shd w:val="clear"/>
        <w:spacing w:line="360" w:lineRule="auto"/>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地址：南京市江宁区龙眠大道639号</w:t>
      </w:r>
    </w:p>
    <w:p w14:paraId="7A605B91">
      <w:pPr>
        <w:pStyle w:val="81"/>
        <w:widowControl/>
        <w:shd w:val="clear"/>
        <w:spacing w:line="360" w:lineRule="auto"/>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联系人：李老师、许老师</w:t>
      </w:r>
    </w:p>
    <w:p w14:paraId="0B22CFDF">
      <w:pPr>
        <w:pStyle w:val="81"/>
        <w:widowControl/>
        <w:shd w:val="clear"/>
        <w:spacing w:line="360" w:lineRule="auto"/>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联系方式：025-86185029、025-86185254</w:t>
      </w:r>
    </w:p>
    <w:p w14:paraId="4A7E7FD0">
      <w:pPr>
        <w:pStyle w:val="81"/>
        <w:widowControl/>
        <w:shd w:val="clear"/>
        <w:spacing w:line="360" w:lineRule="auto"/>
        <w:ind w:firstLine="480"/>
        <w:rPr>
          <w:rFonts w:hint="default"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2.采购代理机构信息</w:t>
      </w:r>
    </w:p>
    <w:p w14:paraId="6AE3F694">
      <w:pPr>
        <w:pStyle w:val="81"/>
        <w:widowControl/>
        <w:shd w:val="clear"/>
        <w:spacing w:line="360" w:lineRule="auto"/>
        <w:ind w:firstLine="480"/>
        <w:rPr>
          <w:rFonts w:hint="default"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单位名称：南京苏宁工程咨询有限公司</w:t>
      </w:r>
    </w:p>
    <w:p w14:paraId="7AD19785">
      <w:pPr>
        <w:pStyle w:val="81"/>
        <w:widowControl/>
        <w:shd w:val="clear"/>
        <w:spacing w:line="360" w:lineRule="auto"/>
        <w:ind w:firstLine="480"/>
        <w:rPr>
          <w:rFonts w:hint="default"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单位地址：南京市鼓楼区中山路99号12楼1212室</w:t>
      </w:r>
    </w:p>
    <w:p w14:paraId="6688697E">
      <w:pPr>
        <w:pStyle w:val="81"/>
        <w:widowControl/>
        <w:shd w:val="clear"/>
        <w:spacing w:line="360" w:lineRule="auto"/>
        <w:ind w:firstLine="480"/>
        <w:rPr>
          <w:rFonts w:hint="default"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联系方式：</w:t>
      </w:r>
      <w:r>
        <w:rPr>
          <w:rFonts w:hint="eastAsia" w:ascii="宋体" w:hAnsi="宋体" w:eastAsia="宋体" w:cs="宋体"/>
          <w:color w:val="000000" w:themeColor="text1"/>
          <w:sz w:val="24"/>
          <w:szCs w:val="24"/>
          <w:highlight w:val="none"/>
          <w:lang w:val="en-US" w:eastAsia="zh-CN"/>
          <w14:textFill>
            <w14:solidFill>
              <w14:schemeClr w14:val="tx1"/>
            </w14:solidFill>
          </w14:textFill>
        </w:rPr>
        <w:t>李佳蓉</w:t>
      </w:r>
      <w:r>
        <w:rPr>
          <w:rFonts w:ascii="宋体" w:hAnsi="宋体" w:eastAsia="宋体" w:cs="宋体"/>
          <w:color w:val="000000" w:themeColor="text1"/>
          <w:sz w:val="24"/>
          <w:szCs w:val="24"/>
          <w:highlight w:val="none"/>
          <w14:textFill>
            <w14:solidFill>
              <w14:schemeClr w14:val="tx1"/>
            </w14:solidFill>
          </w14:textFill>
        </w:rPr>
        <w:t>、025-84200809</w:t>
      </w:r>
    </w:p>
    <w:p w14:paraId="6957F528">
      <w:pPr>
        <w:pStyle w:val="81"/>
        <w:widowControl/>
        <w:shd w:val="clear"/>
        <w:spacing w:line="360" w:lineRule="auto"/>
        <w:ind w:firstLine="480"/>
        <w:rPr>
          <w:rFonts w:hint="default"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3.项目联系方式</w:t>
      </w:r>
    </w:p>
    <w:p w14:paraId="24819678">
      <w:pPr>
        <w:pStyle w:val="81"/>
        <w:widowControl/>
        <w:shd w:val="clear"/>
        <w:spacing w:line="360" w:lineRule="auto"/>
        <w:ind w:firstLine="480"/>
        <w:rPr>
          <w:rFonts w:hint="default"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项目联系人：</w:t>
      </w:r>
      <w:r>
        <w:rPr>
          <w:rFonts w:hint="eastAsia" w:ascii="宋体" w:hAnsi="宋体" w:eastAsia="宋体" w:cs="宋体"/>
          <w:color w:val="000000" w:themeColor="text1"/>
          <w:sz w:val="24"/>
          <w:szCs w:val="24"/>
          <w:highlight w:val="none"/>
          <w:lang w:val="en-US" w:eastAsia="zh-CN"/>
          <w14:textFill>
            <w14:solidFill>
              <w14:schemeClr w14:val="tx1"/>
            </w14:solidFill>
          </w14:textFill>
        </w:rPr>
        <w:t>李佳蓉</w:t>
      </w:r>
    </w:p>
    <w:p w14:paraId="725CCD95">
      <w:pPr>
        <w:pStyle w:val="81"/>
        <w:widowControl/>
        <w:shd w:val="clear"/>
        <w:spacing w:line="360" w:lineRule="auto"/>
        <w:ind w:firstLine="480"/>
        <w:rPr>
          <w:rFonts w:hint="default" w:cs="宋体" w:asciiTheme="minorEastAsia" w:hAnsiTheme="minorEastAsia" w:eastAsiaTheme="minorEastAsia"/>
          <w:color w:val="000000" w:themeColor="text1"/>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联系电话：025-84200809</w:t>
      </w:r>
      <w:r>
        <w:rPr>
          <w:rFonts w:cs="宋体" w:asciiTheme="minorEastAsia" w:hAnsiTheme="minorEastAsia" w:eastAsiaTheme="minorEastAsia"/>
          <w:color w:val="000000" w:themeColor="text1"/>
          <w:highlight w:val="none"/>
          <w14:textFill>
            <w14:solidFill>
              <w14:schemeClr w14:val="tx1"/>
            </w14:solidFill>
          </w14:textFill>
        </w:rPr>
        <w:br w:type="page"/>
      </w:r>
    </w:p>
    <w:p w14:paraId="07DB3970">
      <w:pPr>
        <w:shd w:val="clear"/>
        <w:autoSpaceDE w:val="0"/>
        <w:autoSpaceDN w:val="0"/>
        <w:adjustRightInd w:val="0"/>
        <w:snapToGrid w:val="0"/>
        <w:ind w:firstLine="340" w:firstLineChars="100"/>
        <w:jc w:val="center"/>
        <w:outlineLvl w:val="0"/>
        <w:rPr>
          <w:rFonts w:ascii="宋体" w:hAnsi="宋体" w:cs="宋体"/>
          <w:color w:val="000000" w:themeColor="text1"/>
          <w:spacing w:val="-10"/>
          <w:sz w:val="36"/>
          <w:szCs w:val="36"/>
          <w:highlight w:val="none"/>
          <w14:textFill>
            <w14:solidFill>
              <w14:schemeClr w14:val="tx1"/>
            </w14:solidFill>
          </w14:textFill>
        </w:rPr>
      </w:pPr>
      <w:bookmarkStart w:id="32" w:name="_Toc30532"/>
      <w:bookmarkStart w:id="33" w:name="_Toc10257"/>
      <w:r>
        <w:rPr>
          <w:rFonts w:hint="eastAsia" w:ascii="宋体" w:hAnsi="宋体" w:cs="宋体"/>
          <w:color w:val="000000" w:themeColor="text1"/>
          <w:spacing w:val="-10"/>
          <w:sz w:val="36"/>
          <w:szCs w:val="36"/>
          <w:highlight w:val="none"/>
          <w14:textFill>
            <w14:solidFill>
              <w14:schemeClr w14:val="tx1"/>
            </w14:solidFill>
          </w14:textFill>
        </w:rPr>
        <w:t>第二章  竞争性磋商须知</w:t>
      </w:r>
      <w:bookmarkEnd w:id="32"/>
      <w:bookmarkEnd w:id="33"/>
    </w:p>
    <w:p w14:paraId="43AE8389">
      <w:pPr>
        <w:shd w:val="clea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p>
    <w:p w14:paraId="07C9C048">
      <w:pPr>
        <w:shd w:val="clea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一、总则</w:t>
      </w:r>
    </w:p>
    <w:p w14:paraId="3D56F047">
      <w:pPr>
        <w:shd w:val="clear"/>
        <w:autoSpaceDE w:val="0"/>
        <w:autoSpaceDN w:val="0"/>
        <w:adjustRightInd w:val="0"/>
        <w:ind w:firstLine="420"/>
        <w:outlineLvl w:val="9"/>
        <w:rPr>
          <w:rFonts w:ascii="宋体" w:hAnsi="宋体" w:cs="宋体"/>
          <w:color w:val="000000" w:themeColor="text1"/>
          <w:szCs w:val="21"/>
          <w:highlight w:val="none"/>
          <w:lang w:val="zh-CN"/>
          <w14:textFill>
            <w14:solidFill>
              <w14:schemeClr w14:val="tx1"/>
            </w14:solidFill>
          </w14:textFill>
        </w:rPr>
      </w:pPr>
      <w:bookmarkStart w:id="34" w:name="_Toc17907"/>
      <w:bookmarkStart w:id="35" w:name="_Toc23274"/>
      <w:bookmarkStart w:id="36" w:name="_Toc7523"/>
      <w:r>
        <w:rPr>
          <w:rFonts w:hint="eastAsia" w:ascii="宋体" w:hAnsi="宋体" w:cs="宋体"/>
          <w:color w:val="000000" w:themeColor="text1"/>
          <w:szCs w:val="21"/>
          <w:highlight w:val="none"/>
          <w:lang w:val="zh-CN"/>
          <w14:textFill>
            <w14:solidFill>
              <w14:schemeClr w14:val="tx1"/>
            </w14:solidFill>
          </w14:textFill>
        </w:rPr>
        <w:t>1、适用法律</w:t>
      </w:r>
      <w:bookmarkEnd w:id="34"/>
      <w:bookmarkEnd w:id="35"/>
      <w:bookmarkEnd w:id="36"/>
    </w:p>
    <w:p w14:paraId="58A78462">
      <w:pPr>
        <w:shd w:val="clea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1.1 《中华人民共和国政府采购法》、《中华人民共和国政府采购法实施条例》、《政府采购竞争性磋商采购方式管理暂行办法》等有关法律、规章和规定等。</w:t>
      </w:r>
    </w:p>
    <w:p w14:paraId="572D8885">
      <w:pPr>
        <w:shd w:val="clear"/>
        <w:autoSpaceDE w:val="0"/>
        <w:autoSpaceDN w:val="0"/>
        <w:adjustRightInd w:val="0"/>
        <w:ind w:firstLine="420"/>
        <w:outlineLvl w:val="9"/>
        <w:rPr>
          <w:rFonts w:ascii="宋体" w:hAnsi="宋体" w:cs="宋体"/>
          <w:b/>
          <w:color w:val="000000" w:themeColor="text1"/>
          <w:szCs w:val="21"/>
          <w:highlight w:val="none"/>
          <w:lang w:val="zh-CN"/>
          <w14:textFill>
            <w14:solidFill>
              <w14:schemeClr w14:val="tx1"/>
            </w14:solidFill>
          </w14:textFill>
        </w:rPr>
      </w:pPr>
      <w:bookmarkStart w:id="37" w:name="_Toc84"/>
      <w:bookmarkStart w:id="38" w:name="_Toc20703"/>
      <w:bookmarkStart w:id="39" w:name="_Toc3829"/>
      <w:r>
        <w:rPr>
          <w:rFonts w:hint="eastAsia" w:ascii="宋体" w:hAnsi="宋体" w:cs="宋体"/>
          <w:b/>
          <w:color w:val="000000" w:themeColor="text1"/>
          <w:szCs w:val="21"/>
          <w:highlight w:val="none"/>
          <w:lang w:val="zh-CN"/>
          <w14:textFill>
            <w14:solidFill>
              <w14:schemeClr w14:val="tx1"/>
            </w14:solidFill>
          </w14:textFill>
        </w:rPr>
        <w:t>2、定义</w:t>
      </w:r>
      <w:bookmarkEnd w:id="37"/>
      <w:bookmarkEnd w:id="38"/>
      <w:bookmarkEnd w:id="39"/>
    </w:p>
    <w:p w14:paraId="144DCE78">
      <w:pPr>
        <w:shd w:val="clea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2.1 “</w:t>
      </w:r>
      <w:r>
        <w:rPr>
          <w:rFonts w:hint="eastAsia" w:ascii="宋体" w:hAnsi="宋体" w:cs="宋体"/>
          <w:b/>
          <w:color w:val="000000" w:themeColor="text1"/>
          <w:szCs w:val="21"/>
          <w:highlight w:val="none"/>
          <w:lang w:val="zh-CN"/>
          <w14:textFill>
            <w14:solidFill>
              <w14:schemeClr w14:val="tx1"/>
            </w14:solidFill>
          </w14:textFill>
        </w:rPr>
        <w:t>供应商</w:t>
      </w:r>
      <w:r>
        <w:rPr>
          <w:rFonts w:hint="eastAsia" w:ascii="宋体" w:hAnsi="宋体" w:cs="宋体"/>
          <w:color w:val="000000" w:themeColor="text1"/>
          <w:szCs w:val="21"/>
          <w:highlight w:val="none"/>
          <w:lang w:val="zh-CN"/>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是指参加磋商竞争，并符合采购文件规定资格条件的法人、其他组织或者自然人。</w:t>
      </w:r>
    </w:p>
    <w:p w14:paraId="33EDFA6D">
      <w:pPr>
        <w:shd w:val="clear"/>
        <w:autoSpaceDE w:val="0"/>
        <w:autoSpaceDN w:val="0"/>
        <w:adjustRightInd w:val="0"/>
        <w:ind w:firstLine="420"/>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2.2 “工程”指本采购文件中所述</w:t>
      </w:r>
      <w:r>
        <w:rPr>
          <w:rFonts w:hint="eastAsia" w:ascii="宋体" w:hAnsi="宋体" w:cs="宋体"/>
          <w:b/>
          <w:color w:val="000000" w:themeColor="text1"/>
          <w:szCs w:val="21"/>
          <w:highlight w:val="none"/>
          <w:lang w:val="zh-CN"/>
          <w14:textFill>
            <w14:solidFill>
              <w14:schemeClr w14:val="tx1"/>
            </w14:solidFill>
          </w14:textFill>
        </w:rPr>
        <w:t>工程</w:t>
      </w:r>
      <w:r>
        <w:rPr>
          <w:rFonts w:hint="eastAsia" w:ascii="宋体" w:hAnsi="宋体" w:cs="宋体"/>
          <w:color w:val="000000" w:themeColor="text1"/>
          <w:szCs w:val="21"/>
          <w:highlight w:val="none"/>
          <w:lang w:val="zh-CN"/>
          <w14:textFill>
            <w14:solidFill>
              <w14:schemeClr w14:val="tx1"/>
            </w14:solidFill>
          </w14:textFill>
        </w:rPr>
        <w:t>。</w:t>
      </w:r>
    </w:p>
    <w:p w14:paraId="42675404">
      <w:pPr>
        <w:shd w:val="clea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2.3 “用户或使用单位”是指使用服务的单位。</w:t>
      </w:r>
    </w:p>
    <w:p w14:paraId="75566C8D">
      <w:pPr>
        <w:shd w:val="clear"/>
        <w:autoSpaceDE w:val="0"/>
        <w:autoSpaceDN w:val="0"/>
        <w:adjustRightInd w:val="0"/>
        <w:ind w:firstLine="420"/>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3、政策功能</w:t>
      </w:r>
    </w:p>
    <w:p w14:paraId="09DD0509">
      <w:pPr>
        <w:shd w:val="clea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3.1 政府采购促进中小企业发展，在政府采购活动中，供应商提供的货物、工程或者服务符合下列情形的，享受中小企业扶持政策：</w:t>
      </w:r>
    </w:p>
    <w:p w14:paraId="7F7A0556">
      <w:pPr>
        <w:shd w:val="clea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（1）在货物采购项目中，货物由中小企业制造，即货物由中小企业生产且使用该中小企业商号或者注册商标；</w:t>
      </w:r>
    </w:p>
    <w:p w14:paraId="54C88A64">
      <w:pPr>
        <w:shd w:val="clea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（2）在工程采购项目中，工程由中小企业承建，即工程施工单位为中小企业；</w:t>
      </w:r>
    </w:p>
    <w:p w14:paraId="3525CF14">
      <w:pPr>
        <w:shd w:val="clea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（3）在服务采购项目中，服务由中小企业承接，即提供服务的人员为中小企业依照《中华人民共和国劳动合同法》订立劳动合同的从业人员。</w:t>
      </w:r>
    </w:p>
    <w:p w14:paraId="6867E94D">
      <w:pPr>
        <w:shd w:val="clea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在货物采购项目中，供应商提供的货物既有中小企业制造货物，也有大型企业制造货物的，不享受中小企业扶持政策。</w:t>
      </w:r>
    </w:p>
    <w:p w14:paraId="6A93A09D">
      <w:pPr>
        <w:shd w:val="clea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以联合体形式参加政府采购活动，联合体各方均为中小企业的，联合体视同中小企业。其中，联合体各方均为小微企业的，联合体视同小微企业。</w:t>
      </w:r>
    </w:p>
    <w:p w14:paraId="62A52B3A">
      <w:pPr>
        <w:shd w:val="clea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中小企业供应商参加政府采购活动，应当出具《中小企业声明函》（格式见后附件），否则不得享受相关中小企业扶持政策。</w:t>
      </w:r>
    </w:p>
    <w:p w14:paraId="1556FDAD">
      <w:pPr>
        <w:shd w:val="clea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p>
    <w:p w14:paraId="1B6BB219">
      <w:pPr>
        <w:shd w:val="clea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3.2 政府采购支持监狱和戒毒企业发展政策，监狱和戒毒企业提供的产品和服务在评标时将获得优势，参加磋商的监狱和戒毒企业，应当提供由省级以上监狱管理局、戒毒管理局（含新疆生产建设兵团）出具的属于监狱企业的证明文件，监狱和戒毒企业享受政府采购支持政策的要求详见财库〔2014〕68 号。</w:t>
      </w:r>
    </w:p>
    <w:p w14:paraId="1733EDBA">
      <w:pPr>
        <w:shd w:val="clea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3.3 政府采购促进残疾人就业政策，残疾人福利性单位提供的产品和服务在评标时将获得优势，参加磋商的残疾人福利性单位，应当提供《残疾人福利性单位声明函》，残疾人福利性单位享受政府采购支持政策的要求详见财库〔2017〕141 号。</w:t>
      </w:r>
    </w:p>
    <w:p w14:paraId="241E4747">
      <w:pPr>
        <w:shd w:val="clea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3.4 强制采购节能产品、信息安全产品，优先采购环境标志产品。节能产品是指列入财政部、国家发展和改革委员会制定的节能产品品目政府采购清单，且经过认定的节能产品；信息安全产品是指列入国家质检总局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国家认监委《信息安全产品强制性认证目录》，并获得强制性产品认证证书的产品；环境标志产品是指列入财政部、国家环保总局制定的环境标志产品品目政府采购清单，且经过认证的环境标志产品。</w:t>
      </w:r>
    </w:p>
    <w:p w14:paraId="5EEE2A3D">
      <w:pPr>
        <w:shd w:val="clea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3.5 提供的产品属于信息安全产品的，供应商应当选择经国家认证的信息安全产品磋商，并提供由中国信息安全认证中心按国家标准认证颁发的有效认证证书复印件。</w:t>
      </w:r>
    </w:p>
    <w:p w14:paraId="0CA24A44">
      <w:pPr>
        <w:shd w:val="clea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3.6 提供的产品属于政府强制采购节能产品的，供应商应当选择经过认证的节能产品磋商，并提供有效的节能产品认证证书复印件。</w:t>
      </w:r>
    </w:p>
    <w:p w14:paraId="40AF99A0">
      <w:pPr>
        <w:shd w:val="clea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3.7 提供的产品属于环境标志产品的，供应商应当选择经过认证的环境标志产品磋商，并提供有效的环境标志产品认证证书复印件。</w:t>
      </w:r>
    </w:p>
    <w:p w14:paraId="7CF84C8B">
      <w:pPr>
        <w:shd w:val="clear"/>
        <w:autoSpaceDE w:val="0"/>
        <w:autoSpaceDN w:val="0"/>
        <w:adjustRightInd w:val="0"/>
        <w:snapToGrid w:val="0"/>
        <w:spacing w:line="259" w:lineRule="auto"/>
        <w:ind w:firstLine="420"/>
        <w:outlineLvl w:val="9"/>
        <w:rPr>
          <w:rFonts w:ascii="宋体" w:hAnsi="宋体" w:cs="宋体"/>
          <w:b/>
          <w:bCs/>
          <w:color w:val="000000" w:themeColor="text1"/>
          <w:szCs w:val="21"/>
          <w:highlight w:val="none"/>
          <w:lang w:val="zh-CN"/>
          <w14:textFill>
            <w14:solidFill>
              <w14:schemeClr w14:val="tx1"/>
            </w14:solidFill>
          </w14:textFill>
        </w:rPr>
      </w:pPr>
      <w:bookmarkStart w:id="40" w:name="_Toc29906"/>
      <w:bookmarkStart w:id="41" w:name="_Toc3780"/>
      <w:bookmarkStart w:id="42" w:name="_Toc1170"/>
      <w:r>
        <w:rPr>
          <w:rFonts w:hint="eastAsia" w:ascii="宋体" w:hAnsi="宋体" w:cs="宋体"/>
          <w:b/>
          <w:color w:val="000000" w:themeColor="text1"/>
          <w:szCs w:val="21"/>
          <w:highlight w:val="none"/>
          <w14:textFill>
            <w14:solidFill>
              <w14:schemeClr w14:val="tx1"/>
            </w14:solidFill>
          </w14:textFill>
        </w:rPr>
        <w:t>4、</w:t>
      </w:r>
      <w:r>
        <w:rPr>
          <w:rFonts w:hint="eastAsia" w:ascii="宋体" w:hAnsi="宋体" w:cs="宋体"/>
          <w:b/>
          <w:bCs/>
          <w:color w:val="000000" w:themeColor="text1"/>
          <w:szCs w:val="21"/>
          <w:highlight w:val="none"/>
          <w:lang w:val="zh-CN"/>
          <w14:textFill>
            <w14:solidFill>
              <w14:schemeClr w14:val="tx1"/>
            </w14:solidFill>
          </w14:textFill>
        </w:rPr>
        <w:t>磋商费用</w:t>
      </w:r>
      <w:bookmarkEnd w:id="40"/>
      <w:bookmarkEnd w:id="41"/>
      <w:bookmarkEnd w:id="42"/>
    </w:p>
    <w:p w14:paraId="13A11B86">
      <w:pPr>
        <w:shd w:val="clear"/>
        <w:ind w:firstLine="411" w:firstLineChars="196"/>
        <w:rPr>
          <w:rFonts w:asciiTheme="minorEastAsia" w:hAnsiTheme="minorEastAsia" w:eastAsiaTheme="minorEastAsia"/>
          <w:color w:val="000000" w:themeColor="text1"/>
          <w:szCs w:val="21"/>
          <w:highlight w:val="none"/>
          <w:lang w:val="zh-CN"/>
          <w14:textFill>
            <w14:solidFill>
              <w14:schemeClr w14:val="tx1"/>
            </w14:solidFill>
          </w14:textFill>
        </w:rPr>
      </w:pPr>
      <w:r>
        <w:rPr>
          <w:rFonts w:hint="eastAsia" w:asciiTheme="minorEastAsia" w:hAnsiTheme="minorEastAsia" w:eastAsiaTheme="minorEastAsia"/>
          <w:color w:val="000000" w:themeColor="text1"/>
          <w:szCs w:val="21"/>
          <w:highlight w:val="none"/>
          <w:lang w:val="zh-CN"/>
          <w14:textFill>
            <w14:solidFill>
              <w14:schemeClr w14:val="tx1"/>
            </w14:solidFill>
          </w14:textFill>
        </w:rPr>
        <w:t>4.1本项目的成交供应商须在领取成交通知书时向采购代理机构一次性缴纳采购代理服务费；</w:t>
      </w:r>
    </w:p>
    <w:p w14:paraId="3AA62628">
      <w:pPr>
        <w:shd w:val="clear"/>
        <w:ind w:firstLine="411" w:firstLineChars="196"/>
        <w:rPr>
          <w:rFonts w:asciiTheme="minorEastAsia" w:hAnsiTheme="minorEastAsia" w:eastAsiaTheme="minorEastAsia"/>
          <w:color w:val="000000" w:themeColor="text1"/>
          <w:szCs w:val="21"/>
          <w:highlight w:val="none"/>
          <w:lang w:val="zh-CN"/>
          <w14:textFill>
            <w14:solidFill>
              <w14:schemeClr w14:val="tx1"/>
            </w14:solidFill>
          </w14:textFill>
        </w:rPr>
      </w:pPr>
      <w:r>
        <w:rPr>
          <w:rFonts w:hint="eastAsia" w:asciiTheme="minorEastAsia" w:hAnsiTheme="minorEastAsia" w:eastAsiaTheme="minorEastAsia"/>
          <w:color w:val="000000" w:themeColor="text1"/>
          <w:szCs w:val="21"/>
          <w:highlight w:val="none"/>
          <w:lang w:val="zh-CN"/>
          <w14:textFill>
            <w14:solidFill>
              <w14:schemeClr w14:val="tx1"/>
            </w14:solidFill>
          </w14:textFill>
        </w:rPr>
        <w:t>4.2中标供应商参照《招标代理服务收费管理暂行办法》（计价格[2002]1980号）文件规定的</w:t>
      </w:r>
      <w:r>
        <w:rPr>
          <w:rFonts w:hint="eastAsia" w:asciiTheme="minorEastAsia" w:hAnsiTheme="minorEastAsia" w:eastAsiaTheme="minorEastAsia"/>
          <w:color w:val="000000" w:themeColor="text1"/>
          <w:szCs w:val="21"/>
          <w:highlight w:val="none"/>
          <w:lang w:val="en-US" w:eastAsia="zh-CN"/>
          <w14:textFill>
            <w14:solidFill>
              <w14:schemeClr w14:val="tx1"/>
            </w14:solidFill>
          </w14:textFill>
        </w:rPr>
        <w:t>44</w:t>
      </w:r>
      <w:r>
        <w:rPr>
          <w:rFonts w:hint="eastAsia" w:asciiTheme="minorEastAsia" w:hAnsiTheme="minorEastAsia" w:eastAsiaTheme="minorEastAsia"/>
          <w:color w:val="000000" w:themeColor="text1"/>
          <w:szCs w:val="21"/>
          <w:highlight w:val="none"/>
          <w:lang w:val="zh-CN"/>
          <w14:textFill>
            <w14:solidFill>
              <w14:schemeClr w14:val="tx1"/>
            </w14:solidFill>
          </w14:textFill>
        </w:rPr>
        <w:t>%收取。该项费用请供应商综合考虑在磋商报价中，无需在磋商报价表中单列。</w:t>
      </w:r>
    </w:p>
    <w:p w14:paraId="12D7B7AC">
      <w:pPr>
        <w:shd w:val="clear"/>
        <w:autoSpaceDE w:val="0"/>
        <w:autoSpaceDN w:val="0"/>
        <w:adjustRightInd w:val="0"/>
        <w:snapToGrid w:val="0"/>
        <w:spacing w:line="259" w:lineRule="auto"/>
        <w:ind w:firstLine="420"/>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二、响应文件编制</w:t>
      </w:r>
    </w:p>
    <w:p w14:paraId="30F609E7">
      <w:pPr>
        <w:shd w:val="clea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5、</w:t>
      </w:r>
      <w:r>
        <w:rPr>
          <w:rFonts w:hint="eastAsia" w:ascii="宋体" w:hAnsi="宋体" w:cs="宋体"/>
          <w:color w:val="000000" w:themeColor="text1"/>
          <w:szCs w:val="21"/>
          <w:highlight w:val="none"/>
          <w:lang w:val="zh-CN"/>
          <w14:textFill>
            <w14:solidFill>
              <w14:schemeClr w14:val="tx1"/>
            </w14:solidFill>
          </w14:textFill>
        </w:rPr>
        <w:t>供应商应当按照磋商文件的要求编制响应文件，并对其提交的响应文件真实性、合法性承担法律责任。</w:t>
      </w:r>
    </w:p>
    <w:p w14:paraId="07CC6A4B">
      <w:pPr>
        <w:shd w:val="clea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6、响应文件的语言、计量单位、货币和编制</w:t>
      </w:r>
    </w:p>
    <w:p w14:paraId="040C29A1">
      <w:pPr>
        <w:shd w:val="clea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6.1 提交的响应文件、技术文件和资料，包括图纸中的说明，以及供应商与代理机构就有关磋商的所有来往函电均应使用中文。响应文件中若有英文或其他语言文字的资料，应提供相应的中文翻译资料。对不同文本响应文件的解释发生异议的，以中文文本为准。</w:t>
      </w:r>
    </w:p>
    <w:p w14:paraId="37D12541">
      <w:pPr>
        <w:shd w:val="clea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6.2 供应商所使用的计量单位应为国家法定计量单位。</w:t>
      </w:r>
    </w:p>
    <w:p w14:paraId="53355994">
      <w:pPr>
        <w:shd w:val="clea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6.3 供应商应用人民币报价。</w:t>
      </w:r>
    </w:p>
    <w:p w14:paraId="082F402F">
      <w:pPr>
        <w:shd w:val="clea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6.4 响应文件应字迹清楚、内容齐全、不得涂改。如有修改，修改处须有供应商公章或法定代表人或其授权磋商代表签字。</w:t>
      </w:r>
    </w:p>
    <w:p w14:paraId="682131AC">
      <w:pPr>
        <w:shd w:val="clea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6.5 响应文件应按照磋商文件规定的顺序，统一用A4规格幅面打印、装订成册并编制目录，由于编排混乱导致响应文件被误读或查找不到，责任由供应商承担。</w:t>
      </w:r>
    </w:p>
    <w:p w14:paraId="6D57AC2A">
      <w:pPr>
        <w:shd w:val="clea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6.6 供应商应在响应文件中写清相应的项目编号、项目名称、供应商名称、地址、电话、传真等。</w:t>
      </w:r>
    </w:p>
    <w:p w14:paraId="0F60D54C">
      <w:pPr>
        <w:shd w:val="clea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7、响应文件的组成</w:t>
      </w:r>
    </w:p>
    <w:p w14:paraId="2CC321B8">
      <w:pPr>
        <w:shd w:val="clea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7.1</w:t>
      </w:r>
      <w:r>
        <w:rPr>
          <w:rFonts w:hint="eastAsia" w:ascii="宋体" w:hAnsi="宋体" w:cs="宋体"/>
          <w:color w:val="000000" w:themeColor="text1"/>
          <w:szCs w:val="21"/>
          <w:highlight w:val="none"/>
          <w14:textFill>
            <w14:solidFill>
              <w14:schemeClr w14:val="tx1"/>
            </w14:solidFill>
          </w14:textFill>
        </w:rPr>
        <w:t>供应商应当根据磋商文件要求编制响应文件，并根据自己的商务能力、技术水平对磋商文件提出的要求和条件逐条标明是否响应。</w:t>
      </w:r>
      <w:r>
        <w:rPr>
          <w:rFonts w:hint="eastAsia" w:ascii="宋体" w:hAnsi="宋体" w:cs="宋体"/>
          <w:color w:val="000000" w:themeColor="text1"/>
          <w:szCs w:val="21"/>
          <w:highlight w:val="none"/>
          <w:lang w:val="zh-CN"/>
          <w14:textFill>
            <w14:solidFill>
              <w14:schemeClr w14:val="tx1"/>
            </w14:solidFill>
          </w14:textFill>
        </w:rPr>
        <w:t>响应文件由商务部分、技术部分、价格部分，以及其他部分组成。</w:t>
      </w:r>
    </w:p>
    <w:p w14:paraId="7B2DCAC7">
      <w:pPr>
        <w:shd w:val="clea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lang w:val="zh-CN"/>
          <w14:textFill>
            <w14:solidFill>
              <w14:schemeClr w14:val="tx1"/>
            </w14:solidFill>
          </w14:textFill>
        </w:rPr>
        <w:t xml:space="preserve">7.2 </w:t>
      </w:r>
      <w:r>
        <w:rPr>
          <w:rFonts w:hint="eastAsia" w:ascii="宋体" w:hAnsi="宋体" w:cs="宋体"/>
          <w:b/>
          <w:bCs/>
          <w:color w:val="000000" w:themeColor="text1"/>
          <w:szCs w:val="21"/>
          <w:highlight w:val="none"/>
          <w:lang w:val="zh-CN"/>
          <w14:textFill>
            <w14:solidFill>
              <w14:schemeClr w14:val="tx1"/>
            </w14:solidFill>
          </w14:textFill>
        </w:rPr>
        <w:t>响应文件的商务部分。</w:t>
      </w:r>
      <w:r>
        <w:rPr>
          <w:rFonts w:hint="eastAsia" w:ascii="宋体" w:hAnsi="宋体" w:cs="宋体"/>
          <w:color w:val="000000" w:themeColor="text1"/>
          <w:szCs w:val="21"/>
          <w:highlight w:val="none"/>
          <w:lang w:val="zh-CN"/>
          <w14:textFill>
            <w14:solidFill>
              <w14:schemeClr w14:val="tx1"/>
            </w14:solidFill>
          </w14:textFill>
        </w:rPr>
        <w:t>商务部分是证明供应商有资格参加磋商和成交后有能力履行合同的文件，</w:t>
      </w:r>
      <w:r>
        <w:rPr>
          <w:rFonts w:hint="eastAsia" w:ascii="宋体" w:hAnsi="宋体" w:cs="宋体"/>
          <w:color w:val="000000" w:themeColor="text1"/>
          <w:szCs w:val="21"/>
          <w:highlight w:val="none"/>
          <w14:textFill>
            <w14:solidFill>
              <w14:schemeClr w14:val="tx1"/>
            </w14:solidFill>
          </w14:textFill>
        </w:rPr>
        <w:t>这些文件应能满足竞争性磋商采购文件的要求</w:t>
      </w:r>
      <w:r>
        <w:rPr>
          <w:rFonts w:hint="eastAsia" w:ascii="宋体" w:hAnsi="宋体" w:cs="宋体"/>
          <w:color w:val="000000" w:themeColor="text1"/>
          <w:szCs w:val="21"/>
          <w:highlight w:val="none"/>
          <w:lang w:val="zh-CN"/>
          <w14:textFill>
            <w14:solidFill>
              <w14:schemeClr w14:val="tx1"/>
            </w14:solidFill>
          </w14:textFill>
        </w:rPr>
        <w:t>，包括但不限于下列文件，其中加</w:t>
      </w:r>
      <w:r>
        <w:rPr>
          <w:rFonts w:hint="eastAsia" w:ascii="宋体" w:hAnsi="宋体" w:cs="宋体"/>
          <w:color w:val="000000" w:themeColor="text1"/>
          <w:kern w:val="0"/>
          <w:szCs w:val="21"/>
          <w:highlight w:val="none"/>
          <w:lang w:val="zh-CN"/>
          <w14:textFill>
            <w14:solidFill>
              <w14:schemeClr w14:val="tx1"/>
            </w14:solidFill>
          </w14:textFill>
        </w:rPr>
        <w:t>★</w:t>
      </w:r>
      <w:r>
        <w:rPr>
          <w:rFonts w:hint="eastAsia" w:ascii="宋体" w:hAnsi="宋体" w:cs="宋体"/>
          <w:color w:val="000000" w:themeColor="text1"/>
          <w:szCs w:val="21"/>
          <w:highlight w:val="none"/>
          <w:lang w:val="zh-CN"/>
          <w14:textFill>
            <w14:solidFill>
              <w14:schemeClr w14:val="tx1"/>
            </w14:solidFill>
          </w14:textFill>
        </w:rPr>
        <w:t>项目不得有缺失或无效：</w:t>
      </w:r>
    </w:p>
    <w:p w14:paraId="4E28B3E4">
      <w:pPr>
        <w:shd w:val="clear"/>
        <w:autoSpaceDE w:val="0"/>
        <w:autoSpaceDN w:val="0"/>
        <w:adjustRightInd w:val="0"/>
        <w:snapToGrid w:val="0"/>
        <w:spacing w:line="259" w:lineRule="auto"/>
        <w:ind w:firstLine="420"/>
        <w:jc w:val="left"/>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（1）</w:t>
      </w:r>
      <w:r>
        <w:rPr>
          <w:rFonts w:hint="eastAsia" w:ascii="宋体" w:hAnsi="宋体" w:cs="宋体"/>
          <w:b/>
          <w:bCs/>
          <w:color w:val="000000" w:themeColor="text1"/>
          <w:kern w:val="0"/>
          <w:szCs w:val="21"/>
          <w:highlight w:val="none"/>
          <w:lang w:val="zh-CN"/>
          <w14:textFill>
            <w14:solidFill>
              <w14:schemeClr w14:val="tx1"/>
            </w14:solidFill>
          </w14:textFill>
        </w:rPr>
        <w:t>★</w:t>
      </w:r>
      <w:r>
        <w:rPr>
          <w:rFonts w:hint="eastAsia" w:ascii="宋体" w:hAnsi="宋体" w:cs="宋体"/>
          <w:b/>
          <w:bCs/>
          <w:color w:val="000000" w:themeColor="text1"/>
          <w:szCs w:val="21"/>
          <w:highlight w:val="none"/>
          <w:lang w:val="zh-CN"/>
          <w14:textFill>
            <w14:solidFill>
              <w14:schemeClr w14:val="tx1"/>
            </w14:solidFill>
          </w14:textFill>
        </w:rPr>
        <w:t>磋商申请及声明；</w:t>
      </w:r>
    </w:p>
    <w:p w14:paraId="0A6BEFD2">
      <w:pPr>
        <w:widowControl/>
        <w:shd w:val="clear"/>
        <w:adjustRightInd w:val="0"/>
        <w:snapToGrid w:val="0"/>
        <w:spacing w:line="259" w:lineRule="auto"/>
        <w:ind w:firstLine="420"/>
        <w:jc w:val="left"/>
        <w:rPr>
          <w:rFonts w:ascii="宋体" w:hAnsi="宋体" w:cs="宋体"/>
          <w:b/>
          <w:bCs/>
          <w:color w:val="000000" w:themeColor="text1"/>
          <w:kern w:val="0"/>
          <w:szCs w:val="21"/>
          <w:highlight w:val="none"/>
          <w:lang w:val="zh-CN"/>
          <w14:textFill>
            <w14:solidFill>
              <w14:schemeClr w14:val="tx1"/>
            </w14:solidFill>
          </w14:textFill>
        </w:rPr>
      </w:pPr>
      <w:r>
        <w:rPr>
          <w:rFonts w:hint="eastAsia" w:ascii="宋体" w:hAnsi="宋体" w:cs="宋体"/>
          <w:b/>
          <w:bCs/>
          <w:color w:val="000000" w:themeColor="text1"/>
          <w:kern w:val="0"/>
          <w:szCs w:val="21"/>
          <w:highlight w:val="none"/>
          <w:lang w:val="zh-CN"/>
          <w14:textFill>
            <w14:solidFill>
              <w14:schemeClr w14:val="tx1"/>
            </w14:solidFill>
          </w14:textFill>
        </w:rPr>
        <w:t xml:space="preserve">（2）★法定代表人授权委托书及委托代理人的身份证复印件； </w:t>
      </w:r>
    </w:p>
    <w:p w14:paraId="3BB3279A">
      <w:pPr>
        <w:shd w:val="clear"/>
        <w:autoSpaceDE w:val="0"/>
        <w:autoSpaceDN w:val="0"/>
        <w:adjustRightInd w:val="0"/>
        <w:snapToGrid w:val="0"/>
        <w:spacing w:line="259" w:lineRule="auto"/>
        <w:ind w:firstLine="422" w:firstLineChars="200"/>
        <w:rPr>
          <w:rFonts w:cs="宋体" w:asciiTheme="minorEastAsia" w:hAnsiTheme="minorEastAsia" w:eastAsiaTheme="minorEastAsia"/>
          <w:b/>
          <w:bCs/>
          <w:color w:val="000000" w:themeColor="text1"/>
          <w:kern w:val="0"/>
          <w:szCs w:val="21"/>
          <w:highlight w:val="none"/>
          <w:lang w:val="zh-CN"/>
          <w14:textFill>
            <w14:solidFill>
              <w14:schemeClr w14:val="tx1"/>
            </w14:solidFill>
          </w14:textFill>
        </w:rPr>
      </w:pPr>
      <w:r>
        <w:rPr>
          <w:rFonts w:hint="eastAsia" w:cs="宋体" w:asciiTheme="minorEastAsia" w:hAnsiTheme="minorEastAsia" w:eastAsiaTheme="minorEastAsia"/>
          <w:b/>
          <w:bCs/>
          <w:color w:val="000000" w:themeColor="text1"/>
          <w:kern w:val="0"/>
          <w:szCs w:val="21"/>
          <w:highlight w:val="none"/>
          <w:lang w:val="zh-CN"/>
          <w14:textFill>
            <w14:solidFill>
              <w14:schemeClr w14:val="tx1"/>
            </w14:solidFill>
          </w14:textFill>
        </w:rPr>
        <w:t>（</w:t>
      </w:r>
      <w:r>
        <w:rPr>
          <w:rFonts w:hint="eastAsia" w:cs="宋体" w:asciiTheme="minorEastAsia" w:hAnsiTheme="minorEastAsia" w:eastAsiaTheme="minorEastAsia"/>
          <w:b/>
          <w:bCs/>
          <w:color w:val="000000" w:themeColor="text1"/>
          <w:kern w:val="0"/>
          <w:szCs w:val="21"/>
          <w:highlight w:val="none"/>
          <w14:textFill>
            <w14:solidFill>
              <w14:schemeClr w14:val="tx1"/>
            </w14:solidFill>
          </w14:textFill>
        </w:rPr>
        <w:t>3</w:t>
      </w:r>
      <w:r>
        <w:rPr>
          <w:rFonts w:hint="eastAsia" w:cs="宋体" w:asciiTheme="minorEastAsia" w:hAnsiTheme="minorEastAsia" w:eastAsiaTheme="minorEastAsia"/>
          <w:b/>
          <w:bCs/>
          <w:color w:val="000000" w:themeColor="text1"/>
          <w:kern w:val="0"/>
          <w:szCs w:val="21"/>
          <w:highlight w:val="none"/>
          <w:lang w:val="zh-CN"/>
          <w14:textFill>
            <w14:solidFill>
              <w14:schemeClr w14:val="tx1"/>
            </w14:solidFill>
          </w14:textFill>
        </w:rPr>
        <w:t>）</w:t>
      </w:r>
      <w:r>
        <w:rPr>
          <w:rFonts w:hint="eastAsia" w:asciiTheme="minorEastAsia" w:hAnsiTheme="minorEastAsia" w:eastAsiaTheme="minorEastAsia"/>
          <w:b/>
          <w:bCs/>
          <w:color w:val="000000" w:themeColor="text1"/>
          <w:szCs w:val="21"/>
          <w:highlight w:val="none"/>
          <w14:textFill>
            <w14:solidFill>
              <w14:schemeClr w14:val="tx1"/>
            </w14:solidFill>
          </w14:textFill>
        </w:rPr>
        <w:t>★</w:t>
      </w:r>
      <w:r>
        <w:rPr>
          <w:rFonts w:hint="eastAsia" w:cs="宋体" w:asciiTheme="minorEastAsia" w:hAnsiTheme="minorEastAsia" w:eastAsiaTheme="minorEastAsia"/>
          <w:b/>
          <w:bCs/>
          <w:color w:val="000000" w:themeColor="text1"/>
          <w:kern w:val="0"/>
          <w:szCs w:val="21"/>
          <w:highlight w:val="none"/>
          <w14:textFill>
            <w14:solidFill>
              <w14:schemeClr w14:val="tx1"/>
            </w14:solidFill>
          </w14:textFill>
        </w:rPr>
        <w:t>第一章磋商邀请中</w:t>
      </w:r>
      <w:r>
        <w:rPr>
          <w:rFonts w:hint="eastAsia" w:asciiTheme="minorEastAsia" w:hAnsiTheme="minorEastAsia" w:eastAsiaTheme="minorEastAsia"/>
          <w:b/>
          <w:bCs/>
          <w:color w:val="000000" w:themeColor="text1"/>
          <w:szCs w:val="21"/>
          <w:highlight w:val="none"/>
          <w:lang w:val="zh-CN"/>
          <w14:textFill>
            <w14:solidFill>
              <w14:schemeClr w14:val="tx1"/>
            </w14:solidFill>
          </w14:textFill>
        </w:rPr>
        <w:t>《中华人民共和国政府采购法》规定的资格条件证明文件</w:t>
      </w:r>
      <w:r>
        <w:rPr>
          <w:rFonts w:hint="eastAsia" w:cs="宋体" w:asciiTheme="minorEastAsia" w:hAnsiTheme="minorEastAsia" w:eastAsiaTheme="minorEastAsia"/>
          <w:b/>
          <w:bCs/>
          <w:color w:val="000000" w:themeColor="text1"/>
          <w:kern w:val="0"/>
          <w:szCs w:val="21"/>
          <w:highlight w:val="none"/>
          <w:lang w:val="zh-CN"/>
          <w14:textFill>
            <w14:solidFill>
              <w14:schemeClr w14:val="tx1"/>
            </w14:solidFill>
          </w14:textFill>
        </w:rPr>
        <w:t>；</w:t>
      </w:r>
    </w:p>
    <w:p w14:paraId="2A25F76D">
      <w:pPr>
        <w:shd w:val="clear"/>
        <w:autoSpaceDE w:val="0"/>
        <w:autoSpaceDN w:val="0"/>
        <w:adjustRightInd w:val="0"/>
        <w:snapToGrid w:val="0"/>
        <w:spacing w:line="259" w:lineRule="auto"/>
        <w:ind w:left="1052" w:leftChars="200" w:hanging="632" w:hangingChars="300"/>
        <w:rPr>
          <w:rFonts w:cs="宋体" w:asciiTheme="minorEastAsia" w:hAnsiTheme="minorEastAsia" w:eastAsiaTheme="minorEastAsia"/>
          <w:b/>
          <w:bCs/>
          <w:color w:val="000000" w:themeColor="text1"/>
          <w:kern w:val="0"/>
          <w:szCs w:val="21"/>
          <w:highlight w:val="none"/>
          <w:lang w:val="zh-CN"/>
          <w14:textFill>
            <w14:solidFill>
              <w14:schemeClr w14:val="tx1"/>
            </w14:solidFill>
          </w14:textFill>
        </w:rPr>
      </w:pPr>
      <w:r>
        <w:rPr>
          <w:rFonts w:hint="eastAsia" w:cs="宋体" w:asciiTheme="minorEastAsia" w:hAnsiTheme="minorEastAsia" w:eastAsiaTheme="minorEastAsia"/>
          <w:b/>
          <w:bCs/>
          <w:color w:val="000000" w:themeColor="text1"/>
          <w:kern w:val="0"/>
          <w:szCs w:val="21"/>
          <w:highlight w:val="none"/>
          <w:lang w:val="zh-CN"/>
          <w14:textFill>
            <w14:solidFill>
              <w14:schemeClr w14:val="tx1"/>
            </w14:solidFill>
          </w14:textFill>
        </w:rPr>
        <w:t>（</w:t>
      </w:r>
      <w:r>
        <w:rPr>
          <w:rFonts w:hint="eastAsia" w:cs="宋体" w:asciiTheme="minorEastAsia" w:hAnsiTheme="minorEastAsia" w:eastAsiaTheme="minorEastAsia"/>
          <w:b/>
          <w:bCs/>
          <w:color w:val="000000" w:themeColor="text1"/>
          <w:kern w:val="0"/>
          <w:szCs w:val="21"/>
          <w:highlight w:val="none"/>
          <w14:textFill>
            <w14:solidFill>
              <w14:schemeClr w14:val="tx1"/>
            </w14:solidFill>
          </w14:textFill>
        </w:rPr>
        <w:t>4</w:t>
      </w:r>
      <w:r>
        <w:rPr>
          <w:rFonts w:hint="eastAsia" w:cs="宋体" w:asciiTheme="minorEastAsia" w:hAnsiTheme="minorEastAsia" w:eastAsiaTheme="minorEastAsia"/>
          <w:b/>
          <w:bCs/>
          <w:color w:val="000000" w:themeColor="text1"/>
          <w:kern w:val="0"/>
          <w:szCs w:val="21"/>
          <w:highlight w:val="none"/>
          <w:lang w:val="zh-CN"/>
          <w14:textFill>
            <w14:solidFill>
              <w14:schemeClr w14:val="tx1"/>
            </w14:solidFill>
          </w14:textFill>
        </w:rPr>
        <w:t>）</w:t>
      </w:r>
      <w:r>
        <w:rPr>
          <w:rFonts w:hint="eastAsia" w:asciiTheme="minorEastAsia" w:hAnsiTheme="minorEastAsia" w:eastAsiaTheme="minorEastAsia"/>
          <w:b/>
          <w:bCs/>
          <w:color w:val="000000" w:themeColor="text1"/>
          <w:szCs w:val="21"/>
          <w:highlight w:val="none"/>
          <w14:textFill>
            <w14:solidFill>
              <w14:schemeClr w14:val="tx1"/>
            </w14:solidFill>
          </w14:textFill>
        </w:rPr>
        <w:t>★</w:t>
      </w:r>
      <w:r>
        <w:rPr>
          <w:rFonts w:hint="eastAsia" w:cs="宋体" w:asciiTheme="minorEastAsia" w:hAnsiTheme="minorEastAsia" w:eastAsiaTheme="minorEastAsia"/>
          <w:b/>
          <w:bCs/>
          <w:color w:val="000000" w:themeColor="text1"/>
          <w:kern w:val="0"/>
          <w:szCs w:val="21"/>
          <w:highlight w:val="none"/>
          <w14:textFill>
            <w14:solidFill>
              <w14:schemeClr w14:val="tx1"/>
            </w14:solidFill>
          </w14:textFill>
        </w:rPr>
        <w:t xml:space="preserve">第一章磋商邀请中 </w:t>
      </w:r>
      <w:r>
        <w:rPr>
          <w:rFonts w:hint="eastAsia" w:asciiTheme="minorEastAsia" w:hAnsiTheme="minorEastAsia" w:eastAsiaTheme="minorEastAsia"/>
          <w:b/>
          <w:bCs/>
          <w:color w:val="000000" w:themeColor="text1"/>
          <w:szCs w:val="21"/>
          <w:highlight w:val="none"/>
          <w14:textFill>
            <w14:solidFill>
              <w14:schemeClr w14:val="tx1"/>
            </w14:solidFill>
          </w14:textFill>
        </w:rPr>
        <w:t>采购人根据采购项目的特殊要求规定的特定条件证明文件（若有）；</w:t>
      </w:r>
    </w:p>
    <w:p w14:paraId="32C446F8">
      <w:pPr>
        <w:shd w:val="clear"/>
        <w:autoSpaceDE w:val="0"/>
        <w:autoSpaceDN w:val="0"/>
        <w:adjustRightInd w:val="0"/>
        <w:snapToGrid w:val="0"/>
        <w:spacing w:line="259" w:lineRule="auto"/>
        <w:ind w:firstLine="422" w:firstLineChars="200"/>
        <w:rPr>
          <w:rFonts w:ascii="宋体" w:hAnsi="宋体" w:cs="宋体"/>
          <w:b/>
          <w:bCs/>
          <w:color w:val="000000" w:themeColor="text1"/>
          <w:kern w:val="0"/>
          <w:szCs w:val="21"/>
          <w:highlight w:val="none"/>
          <w:lang w:val="zh-CN"/>
          <w14:textFill>
            <w14:solidFill>
              <w14:schemeClr w14:val="tx1"/>
            </w14:solidFill>
          </w14:textFill>
        </w:rPr>
      </w:pPr>
      <w:r>
        <w:rPr>
          <w:rFonts w:hint="eastAsia" w:ascii="宋体" w:hAnsi="宋体" w:cs="宋体"/>
          <w:b/>
          <w:bCs/>
          <w:color w:val="000000" w:themeColor="text1"/>
          <w:kern w:val="0"/>
          <w:szCs w:val="21"/>
          <w:highlight w:val="none"/>
          <w14:textFill>
            <w14:solidFill>
              <w14:schemeClr w14:val="tx1"/>
            </w14:solidFill>
          </w14:textFill>
        </w:rPr>
        <w:t>（5）★</w:t>
      </w:r>
      <w:r>
        <w:rPr>
          <w:rFonts w:hint="eastAsia" w:ascii="宋体" w:hAnsi="宋体" w:cs="宋体"/>
          <w:b/>
          <w:bCs/>
          <w:color w:val="000000" w:themeColor="text1"/>
          <w:kern w:val="0"/>
          <w:szCs w:val="21"/>
          <w:highlight w:val="none"/>
          <w:lang w:val="zh-CN"/>
          <w14:textFill>
            <w14:solidFill>
              <w14:schemeClr w14:val="tx1"/>
            </w14:solidFill>
          </w14:textFill>
        </w:rPr>
        <w:t>磋商保证金交纳相关证明材料；</w:t>
      </w:r>
    </w:p>
    <w:p w14:paraId="356FB886">
      <w:pPr>
        <w:widowControl/>
        <w:shd w:val="clear"/>
        <w:adjustRightInd w:val="0"/>
        <w:snapToGrid w:val="0"/>
        <w:spacing w:line="259" w:lineRule="auto"/>
        <w:ind w:firstLine="420"/>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w:t>
      </w:r>
      <w:r>
        <w:rPr>
          <w:rFonts w:hint="eastAsia" w:ascii="宋体" w:hAnsi="宋体" w:cs="宋体"/>
          <w:color w:val="000000" w:themeColor="text1"/>
          <w:kern w:val="0"/>
          <w:szCs w:val="21"/>
          <w:highlight w:val="none"/>
          <w14:textFill>
            <w14:solidFill>
              <w14:schemeClr w14:val="tx1"/>
            </w14:solidFill>
          </w14:textFill>
        </w:rPr>
        <w:t>6</w:t>
      </w:r>
      <w:r>
        <w:rPr>
          <w:rFonts w:hint="eastAsia" w:ascii="宋体" w:hAnsi="宋体" w:cs="宋体"/>
          <w:color w:val="000000" w:themeColor="text1"/>
          <w:kern w:val="0"/>
          <w:szCs w:val="21"/>
          <w:highlight w:val="none"/>
          <w:lang w:val="zh-CN"/>
          <w14:textFill>
            <w14:solidFill>
              <w14:schemeClr w14:val="tx1"/>
            </w14:solidFill>
          </w14:textFill>
        </w:rPr>
        <w:t>）《商务条款偏离表》；</w:t>
      </w:r>
    </w:p>
    <w:p w14:paraId="3D538560">
      <w:pPr>
        <w:widowControl/>
        <w:shd w:val="clear"/>
        <w:adjustRightInd w:val="0"/>
        <w:snapToGrid w:val="0"/>
        <w:spacing w:line="259" w:lineRule="auto"/>
        <w:ind w:firstLine="420"/>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w:t>
      </w:r>
      <w:r>
        <w:rPr>
          <w:rFonts w:hint="eastAsia" w:ascii="宋体" w:hAnsi="宋体" w:cs="宋体"/>
          <w:color w:val="000000" w:themeColor="text1"/>
          <w:kern w:val="0"/>
          <w:szCs w:val="21"/>
          <w:highlight w:val="none"/>
          <w14:textFill>
            <w14:solidFill>
              <w14:schemeClr w14:val="tx1"/>
            </w14:solidFill>
          </w14:textFill>
        </w:rPr>
        <w:t>7</w:t>
      </w:r>
      <w:r>
        <w:rPr>
          <w:rFonts w:hint="eastAsia" w:ascii="宋体" w:hAnsi="宋体" w:cs="宋体"/>
          <w:color w:val="000000" w:themeColor="text1"/>
          <w:kern w:val="0"/>
          <w:szCs w:val="21"/>
          <w:highlight w:val="none"/>
          <w:lang w:val="zh-CN"/>
          <w14:textFill>
            <w14:solidFill>
              <w14:schemeClr w14:val="tx1"/>
            </w14:solidFill>
          </w14:textFill>
        </w:rPr>
        <w:t>）合同草案条款</w:t>
      </w:r>
    </w:p>
    <w:p w14:paraId="32362F95">
      <w:pPr>
        <w:shd w:val="clear"/>
        <w:adjustRightInd w:val="0"/>
        <w:snapToGrid w:val="0"/>
        <w:spacing w:line="259"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w:t>
      </w:r>
      <w:r>
        <w:rPr>
          <w:rFonts w:hint="eastAsia" w:ascii="宋体" w:hAnsi="宋体" w:cs="宋体"/>
          <w:color w:val="000000" w:themeColor="text1"/>
          <w:kern w:val="0"/>
          <w:szCs w:val="21"/>
          <w:highlight w:val="none"/>
          <w14:textFill>
            <w14:solidFill>
              <w14:schemeClr w14:val="tx1"/>
            </w14:solidFill>
          </w14:textFill>
        </w:rPr>
        <w:t>8</w:t>
      </w:r>
      <w:r>
        <w:rPr>
          <w:rFonts w:hint="eastAsia" w:ascii="宋体" w:hAnsi="宋体" w:cs="宋体"/>
          <w:color w:val="000000" w:themeColor="text1"/>
          <w:kern w:val="0"/>
          <w:szCs w:val="21"/>
          <w:highlight w:val="none"/>
          <w:lang w:val="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供应商认为需要</w:t>
      </w:r>
      <w:r>
        <w:rPr>
          <w:rFonts w:hint="eastAsia" w:ascii="宋体" w:hAnsi="宋体" w:cs="宋体"/>
          <w:color w:val="000000" w:themeColor="text1"/>
          <w:kern w:val="0"/>
          <w:szCs w:val="21"/>
          <w:highlight w:val="none"/>
          <w:lang w:val="zh-CN"/>
          <w14:textFill>
            <w14:solidFill>
              <w14:schemeClr w14:val="tx1"/>
            </w14:solidFill>
          </w14:textFill>
        </w:rPr>
        <w:t>提供的其他资格证明文件和商务资料。</w:t>
      </w:r>
    </w:p>
    <w:p w14:paraId="2EC4E875">
      <w:pPr>
        <w:shd w:val="clear"/>
        <w:autoSpaceDE w:val="0"/>
        <w:autoSpaceDN w:val="0"/>
        <w:adjustRightInd w:val="0"/>
        <w:snapToGrid w:val="0"/>
        <w:spacing w:line="259" w:lineRule="auto"/>
        <w:ind w:firstLine="420" w:firstLineChars="200"/>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7.3 响应文件的技术部分。技术部分是证明</w:t>
      </w:r>
      <w:r>
        <w:rPr>
          <w:rFonts w:hint="eastAsia" w:ascii="宋体" w:hAnsi="宋体" w:cs="宋体"/>
          <w:color w:val="000000" w:themeColor="text1"/>
          <w:kern w:val="0"/>
          <w:szCs w:val="21"/>
          <w:highlight w:val="none"/>
          <w14:textFill>
            <w14:solidFill>
              <w14:schemeClr w14:val="tx1"/>
            </w14:solidFill>
          </w14:textFill>
        </w:rPr>
        <w:t>供应商提供的服务是合格的，并符合磋商文件要求的证明文件，以及</w:t>
      </w:r>
      <w:r>
        <w:rPr>
          <w:rFonts w:hint="eastAsia" w:ascii="宋体" w:hAnsi="宋体" w:cs="宋体"/>
          <w:color w:val="000000" w:themeColor="text1"/>
          <w:kern w:val="0"/>
          <w:szCs w:val="21"/>
          <w:highlight w:val="none"/>
          <w:lang w:val="zh-CN"/>
          <w14:textFill>
            <w14:solidFill>
              <w14:schemeClr w14:val="tx1"/>
            </w14:solidFill>
          </w14:textFill>
        </w:rPr>
        <w:t>对服务的详细说明，这些文件可以是文字资料、图纸和数据等。提供的服务如与磋商文件要求有不符之处，应说明其差别之所在。包括但不限于下列文件，其中加</w:t>
      </w:r>
      <w:r>
        <w:rPr>
          <w:rFonts w:hint="eastAsia" w:ascii="宋体" w:hAnsi="宋体" w:cs="宋体"/>
          <w:color w:val="000000" w:themeColor="text1"/>
          <w:kern w:val="0"/>
          <w:szCs w:val="21"/>
          <w:highlight w:val="none"/>
          <w14:textFill>
            <w14:solidFill>
              <w14:schemeClr w14:val="tx1"/>
            </w14:solidFill>
          </w14:textFill>
        </w:rPr>
        <w:t>“</w:t>
      </w:r>
      <w:r>
        <w:rPr>
          <w:rFonts w:hint="eastAsia" w:ascii="宋体" w:hAnsi="宋体" w:cs="宋体"/>
          <w:color w:val="000000" w:themeColor="text1"/>
          <w:kern w:val="0"/>
          <w:szCs w:val="21"/>
          <w:highlight w:val="none"/>
          <w:lang w:val="zh-CN"/>
          <w14:textFill>
            <w14:solidFill>
              <w14:schemeClr w14:val="tx1"/>
            </w14:solidFill>
          </w14:textFill>
        </w:rPr>
        <w:t>★</w:t>
      </w:r>
      <w:r>
        <w:rPr>
          <w:rFonts w:hint="eastAsia" w:ascii="宋体" w:hAnsi="宋体" w:cs="宋体"/>
          <w:color w:val="000000" w:themeColor="text1"/>
          <w:kern w:val="0"/>
          <w:szCs w:val="21"/>
          <w:highlight w:val="none"/>
          <w14:textFill>
            <w14:solidFill>
              <w14:schemeClr w14:val="tx1"/>
            </w14:solidFill>
          </w14:textFill>
        </w:rPr>
        <w:t>”</w:t>
      </w:r>
      <w:r>
        <w:rPr>
          <w:rFonts w:hint="eastAsia" w:ascii="宋体" w:hAnsi="宋体" w:cs="宋体"/>
          <w:color w:val="000000" w:themeColor="text1"/>
          <w:kern w:val="0"/>
          <w:szCs w:val="21"/>
          <w:highlight w:val="none"/>
          <w:lang w:val="zh-CN"/>
          <w14:textFill>
            <w14:solidFill>
              <w14:schemeClr w14:val="tx1"/>
            </w14:solidFill>
          </w14:textFill>
        </w:rPr>
        <w:t>项目不得有缺失或无效：</w:t>
      </w:r>
    </w:p>
    <w:p w14:paraId="39365F3C">
      <w:pPr>
        <w:shd w:val="clear"/>
        <w:autoSpaceDE w:val="0"/>
        <w:autoSpaceDN w:val="0"/>
        <w:adjustRightInd w:val="0"/>
        <w:snapToGrid w:val="0"/>
        <w:spacing w:line="259" w:lineRule="auto"/>
        <w:ind w:firstLine="420" w:firstLineChars="200"/>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（1）《技术条款偏离表》；</w:t>
      </w:r>
    </w:p>
    <w:p w14:paraId="1791A933">
      <w:pPr>
        <w:shd w:val="clear"/>
        <w:autoSpaceDE w:val="0"/>
        <w:autoSpaceDN w:val="0"/>
        <w:adjustRightInd w:val="0"/>
        <w:snapToGrid w:val="0"/>
        <w:spacing w:line="259" w:lineRule="auto"/>
        <w:ind w:firstLine="420" w:firstLineChars="200"/>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（2）实施方案（含施工组织设计、项目人员组成、施工进度、管理规范等，不得低于招标文件要求）；</w:t>
      </w:r>
    </w:p>
    <w:p w14:paraId="7E79020A">
      <w:pPr>
        <w:shd w:val="clear"/>
        <w:autoSpaceDE w:val="0"/>
        <w:autoSpaceDN w:val="0"/>
        <w:adjustRightInd w:val="0"/>
        <w:snapToGrid w:val="0"/>
        <w:spacing w:line="259" w:lineRule="auto"/>
        <w:ind w:firstLine="420" w:firstLineChars="200"/>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（3）《施工主要材料一览表》；</w:t>
      </w:r>
    </w:p>
    <w:p w14:paraId="4AEE76AC">
      <w:pPr>
        <w:shd w:val="clear"/>
        <w:autoSpaceDE w:val="0"/>
        <w:autoSpaceDN w:val="0"/>
        <w:adjustRightInd w:val="0"/>
        <w:snapToGrid w:val="0"/>
        <w:spacing w:line="259" w:lineRule="auto"/>
        <w:ind w:firstLine="420" w:firstLineChars="200"/>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（4）项目负责人基本情况表 ；</w:t>
      </w:r>
    </w:p>
    <w:p w14:paraId="67FF28E6">
      <w:pPr>
        <w:shd w:val="clear"/>
        <w:autoSpaceDE w:val="0"/>
        <w:autoSpaceDN w:val="0"/>
        <w:adjustRightInd w:val="0"/>
        <w:snapToGrid w:val="0"/>
        <w:spacing w:line="259" w:lineRule="auto"/>
        <w:ind w:firstLine="420" w:firstLineChars="200"/>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w:t>
      </w:r>
      <w:r>
        <w:rPr>
          <w:rFonts w:hint="eastAsia" w:ascii="宋体" w:hAnsi="宋体" w:cs="宋体"/>
          <w:color w:val="000000" w:themeColor="text1"/>
          <w:kern w:val="0"/>
          <w:szCs w:val="21"/>
          <w:highlight w:val="none"/>
          <w14:textFill>
            <w14:solidFill>
              <w14:schemeClr w14:val="tx1"/>
            </w14:solidFill>
          </w14:textFill>
        </w:rPr>
        <w:t>5</w:t>
      </w:r>
      <w:r>
        <w:rPr>
          <w:rFonts w:hint="eastAsia" w:ascii="宋体" w:hAnsi="宋体" w:cs="宋体"/>
          <w:color w:val="000000" w:themeColor="text1"/>
          <w:kern w:val="0"/>
          <w:szCs w:val="21"/>
          <w:highlight w:val="none"/>
          <w:lang w:val="zh-CN"/>
          <w14:textFill>
            <w14:solidFill>
              <w14:schemeClr w14:val="tx1"/>
            </w14:solidFill>
          </w14:textFill>
        </w:rPr>
        <w:t>）项目参与人员的职称、资格证书复印件；</w:t>
      </w:r>
    </w:p>
    <w:p w14:paraId="5A7E1D76">
      <w:pPr>
        <w:shd w:val="clear"/>
        <w:autoSpaceDE w:val="0"/>
        <w:autoSpaceDN w:val="0"/>
        <w:adjustRightInd w:val="0"/>
        <w:snapToGrid w:val="0"/>
        <w:spacing w:line="259" w:lineRule="auto"/>
        <w:ind w:firstLine="420" w:firstLineChars="200"/>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w:t>
      </w:r>
      <w:r>
        <w:rPr>
          <w:rFonts w:hint="eastAsia" w:ascii="宋体" w:hAnsi="宋体" w:cs="宋体"/>
          <w:color w:val="000000" w:themeColor="text1"/>
          <w:kern w:val="0"/>
          <w:szCs w:val="21"/>
          <w:highlight w:val="none"/>
          <w14:textFill>
            <w14:solidFill>
              <w14:schemeClr w14:val="tx1"/>
            </w14:solidFill>
          </w14:textFill>
        </w:rPr>
        <w:t>6</w:t>
      </w:r>
      <w:r>
        <w:rPr>
          <w:rFonts w:hint="eastAsia" w:ascii="宋体" w:hAnsi="宋体" w:cs="宋体"/>
          <w:color w:val="000000" w:themeColor="text1"/>
          <w:kern w:val="0"/>
          <w:szCs w:val="21"/>
          <w:highlight w:val="none"/>
          <w:lang w:val="zh-CN"/>
          <w14:textFill>
            <w14:solidFill>
              <w14:schemeClr w14:val="tx1"/>
            </w14:solidFill>
          </w14:textFill>
        </w:rPr>
        <w:t>）技术支持资料（如白皮书、彩页、手册、检测报告等）；</w:t>
      </w:r>
    </w:p>
    <w:p w14:paraId="2E978772">
      <w:pPr>
        <w:shd w:val="clear"/>
        <w:autoSpaceDE w:val="0"/>
        <w:autoSpaceDN w:val="0"/>
        <w:adjustRightInd w:val="0"/>
        <w:snapToGrid w:val="0"/>
        <w:spacing w:line="259" w:lineRule="auto"/>
        <w:ind w:firstLine="420" w:firstLineChars="200"/>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w:t>
      </w:r>
      <w:r>
        <w:rPr>
          <w:rFonts w:hint="eastAsia" w:ascii="宋体" w:hAnsi="宋体" w:cs="宋体"/>
          <w:color w:val="000000" w:themeColor="text1"/>
          <w:kern w:val="0"/>
          <w:szCs w:val="21"/>
          <w:highlight w:val="none"/>
          <w14:textFill>
            <w14:solidFill>
              <w14:schemeClr w14:val="tx1"/>
            </w14:solidFill>
          </w14:textFill>
        </w:rPr>
        <w:t>7</w:t>
      </w:r>
      <w:r>
        <w:rPr>
          <w:rFonts w:hint="eastAsia" w:ascii="宋体" w:hAnsi="宋体" w:cs="宋体"/>
          <w:color w:val="000000" w:themeColor="text1"/>
          <w:kern w:val="0"/>
          <w:szCs w:val="21"/>
          <w:highlight w:val="none"/>
          <w:lang w:val="zh-CN"/>
          <w14:textFill>
            <w14:solidFill>
              <w14:schemeClr w14:val="tx1"/>
            </w14:solidFill>
          </w14:textFill>
        </w:rPr>
        <w:t>）供应商认为需要提供的其他技术文件或资料等。</w:t>
      </w:r>
    </w:p>
    <w:p w14:paraId="1A863855">
      <w:pPr>
        <w:shd w:val="clear"/>
        <w:autoSpaceDE w:val="0"/>
        <w:autoSpaceDN w:val="0"/>
        <w:adjustRightInd w:val="0"/>
        <w:snapToGrid w:val="0"/>
        <w:spacing w:line="259" w:lineRule="auto"/>
        <w:ind w:firstLine="420"/>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7.4 </w:t>
      </w:r>
      <w:r>
        <w:rPr>
          <w:rFonts w:hint="eastAsia" w:ascii="宋体" w:hAnsi="宋体" w:cs="宋体"/>
          <w:b/>
          <w:color w:val="000000" w:themeColor="text1"/>
          <w:szCs w:val="21"/>
          <w:highlight w:val="none"/>
          <w:lang w:val="zh-CN"/>
          <w14:textFill>
            <w14:solidFill>
              <w14:schemeClr w14:val="tx1"/>
            </w14:solidFill>
          </w14:textFill>
        </w:rPr>
        <w:t>响应文件的价格部分</w:t>
      </w:r>
    </w:p>
    <w:p w14:paraId="5463040B">
      <w:pPr>
        <w:shd w:val="clear"/>
        <w:autoSpaceDE w:val="0"/>
        <w:autoSpaceDN w:val="0"/>
        <w:adjustRightInd w:val="0"/>
        <w:snapToGrid w:val="0"/>
        <w:spacing w:line="259" w:lineRule="auto"/>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本工程采用在工程量清单范围内包工包料、综合单价计价方法计算价格。</w:t>
      </w:r>
      <w:r>
        <w:rPr>
          <w:rFonts w:hint="eastAsia" w:ascii="宋体" w:hAnsi="宋体" w:cs="宋体"/>
          <w:color w:val="000000" w:themeColor="text1"/>
          <w:szCs w:val="21"/>
          <w:highlight w:val="none"/>
          <w:lang w:val="zh-CN"/>
          <w14:textFill>
            <w14:solidFill>
              <w14:schemeClr w14:val="tx1"/>
            </w14:solidFill>
          </w14:textFill>
        </w:rPr>
        <w:t>磋商文件如没有特别说明的话，对每一项货物、服务和工程仅接受一个价格。供应商应以表格形式详细说明价格构成，以及价格构成各项因素的单价和总价。</w:t>
      </w:r>
      <w:r>
        <w:rPr>
          <w:rFonts w:hint="eastAsia" w:ascii="宋体" w:hAnsi="宋体" w:cs="宋体"/>
          <w:color w:val="000000" w:themeColor="text1"/>
          <w:szCs w:val="21"/>
          <w:highlight w:val="none"/>
          <w14:textFill>
            <w14:solidFill>
              <w14:schemeClr w14:val="tx1"/>
            </w14:solidFill>
          </w14:textFill>
        </w:rPr>
        <w:t>供应商应按照磋商文件所提供的工程量清单，报价、施工。</w:t>
      </w:r>
      <w:r>
        <w:rPr>
          <w:rFonts w:hint="eastAsia" w:ascii="宋体" w:hAnsi="宋体" w:cs="宋体"/>
          <w:color w:val="000000" w:themeColor="text1"/>
          <w:szCs w:val="21"/>
          <w:highlight w:val="none"/>
          <w:lang w:val="zh-CN"/>
          <w14:textFill>
            <w14:solidFill>
              <w14:schemeClr w14:val="tx1"/>
            </w14:solidFill>
          </w14:textFill>
        </w:rPr>
        <w:t>按照《建设工程工程量清单计价规范》（GB50500-2013）等、工程量清单指定的定额等造价计算程序、及现行的法律法规确定分项综合预算单价，并根据本企业水平研究最终确定磋商总报价。</w:t>
      </w:r>
    </w:p>
    <w:p w14:paraId="1A80D6F2">
      <w:pPr>
        <w:shd w:val="clear"/>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（2）报价应包含完成本货物、服务和工程项目发生的所有含税费用、支付给员工的工资和国家强制缴纳的各种社会保障资金，以及供应商认为需要的其他费用等。</w:t>
      </w:r>
    </w:p>
    <w:p w14:paraId="0E6C60D0">
      <w:pPr>
        <w:shd w:val="clear"/>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3）供应商应评细阅读磋商文件，充分了解施工现场位置、环境、道路、储存空间、装卸限制及任何其他足以影响报价之情况，任何因忽视或误解工地情况而导致的成本增加或工期延长等情况采购人一律不予认可。在对现场进行实地勘察后，提出合理的报价，在《竞争性磋商报价表》中标明拟提供货物和服务的总价、在《分项报价表》中标明拟提供货物和服务的明细价。</w:t>
      </w:r>
    </w:p>
    <w:p w14:paraId="5C694010">
      <w:pPr>
        <w:shd w:val="clear"/>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（4）供应商的任何错漏、优惠、竞争性报价不得作为减轻责任、减少服务、降低质量的理由。</w:t>
      </w:r>
    </w:p>
    <w:p w14:paraId="05837B73">
      <w:pPr>
        <w:shd w:val="clear"/>
        <w:ind w:firstLine="420" w:firstLineChars="200"/>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（5）报价表必须由供应商法人代表或委托授权人签字、或加盖单位公章。如有优惠条款，请单独列明，但不得影响报价，影响货物或服务整体功能。</w:t>
      </w:r>
    </w:p>
    <w:p w14:paraId="73761EA0">
      <w:pPr>
        <w:shd w:val="clear"/>
        <w:ind w:firstLine="420" w:firstLineChars="200"/>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6</w:t>
      </w:r>
      <w:r>
        <w:rPr>
          <w:rFonts w:hint="eastAsia" w:ascii="宋体" w:hAnsi="宋体" w:cs="宋体"/>
          <w:color w:val="000000" w:themeColor="text1"/>
          <w:szCs w:val="21"/>
          <w:highlight w:val="none"/>
          <w:lang w:val="zh-CN"/>
          <w14:textFill>
            <w14:solidFill>
              <w14:schemeClr w14:val="tx1"/>
            </w14:solidFill>
          </w14:textFill>
        </w:rPr>
        <w:t>）经磋商后，如果成交价高于或低于供应商在响应文件首次报价的，分项报价同比例调整。</w:t>
      </w:r>
    </w:p>
    <w:p w14:paraId="3C0C56F7">
      <w:pPr>
        <w:shd w:val="clea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7.5 </w:t>
      </w:r>
      <w:r>
        <w:rPr>
          <w:rFonts w:hint="eastAsia" w:ascii="宋体" w:hAnsi="宋体" w:cs="宋体"/>
          <w:b/>
          <w:color w:val="000000" w:themeColor="text1"/>
          <w:szCs w:val="21"/>
          <w:highlight w:val="none"/>
          <w:lang w:val="zh-CN"/>
          <w14:textFill>
            <w14:solidFill>
              <w14:schemeClr w14:val="tx1"/>
            </w14:solidFill>
          </w14:textFill>
        </w:rPr>
        <w:t>响应文件的其他部分。</w:t>
      </w:r>
      <w:r>
        <w:rPr>
          <w:rFonts w:hint="eastAsia" w:ascii="宋体" w:hAnsi="宋体" w:cs="宋体"/>
          <w:color w:val="000000" w:themeColor="text1"/>
          <w:szCs w:val="21"/>
          <w:highlight w:val="none"/>
          <w:lang w:val="zh-CN"/>
          <w14:textFill>
            <w14:solidFill>
              <w14:schemeClr w14:val="tx1"/>
            </w14:solidFill>
          </w14:textFill>
        </w:rPr>
        <w:t>其他部分由供应商根据编制响应文件需要提供的其他相关文件。</w:t>
      </w:r>
    </w:p>
    <w:p w14:paraId="263F1DD4">
      <w:pPr>
        <w:shd w:val="clear"/>
        <w:autoSpaceDE w:val="0"/>
        <w:autoSpaceDN w:val="0"/>
        <w:adjustRightInd w:val="0"/>
        <w:snapToGrid w:val="0"/>
        <w:spacing w:line="259" w:lineRule="auto"/>
        <w:ind w:firstLine="420"/>
        <w:outlineLvl w:val="9"/>
        <w:rPr>
          <w:rFonts w:ascii="宋体" w:hAnsi="宋体" w:cs="宋体"/>
          <w:b/>
          <w:bCs/>
          <w:color w:val="000000" w:themeColor="text1"/>
          <w:szCs w:val="21"/>
          <w:highlight w:val="none"/>
          <w:lang w:val="zh-CN"/>
          <w14:textFill>
            <w14:solidFill>
              <w14:schemeClr w14:val="tx1"/>
            </w14:solidFill>
          </w14:textFill>
        </w:rPr>
      </w:pPr>
      <w:bookmarkStart w:id="43" w:name="_Toc8303"/>
      <w:bookmarkStart w:id="44" w:name="_Toc5383"/>
      <w:bookmarkStart w:id="45" w:name="_Toc32541"/>
      <w:r>
        <w:rPr>
          <w:rFonts w:hint="eastAsia" w:ascii="宋体" w:hAnsi="宋体" w:cs="宋体"/>
          <w:b/>
          <w:bCs/>
          <w:color w:val="000000" w:themeColor="text1"/>
          <w:szCs w:val="21"/>
          <w:highlight w:val="none"/>
          <w:lang w:val="zh-CN"/>
          <w14:textFill>
            <w14:solidFill>
              <w14:schemeClr w14:val="tx1"/>
            </w14:solidFill>
          </w14:textFill>
        </w:rPr>
        <w:t>三、响应文件签署与提交</w:t>
      </w:r>
      <w:bookmarkEnd w:id="43"/>
      <w:bookmarkEnd w:id="44"/>
      <w:bookmarkEnd w:id="45"/>
    </w:p>
    <w:p w14:paraId="43B51103">
      <w:pPr>
        <w:shd w:val="clea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8</w:t>
      </w:r>
      <w:r>
        <w:rPr>
          <w:rFonts w:hint="eastAsia" w:ascii="宋体" w:hAnsi="宋体" w:cs="宋体"/>
          <w:b/>
          <w:bCs/>
          <w:color w:val="000000" w:themeColor="text1"/>
          <w:szCs w:val="21"/>
          <w:highlight w:val="none"/>
          <w:lang w:val="zh-CN"/>
          <w14:textFill>
            <w14:solidFill>
              <w14:schemeClr w14:val="tx1"/>
            </w14:solidFill>
          </w14:textFill>
        </w:rPr>
        <w:t>、响应文件签署</w:t>
      </w:r>
    </w:p>
    <w:p w14:paraId="564F9A61">
      <w:pPr>
        <w:shd w:val="clea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8</w:t>
      </w:r>
      <w:r>
        <w:rPr>
          <w:rFonts w:hint="eastAsia" w:ascii="宋体" w:hAnsi="宋体" w:cs="宋体"/>
          <w:color w:val="000000" w:themeColor="text1"/>
          <w:szCs w:val="21"/>
          <w:highlight w:val="none"/>
          <w:lang w:val="zh-CN"/>
          <w14:textFill>
            <w14:solidFill>
              <w14:schemeClr w14:val="tx1"/>
            </w14:solidFill>
          </w14:textFill>
        </w:rPr>
        <w:t>.1 响应文件应由供应商法定代表人或授权代表签字，并加盖公章。</w:t>
      </w:r>
    </w:p>
    <w:p w14:paraId="1BD4C92D">
      <w:pPr>
        <w:shd w:val="clea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8</w:t>
      </w:r>
      <w:r>
        <w:rPr>
          <w:rFonts w:hint="eastAsia" w:ascii="宋体" w:hAnsi="宋体" w:cs="宋体"/>
          <w:color w:val="000000" w:themeColor="text1"/>
          <w:szCs w:val="21"/>
          <w:highlight w:val="none"/>
          <w:lang w:val="zh-CN"/>
          <w14:textFill>
            <w14:solidFill>
              <w14:schemeClr w14:val="tx1"/>
            </w14:solidFill>
          </w14:textFill>
        </w:rPr>
        <w:t>.2供应商应当在磋商文件要求提交响应文件的截止时间前，将响应文件密封送达指定地点。</w:t>
      </w:r>
    </w:p>
    <w:p w14:paraId="6C5F0F2B">
      <w:pPr>
        <w:shd w:val="clea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8</w:t>
      </w:r>
      <w:r>
        <w:rPr>
          <w:rFonts w:hint="eastAsia" w:ascii="宋体" w:hAnsi="宋体" w:cs="宋体"/>
          <w:bCs/>
          <w:color w:val="000000" w:themeColor="text1"/>
          <w:szCs w:val="21"/>
          <w:highlight w:val="none"/>
          <w:lang w:val="zh-CN"/>
          <w14:textFill>
            <w14:solidFill>
              <w14:schemeClr w14:val="tx1"/>
            </w14:solidFill>
          </w14:textFill>
        </w:rPr>
        <w:t xml:space="preserve">.3 </w:t>
      </w:r>
      <w:r>
        <w:rPr>
          <w:rFonts w:hint="eastAsia" w:ascii="宋体" w:hAnsi="宋体" w:cs="宋体"/>
          <w:b/>
          <w:bCs/>
          <w:color w:val="000000" w:themeColor="text1"/>
          <w:szCs w:val="21"/>
          <w:highlight w:val="none"/>
          <w:lang w:val="zh-CN"/>
          <w14:textFill>
            <w14:solidFill>
              <w14:schemeClr w14:val="tx1"/>
            </w14:solidFill>
          </w14:textFill>
        </w:rPr>
        <w:t>有下列情形之一的响应文件将拒收：</w:t>
      </w:r>
    </w:p>
    <w:p w14:paraId="01A6EE72">
      <w:pPr>
        <w:shd w:val="clea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（1）在磋商文件要求提交响应文件的截止时间之后送达的等。</w:t>
      </w:r>
    </w:p>
    <w:p w14:paraId="5D9C29D5">
      <w:pPr>
        <w:shd w:val="clear"/>
        <w:autoSpaceDE w:val="0"/>
        <w:autoSpaceDN w:val="0"/>
        <w:adjustRightInd w:val="0"/>
        <w:snapToGrid w:val="0"/>
        <w:spacing w:line="259" w:lineRule="auto"/>
        <w:ind w:firstLine="422"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四、磋商</w:t>
      </w:r>
    </w:p>
    <w:p w14:paraId="0BD603BF">
      <w:pPr>
        <w:shd w:val="clear"/>
        <w:autoSpaceDE w:val="0"/>
        <w:autoSpaceDN w:val="0"/>
        <w:adjustRightInd w:val="0"/>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9</w:t>
      </w:r>
      <w:r>
        <w:rPr>
          <w:rFonts w:hint="eastAsia" w:ascii="宋体" w:hAnsi="宋体" w:cs="宋体"/>
          <w:b/>
          <w:bCs/>
          <w:color w:val="000000" w:themeColor="text1"/>
          <w:szCs w:val="21"/>
          <w:highlight w:val="none"/>
          <w:lang w:val="zh-CN"/>
          <w14:textFill>
            <w14:solidFill>
              <w14:schemeClr w14:val="tx1"/>
            </w14:solidFill>
          </w14:textFill>
        </w:rPr>
        <w:t>、联合体</w:t>
      </w:r>
    </w:p>
    <w:p w14:paraId="6F1E57D0">
      <w:pPr>
        <w:shd w:val="clear"/>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kern w:val="0"/>
          <w:szCs w:val="21"/>
          <w:highlight w:val="none"/>
          <w14:textFill>
            <w14:solidFill>
              <w14:schemeClr w14:val="tx1"/>
            </w14:solidFill>
          </w14:textFill>
        </w:rPr>
        <w:t>9.1</w:t>
      </w:r>
      <w:r>
        <w:rPr>
          <w:rFonts w:hint="eastAsia" w:ascii="宋体" w:hAnsi="宋体" w:cs="宋体"/>
          <w:color w:val="000000" w:themeColor="text1"/>
          <w:szCs w:val="21"/>
          <w:highlight w:val="none"/>
          <w14:textFill>
            <w14:solidFill>
              <w14:schemeClr w14:val="tx1"/>
            </w14:solidFill>
          </w14:textFill>
        </w:rPr>
        <w:t>两个以上的自然人、法人或者其他组织可以组成一个联合体，以一个供应商的身份共同参加政府采购。</w:t>
      </w:r>
    </w:p>
    <w:p w14:paraId="1CB22AB2">
      <w:pPr>
        <w:shd w:val="clear"/>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9.2</w:t>
      </w:r>
      <w:r>
        <w:rPr>
          <w:rFonts w:hint="eastAsia" w:ascii="宋体" w:hAnsi="宋体" w:cs="宋体"/>
          <w:color w:val="000000" w:themeColor="text1"/>
          <w:kern w:val="0"/>
          <w:szCs w:val="21"/>
          <w:highlight w:val="none"/>
          <w14:textFill>
            <w14:solidFill>
              <w14:schemeClr w14:val="tx1"/>
            </w14:solidFill>
          </w14:textFill>
        </w:rPr>
        <w:t>鼓励大中型企业和其他自然人、法人或者其他组织与小型、微型企业组成联合体共同参加非专门面向中小企业的政府采购活动。</w:t>
      </w:r>
    </w:p>
    <w:p w14:paraId="4CF5352B">
      <w:pPr>
        <w:shd w:val="clear"/>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9.3以联合体形式参加采购的，</w:t>
      </w:r>
      <w:r>
        <w:rPr>
          <w:rFonts w:hint="eastAsia" w:ascii="宋体" w:hAnsi="宋体" w:cs="宋体"/>
          <w:b/>
          <w:color w:val="000000" w:themeColor="text1"/>
          <w:szCs w:val="21"/>
          <w:highlight w:val="none"/>
          <w14:textFill>
            <w14:solidFill>
              <w14:schemeClr w14:val="tx1"/>
            </w14:solidFill>
          </w14:textFill>
        </w:rPr>
        <w:t>联合体各方均应当符合政府采购法第二十二条第一款规定的</w:t>
      </w:r>
      <w:r>
        <w:rPr>
          <w:rFonts w:hint="eastAsia" w:ascii="宋体" w:hAnsi="宋体" w:cs="宋体"/>
          <w:b/>
          <w:color w:val="000000" w:themeColor="text1"/>
          <w:highlight w:val="none"/>
          <w14:textFill>
            <w14:solidFill>
              <w14:schemeClr w14:val="tx1"/>
            </w14:solidFill>
          </w14:textFill>
        </w:rPr>
        <w:t>条件；采购人根据采购项目的特殊要求规定供应商特定条件的，联合体各方中至少应当有一方符合采购人规定的特定条件</w:t>
      </w:r>
      <w:r>
        <w:rPr>
          <w:rFonts w:hint="eastAsia" w:ascii="宋体" w:hAnsi="宋体" w:cs="宋体"/>
          <w:color w:val="000000" w:themeColor="text1"/>
          <w:highlight w:val="none"/>
          <w14:textFill>
            <w14:solidFill>
              <w14:schemeClr w14:val="tx1"/>
            </w14:solidFill>
          </w14:textFill>
        </w:rPr>
        <w:t>。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p>
    <w:p w14:paraId="03592673">
      <w:pPr>
        <w:shd w:val="clear"/>
        <w:autoSpaceDE w:val="0"/>
        <w:autoSpaceDN w:val="0"/>
        <w:adjustRightInd w:val="0"/>
        <w:snapToGrid w:val="0"/>
        <w:spacing w:line="259" w:lineRule="auto"/>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9.4 联合体各方之间应当签订联合体协议，明确约定联合体各方承担的工作和相应的责任，并将联合体协议连同响应文件一并提交。</w:t>
      </w:r>
    </w:p>
    <w:p w14:paraId="2EFC21C4">
      <w:pPr>
        <w:shd w:val="clea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9.5 以联合体形式参加政府采购活动的，联合体各方不得再单独参加或者与其他供应商另外组成联合体参加同一合同项下的政府采购活动。</w:t>
      </w:r>
    </w:p>
    <w:p w14:paraId="6FEB3DBD">
      <w:pPr>
        <w:shd w:val="clea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1</w:t>
      </w:r>
      <w:r>
        <w:rPr>
          <w:rFonts w:hint="eastAsia" w:ascii="宋体" w:hAnsi="宋体" w:cs="宋体"/>
          <w:b/>
          <w:bCs/>
          <w:color w:val="000000" w:themeColor="text1"/>
          <w:szCs w:val="21"/>
          <w:highlight w:val="none"/>
          <w14:textFill>
            <w14:solidFill>
              <w14:schemeClr w14:val="tx1"/>
            </w14:solidFill>
          </w14:textFill>
        </w:rPr>
        <w:t>0</w:t>
      </w:r>
      <w:r>
        <w:rPr>
          <w:rFonts w:hint="eastAsia" w:ascii="宋体" w:hAnsi="宋体" w:cs="宋体"/>
          <w:b/>
          <w:bCs/>
          <w:color w:val="000000" w:themeColor="text1"/>
          <w:szCs w:val="21"/>
          <w:highlight w:val="none"/>
          <w:lang w:val="zh-CN"/>
          <w14:textFill>
            <w14:solidFill>
              <w14:schemeClr w14:val="tx1"/>
            </w14:solidFill>
          </w14:textFill>
        </w:rPr>
        <w:t>、磋商组织</w:t>
      </w:r>
    </w:p>
    <w:p w14:paraId="18B92FF5">
      <w:pPr>
        <w:shd w:val="clea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0</w:t>
      </w:r>
      <w:r>
        <w:rPr>
          <w:rFonts w:hint="eastAsia" w:ascii="宋体" w:hAnsi="宋体" w:cs="宋体"/>
          <w:color w:val="000000" w:themeColor="text1"/>
          <w:szCs w:val="21"/>
          <w:highlight w:val="none"/>
          <w:lang w:val="zh-CN"/>
          <w14:textFill>
            <w14:solidFill>
              <w14:schemeClr w14:val="tx1"/>
            </w14:solidFill>
          </w14:textFill>
        </w:rPr>
        <w:t>.1 在提交响应文件时间截止后，代理机构在规定的时间和地点组织磋商小组分别与供应商进行磋商。</w:t>
      </w:r>
    </w:p>
    <w:p w14:paraId="4BE17DA8">
      <w:pPr>
        <w:shd w:val="clea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0</w:t>
      </w:r>
      <w:r>
        <w:rPr>
          <w:rFonts w:hint="eastAsia" w:ascii="宋体" w:hAnsi="宋体" w:cs="宋体"/>
          <w:color w:val="000000" w:themeColor="text1"/>
          <w:szCs w:val="21"/>
          <w:highlight w:val="none"/>
          <w:lang w:val="zh-CN"/>
          <w14:textFill>
            <w14:solidFill>
              <w14:schemeClr w14:val="tx1"/>
            </w14:solidFill>
          </w14:textFill>
        </w:rPr>
        <w:t>.2 磋商工作由代理机构负责组织，具体磋商事务由依法组建的磋商小组负责。</w:t>
      </w:r>
    </w:p>
    <w:p w14:paraId="357456E1">
      <w:pPr>
        <w:shd w:val="clear"/>
        <w:autoSpaceDE w:val="0"/>
        <w:autoSpaceDN w:val="0"/>
        <w:adjustRightInd w:val="0"/>
        <w:snapToGrid w:val="0"/>
        <w:spacing w:line="259" w:lineRule="auto"/>
        <w:ind w:firstLine="420"/>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1</w:t>
      </w:r>
      <w:r>
        <w:rPr>
          <w:rFonts w:hint="eastAsia" w:ascii="宋体" w:hAnsi="宋体" w:cs="宋体"/>
          <w:b/>
          <w:color w:val="000000" w:themeColor="text1"/>
          <w:szCs w:val="21"/>
          <w:highlight w:val="none"/>
          <w14:textFill>
            <w14:solidFill>
              <w14:schemeClr w14:val="tx1"/>
            </w14:solidFill>
          </w14:textFill>
        </w:rPr>
        <w:t>1</w:t>
      </w:r>
      <w:r>
        <w:rPr>
          <w:rFonts w:hint="eastAsia" w:ascii="宋体" w:hAnsi="宋体" w:cs="宋体"/>
          <w:b/>
          <w:color w:val="000000" w:themeColor="text1"/>
          <w:szCs w:val="21"/>
          <w:highlight w:val="none"/>
          <w:lang w:val="zh-CN"/>
          <w14:textFill>
            <w14:solidFill>
              <w14:schemeClr w14:val="tx1"/>
            </w14:solidFill>
          </w14:textFill>
        </w:rPr>
        <w:t>、磋商程序</w:t>
      </w:r>
    </w:p>
    <w:p w14:paraId="0CB29768">
      <w:pPr>
        <w:shd w:val="clea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1</w:t>
      </w:r>
      <w:r>
        <w:rPr>
          <w:rFonts w:hint="eastAsia" w:ascii="宋体" w:hAnsi="宋体" w:cs="宋体"/>
          <w:color w:val="000000" w:themeColor="text1"/>
          <w:szCs w:val="21"/>
          <w:highlight w:val="none"/>
          <w:lang w:val="zh-CN"/>
          <w14:textFill>
            <w14:solidFill>
              <w14:schemeClr w14:val="tx1"/>
            </w14:solidFill>
          </w14:textFill>
        </w:rPr>
        <w:t>.1 磋商小组评审供应商所递交的响应性文件，</w:t>
      </w:r>
      <w:r>
        <w:rPr>
          <w:rFonts w:hint="eastAsia" w:ascii="宋体" w:hAnsi="宋体" w:cs="宋体"/>
          <w:color w:val="000000" w:themeColor="text1"/>
          <w:highlight w:val="none"/>
          <w14:textFill>
            <w14:solidFill>
              <w14:schemeClr w14:val="tx1"/>
            </w14:solidFill>
          </w14:textFill>
        </w:rPr>
        <w:t>并根据磋商文件规定的程序、评定成交的标准等事项与实质性响应磋商文件要求的供应商进行磋商。未实质性响应磋商文件的响应文件按无效处理，磋商小组应将告知有关供应商。</w:t>
      </w:r>
    </w:p>
    <w:p w14:paraId="4888F4B1">
      <w:pPr>
        <w:shd w:val="clea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1</w:t>
      </w:r>
      <w:r>
        <w:rPr>
          <w:rFonts w:hint="eastAsia" w:ascii="宋体" w:hAnsi="宋体" w:cs="宋体"/>
          <w:color w:val="000000" w:themeColor="text1"/>
          <w:szCs w:val="21"/>
          <w:highlight w:val="none"/>
          <w:lang w:val="zh-CN"/>
          <w14:textFill>
            <w14:solidFill>
              <w14:schemeClr w14:val="tx1"/>
            </w14:solidFill>
          </w14:textFill>
        </w:rPr>
        <w:t>.2 磋商小组所有成员集中与单一供应商分别进行磋商，所有参加磋商的供应商均有同等的磋商机会。</w:t>
      </w:r>
    </w:p>
    <w:p w14:paraId="2819084A">
      <w:pPr>
        <w:shd w:val="clea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11</w:t>
      </w:r>
      <w:r>
        <w:rPr>
          <w:rFonts w:hint="eastAsia" w:ascii="宋体" w:hAnsi="宋体" w:cs="宋体"/>
          <w:color w:val="000000" w:themeColor="text1"/>
          <w:szCs w:val="21"/>
          <w:highlight w:val="none"/>
          <w:lang w:val="zh-CN"/>
          <w14:textFill>
            <w14:solidFill>
              <w14:schemeClr w14:val="tx1"/>
            </w14:solidFill>
          </w14:textFill>
        </w:rPr>
        <w:t>.3 磋商过程中，磋商小组根据磋商文件和磋商情况可能实质性变动采购需求中的技术、服务要求以及合同草案条款。实质性变动是磋商文件的有效组成部分，磋商小组将以书面形式通知所有参加磋商的供应商。</w:t>
      </w:r>
      <w:r>
        <w:rPr>
          <w:rFonts w:hint="eastAsia" w:ascii="宋体" w:hAnsi="宋体" w:cs="宋体"/>
          <w:b/>
          <w:color w:val="000000" w:themeColor="text1"/>
          <w:szCs w:val="21"/>
          <w:highlight w:val="none"/>
          <w:lang w:val="zh-CN"/>
          <w14:textFill>
            <w14:solidFill>
              <w14:schemeClr w14:val="tx1"/>
            </w14:solidFill>
          </w14:textFill>
        </w:rPr>
        <w:t>用“★”加注或特别说明的内容为实质性要求。</w:t>
      </w:r>
    </w:p>
    <w:p w14:paraId="468556ED">
      <w:pPr>
        <w:shd w:val="clea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11</w:t>
      </w:r>
      <w:r>
        <w:rPr>
          <w:rFonts w:hint="eastAsia" w:ascii="宋体" w:hAnsi="宋体" w:cs="宋体"/>
          <w:color w:val="000000" w:themeColor="text1"/>
          <w:szCs w:val="21"/>
          <w:highlight w:val="none"/>
          <w:lang w:val="zh-CN"/>
          <w14:textFill>
            <w14:solidFill>
              <w14:schemeClr w14:val="tx1"/>
            </w14:solidFill>
          </w14:textFill>
        </w:rPr>
        <w:t>.4 供应商应当按照磋商文件的变动情况和磋商小组的要求重新提交响应文件，并由其法定代表人或授权代表签字或者加盖公章。</w:t>
      </w:r>
    </w:p>
    <w:p w14:paraId="2773765E">
      <w:pPr>
        <w:shd w:val="clea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11</w:t>
      </w:r>
      <w:r>
        <w:rPr>
          <w:rFonts w:hint="eastAsia" w:ascii="宋体" w:hAnsi="宋体" w:cs="宋体"/>
          <w:color w:val="000000" w:themeColor="text1"/>
          <w:szCs w:val="21"/>
          <w:highlight w:val="none"/>
          <w:lang w:val="zh-CN"/>
          <w14:textFill>
            <w14:solidFill>
              <w14:schemeClr w14:val="tx1"/>
            </w14:solidFill>
          </w14:textFill>
        </w:rPr>
        <w:t>.5 磋商结束后，磋商小组将要求所有继续参加磋商的供应商在规定时间内提交最后报价。最后报价由其法定代表人或授权代表签字或者加盖公章，最后报价是供应商响应文件的有效组成部分。</w:t>
      </w:r>
    </w:p>
    <w:p w14:paraId="34BD5A97">
      <w:pPr>
        <w:shd w:val="clear"/>
        <w:adjustRightInd w:val="0"/>
        <w:snapToGrid w:val="0"/>
        <w:spacing w:line="259" w:lineRule="auto"/>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1</w:t>
      </w:r>
      <w:r>
        <w:rPr>
          <w:rFonts w:hint="eastAsia" w:ascii="宋体" w:hAnsi="宋体" w:cs="宋体"/>
          <w:color w:val="000000" w:themeColor="text1"/>
          <w:szCs w:val="21"/>
          <w:highlight w:val="none"/>
          <w:lang w:val="zh-CN"/>
          <w14:textFill>
            <w14:solidFill>
              <w14:schemeClr w14:val="tx1"/>
            </w14:solidFill>
          </w14:textFill>
        </w:rPr>
        <w:t>.6</w:t>
      </w:r>
      <w:r>
        <w:rPr>
          <w:rFonts w:hint="eastAsia" w:ascii="宋体" w:hAnsi="宋体" w:cs="宋体"/>
          <w:color w:val="000000" w:themeColor="text1"/>
          <w:highlight w:val="none"/>
          <w14:textFill>
            <w14:solidFill>
              <w14:schemeClr w14:val="tx1"/>
            </w14:solidFill>
          </w14:textFill>
        </w:rPr>
        <w:t>已提交响应文件的供应商，在提交最后报价之前，可以根据磋商情况退出磋商。退出磋商的供应商，代理机构将退还其磋商保证金。</w:t>
      </w:r>
    </w:p>
    <w:p w14:paraId="42F4C515">
      <w:pPr>
        <w:shd w:val="clear"/>
        <w:adjustRightInd w:val="0"/>
        <w:snapToGrid w:val="0"/>
        <w:spacing w:line="259" w:lineRule="auto"/>
        <w:ind w:firstLine="420" w:firstLineChars="200"/>
        <w:rPr>
          <w:rFonts w:ascii="宋体" w:hAnsi="宋体" w:cs="宋体"/>
          <w:b/>
          <w:color w:val="000000" w:themeColor="text1"/>
          <w:kern w:val="0"/>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1</w:t>
      </w:r>
      <w:r>
        <w:rPr>
          <w:rFonts w:hint="eastAsia" w:ascii="宋体" w:hAnsi="宋体" w:cs="宋体"/>
          <w:color w:val="000000" w:themeColor="text1"/>
          <w:szCs w:val="21"/>
          <w:highlight w:val="none"/>
          <w:lang w:val="zh-CN"/>
          <w14:textFill>
            <w14:solidFill>
              <w14:schemeClr w14:val="tx1"/>
            </w14:solidFill>
          </w14:textFill>
        </w:rPr>
        <w:t>.7 出现下列情形之一的响应文件按照无效处理：</w:t>
      </w:r>
    </w:p>
    <w:p w14:paraId="14721C9E">
      <w:pPr>
        <w:shd w:val="clear"/>
        <w:adjustRightInd w:val="0"/>
        <w:snapToGrid w:val="0"/>
        <w:spacing w:line="259"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w:t>
      </w:r>
      <w:r>
        <w:rPr>
          <w:rFonts w:hint="eastAsia" w:ascii="宋体" w:hAnsi="宋体" w:cs="宋体"/>
          <w:color w:val="000000" w:themeColor="text1"/>
          <w:szCs w:val="21"/>
          <w:highlight w:val="none"/>
          <w:lang w:val="zh-CN"/>
          <w14:textFill>
            <w14:solidFill>
              <w14:schemeClr w14:val="tx1"/>
            </w14:solidFill>
          </w14:textFill>
        </w:rPr>
        <w:t>未按竞争性磋商邀请规定的数额和办法交纳磋商保证金的；</w:t>
      </w:r>
    </w:p>
    <w:p w14:paraId="56DFE31D">
      <w:pPr>
        <w:shd w:val="clear"/>
        <w:adjustRightInd w:val="0"/>
        <w:snapToGrid w:val="0"/>
        <w:spacing w:line="259"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（2）不具备磋商文件中规定资格条件的；</w:t>
      </w:r>
    </w:p>
    <w:p w14:paraId="46FC9A32">
      <w:pPr>
        <w:shd w:val="clear"/>
        <w:adjustRightInd w:val="0"/>
        <w:snapToGrid w:val="0"/>
        <w:spacing w:line="259" w:lineRule="auto"/>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（3）未实质性响应磋商文件要求的；</w:t>
      </w:r>
    </w:p>
    <w:p w14:paraId="0CC21761">
      <w:pPr>
        <w:shd w:val="clear"/>
        <w:autoSpaceDE w:val="0"/>
        <w:autoSpaceDN w:val="0"/>
        <w:adjustRightInd w:val="0"/>
        <w:snapToGrid w:val="0"/>
        <w:spacing w:line="259" w:lineRule="auto"/>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（4）报价低于</w:t>
      </w:r>
      <w:r>
        <w:rPr>
          <w:rFonts w:hint="eastAsia" w:ascii="宋体" w:hAnsi="宋体" w:cs="宋体"/>
          <w:color w:val="000000" w:themeColor="text1"/>
          <w:kern w:val="0"/>
          <w:szCs w:val="21"/>
          <w:highlight w:val="none"/>
          <w:lang w:val="zh-CN"/>
          <w14:textFill>
            <w14:solidFill>
              <w14:schemeClr w14:val="tx1"/>
            </w14:solidFill>
          </w14:textFill>
        </w:rPr>
        <w:t>完成本项目发生的所有含税费用、支付给员工的工资（不得低于供应商所在地最低工资标准）和国家强制缴纳的各种社会保障资金</w:t>
      </w:r>
      <w:r>
        <w:rPr>
          <w:rFonts w:hint="eastAsia" w:ascii="宋体" w:hAnsi="宋体" w:cs="宋体"/>
          <w:bCs/>
          <w:color w:val="000000" w:themeColor="text1"/>
          <w:szCs w:val="21"/>
          <w:highlight w:val="none"/>
          <w14:textFill>
            <w14:solidFill>
              <w14:schemeClr w14:val="tx1"/>
            </w14:solidFill>
          </w14:textFill>
        </w:rPr>
        <w:t>、公积金，以</w:t>
      </w:r>
      <w:r>
        <w:rPr>
          <w:rFonts w:hint="eastAsia" w:ascii="宋体" w:hAnsi="宋体" w:cs="宋体"/>
          <w:color w:val="000000" w:themeColor="text1"/>
          <w:szCs w:val="21"/>
          <w:highlight w:val="none"/>
          <w14:textFill>
            <w14:solidFill>
              <w14:schemeClr w14:val="tx1"/>
            </w14:solidFill>
          </w14:textFill>
        </w:rPr>
        <w:t>及供应商认为需要的其他费用等</w:t>
      </w:r>
      <w:r>
        <w:rPr>
          <w:rFonts w:hint="eastAsia" w:ascii="宋体" w:hAnsi="宋体" w:cs="宋体"/>
          <w:b/>
          <w:color w:val="000000" w:themeColor="text1"/>
          <w:szCs w:val="21"/>
          <w:highlight w:val="none"/>
          <w14:textFill>
            <w14:solidFill>
              <w14:schemeClr w14:val="tx1"/>
            </w14:solidFill>
          </w14:textFill>
        </w:rPr>
        <w:t>。</w:t>
      </w:r>
    </w:p>
    <w:p w14:paraId="50341D6C">
      <w:pPr>
        <w:shd w:val="clea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（5）</w:t>
      </w:r>
      <w:r>
        <w:rPr>
          <w:rFonts w:hint="eastAsia" w:ascii="宋体" w:hAnsi="宋体" w:cs="宋体"/>
          <w:color w:val="000000" w:themeColor="text1"/>
          <w:szCs w:val="21"/>
          <w:highlight w:val="none"/>
          <w:lang w:val="zh-CN"/>
          <w14:textFill>
            <w14:solidFill>
              <w14:schemeClr w14:val="tx1"/>
            </w14:solidFill>
          </w14:textFill>
        </w:rPr>
        <w:t>不符合法律、法规和磋商文件规定的其他实质性要求的。</w:t>
      </w:r>
    </w:p>
    <w:p w14:paraId="750D8B81">
      <w:pPr>
        <w:shd w:val="clear"/>
        <w:autoSpaceDE w:val="0"/>
        <w:autoSpaceDN w:val="0"/>
        <w:adjustRightInd w:val="0"/>
        <w:snapToGrid w:val="0"/>
        <w:spacing w:line="259" w:lineRule="auto"/>
        <w:ind w:firstLine="420"/>
        <w:outlineLvl w:val="9"/>
        <w:rPr>
          <w:rFonts w:ascii="宋体" w:hAnsi="宋体" w:cs="宋体"/>
          <w:b/>
          <w:bCs/>
          <w:color w:val="000000" w:themeColor="text1"/>
          <w:szCs w:val="21"/>
          <w:highlight w:val="none"/>
          <w14:textFill>
            <w14:solidFill>
              <w14:schemeClr w14:val="tx1"/>
            </w14:solidFill>
          </w14:textFill>
        </w:rPr>
      </w:pPr>
      <w:bookmarkStart w:id="46" w:name="_Toc7279"/>
      <w:bookmarkStart w:id="47" w:name="_Toc9770"/>
      <w:bookmarkStart w:id="48" w:name="_Toc22209"/>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1</w:t>
      </w:r>
      <w:r>
        <w:rPr>
          <w:rFonts w:hint="eastAsia" w:ascii="宋体" w:hAnsi="宋体" w:cs="宋体"/>
          <w:color w:val="000000" w:themeColor="text1"/>
          <w:szCs w:val="21"/>
          <w:highlight w:val="none"/>
          <w:lang w:val="zh-CN"/>
          <w14:textFill>
            <w14:solidFill>
              <w14:schemeClr w14:val="tx1"/>
            </w14:solidFill>
          </w14:textFill>
        </w:rPr>
        <w:t xml:space="preserve">.8 </w:t>
      </w:r>
      <w:r>
        <w:rPr>
          <w:rFonts w:hint="eastAsia" w:ascii="宋体" w:hAnsi="宋体" w:cs="宋体"/>
          <w:b/>
          <w:bCs/>
          <w:color w:val="000000" w:themeColor="text1"/>
          <w:szCs w:val="21"/>
          <w:highlight w:val="none"/>
          <w14:textFill>
            <w14:solidFill>
              <w14:schemeClr w14:val="tx1"/>
            </w14:solidFill>
          </w14:textFill>
        </w:rPr>
        <w:t>出现下列情形之一的，磋商终止：</w:t>
      </w:r>
      <w:bookmarkEnd w:id="46"/>
      <w:bookmarkEnd w:id="47"/>
      <w:bookmarkEnd w:id="48"/>
    </w:p>
    <w:p w14:paraId="3195DA39">
      <w:pPr>
        <w:shd w:val="clear"/>
        <w:autoSpaceDE w:val="0"/>
        <w:autoSpaceDN w:val="0"/>
        <w:adjustRightInd w:val="0"/>
        <w:snapToGrid w:val="0"/>
        <w:spacing w:line="259" w:lineRule="auto"/>
        <w:ind w:firstLine="420"/>
        <w:outlineLvl w:val="9"/>
        <w:rPr>
          <w:rFonts w:ascii="宋体" w:hAnsi="宋体" w:cs="宋体"/>
          <w:bCs/>
          <w:color w:val="000000" w:themeColor="text1"/>
          <w:szCs w:val="21"/>
          <w:highlight w:val="none"/>
          <w:lang w:val="zh-CN"/>
          <w14:textFill>
            <w14:solidFill>
              <w14:schemeClr w14:val="tx1"/>
            </w14:solidFill>
          </w14:textFill>
        </w:rPr>
      </w:pPr>
      <w:bookmarkStart w:id="49" w:name="_Toc10392"/>
      <w:bookmarkStart w:id="50" w:name="_Toc8891"/>
      <w:bookmarkStart w:id="51" w:name="_Toc7084"/>
      <w:r>
        <w:rPr>
          <w:rFonts w:hint="eastAsia" w:ascii="宋体" w:hAnsi="宋体" w:cs="宋体"/>
          <w:bCs/>
          <w:color w:val="000000" w:themeColor="text1"/>
          <w:szCs w:val="21"/>
          <w:highlight w:val="none"/>
          <w:lang w:val="zh-CN"/>
          <w14:textFill>
            <w14:solidFill>
              <w14:schemeClr w14:val="tx1"/>
            </w14:solidFill>
          </w14:textFill>
        </w:rPr>
        <w:t>（1）因情况变化，不再符合规定的竞争性磋商采购方式适用情形的；</w:t>
      </w:r>
      <w:bookmarkEnd w:id="49"/>
      <w:bookmarkEnd w:id="50"/>
      <w:bookmarkEnd w:id="51"/>
    </w:p>
    <w:p w14:paraId="036D40BA">
      <w:pPr>
        <w:shd w:val="clear"/>
        <w:autoSpaceDE w:val="0"/>
        <w:autoSpaceDN w:val="0"/>
        <w:adjustRightInd w:val="0"/>
        <w:snapToGrid w:val="0"/>
        <w:spacing w:line="259" w:lineRule="auto"/>
        <w:ind w:firstLine="420"/>
        <w:outlineLvl w:val="9"/>
        <w:rPr>
          <w:rFonts w:ascii="宋体" w:hAnsi="宋体" w:cs="宋体"/>
          <w:b/>
          <w:bCs/>
          <w:color w:val="000000" w:themeColor="text1"/>
          <w:szCs w:val="21"/>
          <w:highlight w:val="none"/>
          <w:lang w:val="zh-CN"/>
          <w14:textFill>
            <w14:solidFill>
              <w14:schemeClr w14:val="tx1"/>
            </w14:solidFill>
          </w14:textFill>
        </w:rPr>
      </w:pPr>
      <w:bookmarkStart w:id="52" w:name="_Toc8015"/>
      <w:bookmarkStart w:id="53" w:name="_Toc12052"/>
      <w:bookmarkStart w:id="54" w:name="_Toc19855"/>
      <w:r>
        <w:rPr>
          <w:rFonts w:hint="eastAsia" w:ascii="宋体" w:hAnsi="宋体" w:cs="宋体"/>
          <w:b/>
          <w:bCs/>
          <w:color w:val="000000" w:themeColor="text1"/>
          <w:szCs w:val="21"/>
          <w:highlight w:val="none"/>
          <w:lang w:val="zh-CN"/>
          <w14:textFill>
            <w14:solidFill>
              <w14:schemeClr w14:val="tx1"/>
            </w14:solidFill>
          </w14:textFill>
        </w:rPr>
        <w:t>（2）所有供应商的响应文件被磋商小组认定为无效的；</w:t>
      </w:r>
      <w:bookmarkEnd w:id="52"/>
      <w:bookmarkEnd w:id="53"/>
      <w:bookmarkEnd w:id="54"/>
    </w:p>
    <w:p w14:paraId="79F87B56">
      <w:pPr>
        <w:shd w:val="clear"/>
        <w:autoSpaceDE w:val="0"/>
        <w:autoSpaceDN w:val="0"/>
        <w:adjustRightInd w:val="0"/>
        <w:snapToGrid w:val="0"/>
        <w:spacing w:line="259" w:lineRule="auto"/>
        <w:ind w:firstLine="420"/>
        <w:outlineLvl w:val="9"/>
        <w:rPr>
          <w:rFonts w:ascii="宋体" w:hAnsi="宋体" w:cs="宋体"/>
          <w:b/>
          <w:bCs/>
          <w:color w:val="000000" w:themeColor="text1"/>
          <w:szCs w:val="21"/>
          <w:highlight w:val="none"/>
          <w:lang w:val="zh-CN"/>
          <w14:textFill>
            <w14:solidFill>
              <w14:schemeClr w14:val="tx1"/>
            </w14:solidFill>
          </w14:textFill>
        </w:rPr>
      </w:pPr>
      <w:bookmarkStart w:id="55" w:name="_Toc15484"/>
      <w:bookmarkStart w:id="56" w:name="_Toc25730"/>
      <w:bookmarkStart w:id="57" w:name="_Toc3334"/>
      <w:r>
        <w:rPr>
          <w:rFonts w:hint="eastAsia" w:ascii="宋体" w:hAnsi="宋体" w:cs="宋体"/>
          <w:bCs/>
          <w:color w:val="000000" w:themeColor="text1"/>
          <w:szCs w:val="21"/>
          <w:highlight w:val="none"/>
          <w:lang w:val="zh-CN"/>
          <w14:textFill>
            <w14:solidFill>
              <w14:schemeClr w14:val="tx1"/>
            </w14:solidFill>
          </w14:textFill>
        </w:rPr>
        <w:t>（3）</w:t>
      </w:r>
      <w:r>
        <w:rPr>
          <w:rFonts w:hint="eastAsia" w:ascii="宋体" w:hAnsi="宋体" w:cs="宋体"/>
          <w:color w:val="000000" w:themeColor="text1"/>
          <w:szCs w:val="21"/>
          <w:highlight w:val="none"/>
          <w:lang w:val="zh-CN"/>
          <w14:textFill>
            <w14:solidFill>
              <w14:schemeClr w14:val="tx1"/>
            </w14:solidFill>
          </w14:textFill>
        </w:rPr>
        <w:t>出现影响采购公正的违法、违规行为的；</w:t>
      </w:r>
      <w:bookmarkEnd w:id="55"/>
      <w:bookmarkEnd w:id="56"/>
      <w:bookmarkEnd w:id="57"/>
    </w:p>
    <w:p w14:paraId="11B1FF7C">
      <w:pPr>
        <w:shd w:val="clear"/>
        <w:autoSpaceDE w:val="0"/>
        <w:autoSpaceDN w:val="0"/>
        <w:adjustRightInd w:val="0"/>
        <w:snapToGrid w:val="0"/>
        <w:spacing w:line="259" w:lineRule="auto"/>
        <w:ind w:firstLine="420"/>
        <w:outlineLvl w:val="9"/>
        <w:rPr>
          <w:rFonts w:ascii="宋体" w:hAnsi="宋体" w:cs="宋体"/>
          <w:b/>
          <w:bCs/>
          <w:color w:val="000000" w:themeColor="text1"/>
          <w:szCs w:val="21"/>
          <w:highlight w:val="none"/>
          <w:lang w:val="zh-CN"/>
          <w14:textFill>
            <w14:solidFill>
              <w14:schemeClr w14:val="tx1"/>
            </w14:solidFill>
          </w14:textFill>
        </w:rPr>
      </w:pPr>
      <w:bookmarkStart w:id="58" w:name="_Toc3807"/>
      <w:bookmarkStart w:id="59" w:name="_Toc20202"/>
      <w:bookmarkStart w:id="60" w:name="_Toc10131"/>
      <w:r>
        <w:rPr>
          <w:rFonts w:hint="eastAsia" w:ascii="宋体" w:hAnsi="宋体" w:cs="宋体"/>
          <w:bCs/>
          <w:color w:val="000000" w:themeColor="text1"/>
          <w:szCs w:val="21"/>
          <w:highlight w:val="none"/>
          <w:lang w:val="zh-CN"/>
          <w14:textFill>
            <w14:solidFill>
              <w14:schemeClr w14:val="tx1"/>
            </w14:solidFill>
          </w14:textFill>
        </w:rPr>
        <w:t>（4）</w:t>
      </w:r>
      <w:r>
        <w:rPr>
          <w:rFonts w:hint="eastAsia" w:ascii="宋体" w:hAnsi="宋体" w:cs="宋体"/>
          <w:b/>
          <w:bCs/>
          <w:color w:val="000000" w:themeColor="text1"/>
          <w:szCs w:val="21"/>
          <w:highlight w:val="none"/>
          <w:lang w:val="zh-CN"/>
          <w14:textFill>
            <w14:solidFill>
              <w14:schemeClr w14:val="tx1"/>
            </w14:solidFill>
          </w14:textFill>
        </w:rPr>
        <w:t>供应商的最终报价超过采购预算的；</w:t>
      </w:r>
      <w:bookmarkEnd w:id="58"/>
      <w:bookmarkEnd w:id="59"/>
      <w:bookmarkEnd w:id="60"/>
    </w:p>
    <w:p w14:paraId="377C0AD1">
      <w:pPr>
        <w:shd w:val="clear"/>
        <w:autoSpaceDE w:val="0"/>
        <w:autoSpaceDN w:val="0"/>
        <w:adjustRightInd w:val="0"/>
        <w:snapToGrid w:val="0"/>
        <w:spacing w:line="259" w:lineRule="auto"/>
        <w:ind w:firstLine="420"/>
        <w:outlineLvl w:val="9"/>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（5）因重大变故，采购任务取消的；</w:t>
      </w:r>
    </w:p>
    <w:p w14:paraId="38049009">
      <w:pPr>
        <w:shd w:val="clear"/>
        <w:autoSpaceDE w:val="0"/>
        <w:autoSpaceDN w:val="0"/>
        <w:adjustRightInd w:val="0"/>
        <w:snapToGrid w:val="0"/>
        <w:spacing w:line="259" w:lineRule="auto"/>
        <w:ind w:firstLine="420"/>
        <w:outlineLvl w:val="9"/>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（6）采购人需求发生重大变化暂时不能确定或供应商提供的服务不能满足需求等。</w:t>
      </w:r>
    </w:p>
    <w:p w14:paraId="40E52703">
      <w:pPr>
        <w:shd w:val="clear"/>
        <w:autoSpaceDE w:val="0"/>
        <w:autoSpaceDN w:val="0"/>
        <w:adjustRightInd w:val="0"/>
        <w:snapToGrid w:val="0"/>
        <w:spacing w:line="259" w:lineRule="auto"/>
        <w:ind w:firstLine="420"/>
        <w:outlineLvl w:val="9"/>
        <w:rPr>
          <w:rFonts w:ascii="宋体" w:hAnsi="宋体" w:cs="宋体"/>
          <w:bCs/>
          <w:color w:val="000000" w:themeColor="text1"/>
          <w:szCs w:val="21"/>
          <w:highlight w:val="none"/>
          <w:lang w:val="zh-CN"/>
          <w14:textFill>
            <w14:solidFill>
              <w14:schemeClr w14:val="tx1"/>
            </w14:solidFill>
          </w14:textFill>
        </w:rPr>
      </w:pPr>
      <w:bookmarkStart w:id="61" w:name="_Toc14932"/>
      <w:bookmarkStart w:id="62" w:name="_Toc12721"/>
      <w:bookmarkStart w:id="63" w:name="_Toc18872"/>
      <w:r>
        <w:rPr>
          <w:rFonts w:hint="eastAsia" w:ascii="宋体" w:hAnsi="宋体" w:cs="宋体"/>
          <w:bCs/>
          <w:color w:val="000000" w:themeColor="text1"/>
          <w:szCs w:val="21"/>
          <w:highlight w:val="none"/>
          <w14:textFill>
            <w14:solidFill>
              <w14:schemeClr w14:val="tx1"/>
            </w14:solidFill>
          </w14:textFill>
        </w:rPr>
        <w:t>11.9</w:t>
      </w:r>
      <w:r>
        <w:rPr>
          <w:rFonts w:hint="eastAsia" w:ascii="宋体" w:hAnsi="宋体" w:cs="宋体"/>
          <w:bCs/>
          <w:color w:val="000000" w:themeColor="text1"/>
          <w:szCs w:val="21"/>
          <w:highlight w:val="none"/>
          <w:lang w:val="zh-CN"/>
          <w14:textFill>
            <w14:solidFill>
              <w14:schemeClr w14:val="tx1"/>
            </w14:solidFill>
          </w14:textFill>
        </w:rPr>
        <w:t xml:space="preserve"> 根据《关于印发中国药科大学采购若干实施细则的通知》（药大标〔2018〕017号）附件2第十七条：单项预算不足100万元的工程及工程中的货物，不足50万元的工程服务项目，除采取单一来源方式外，原则上应有不少于三家供应商投标或响应；如出现不足三家的情形，可按如下规定处理：</w:t>
      </w:r>
      <w:bookmarkEnd w:id="61"/>
      <w:bookmarkEnd w:id="62"/>
      <w:bookmarkEnd w:id="63"/>
    </w:p>
    <w:p w14:paraId="312B7814">
      <w:pPr>
        <w:shd w:val="clear"/>
        <w:autoSpaceDE w:val="0"/>
        <w:autoSpaceDN w:val="0"/>
        <w:adjustRightInd w:val="0"/>
        <w:snapToGrid w:val="0"/>
        <w:spacing w:line="259" w:lineRule="auto"/>
        <w:ind w:firstLine="420"/>
        <w:outlineLvl w:val="9"/>
        <w:rPr>
          <w:rFonts w:ascii="宋体" w:hAnsi="宋体" w:cs="宋体"/>
          <w:bCs/>
          <w:color w:val="000000" w:themeColor="text1"/>
          <w:szCs w:val="21"/>
          <w:highlight w:val="none"/>
          <w:lang w:val="zh-CN"/>
          <w14:textFill>
            <w14:solidFill>
              <w14:schemeClr w14:val="tx1"/>
            </w14:solidFill>
          </w14:textFill>
        </w:rPr>
      </w:pPr>
      <w:bookmarkStart w:id="64" w:name="_Toc21283"/>
      <w:bookmarkStart w:id="65" w:name="_Toc29531"/>
      <w:bookmarkStart w:id="66" w:name="_Toc23981"/>
      <w:r>
        <w:rPr>
          <w:rFonts w:hint="eastAsia" w:ascii="宋体" w:hAnsi="宋体" w:cs="宋体"/>
          <w:bCs/>
          <w:color w:val="000000" w:themeColor="text1"/>
          <w:szCs w:val="21"/>
          <w:highlight w:val="none"/>
          <w:lang w:val="zh-CN"/>
          <w14:textFill>
            <w14:solidFill>
              <w14:schemeClr w14:val="tx1"/>
            </w14:solidFill>
          </w14:textFill>
        </w:rPr>
        <w:t>（一）报名时间截止时，报名单位不足三家的，延长报名时间，继续接受报名，延长的报名时间不得少于原报名时间。</w:t>
      </w:r>
      <w:bookmarkEnd w:id="64"/>
      <w:bookmarkEnd w:id="65"/>
      <w:bookmarkEnd w:id="66"/>
    </w:p>
    <w:p w14:paraId="18061B6B">
      <w:pPr>
        <w:shd w:val="clear"/>
        <w:autoSpaceDE w:val="0"/>
        <w:autoSpaceDN w:val="0"/>
        <w:adjustRightInd w:val="0"/>
        <w:snapToGrid w:val="0"/>
        <w:spacing w:line="259" w:lineRule="auto"/>
        <w:ind w:firstLine="420"/>
        <w:outlineLvl w:val="9"/>
        <w:rPr>
          <w:rFonts w:hint="eastAsia" w:ascii="宋体" w:hAnsi="宋体" w:cs="宋体"/>
          <w:bCs/>
          <w:color w:val="000000" w:themeColor="text1"/>
          <w:szCs w:val="21"/>
          <w:highlight w:val="none"/>
          <w:lang w:val="zh-CN"/>
          <w14:textFill>
            <w14:solidFill>
              <w14:schemeClr w14:val="tx1"/>
            </w14:solidFill>
          </w14:textFill>
        </w:rPr>
      </w:pPr>
      <w:bookmarkStart w:id="67" w:name="_Toc1998"/>
      <w:bookmarkStart w:id="68" w:name="_Toc9902"/>
      <w:bookmarkStart w:id="69" w:name="_Toc834"/>
      <w:r>
        <w:rPr>
          <w:rFonts w:hint="eastAsia" w:ascii="宋体" w:hAnsi="宋体" w:cs="宋体"/>
          <w:bCs/>
          <w:color w:val="000000" w:themeColor="text1"/>
          <w:szCs w:val="21"/>
          <w:highlight w:val="none"/>
          <w:lang w:val="zh-CN"/>
          <w14:textFill>
            <w14:solidFill>
              <w14:schemeClr w14:val="tx1"/>
            </w14:solidFill>
          </w14:textFill>
        </w:rPr>
        <w:t>（二）报名满三家，但在投标或响应时间截止时，只有两家单位提交投标或响应文件的，开启投标或响应文件后，评标委员会或评审小组经审核后认为仍能形成有效竞争的，可以按原定评审办法评审。只有一家单位提交投标或响应文件的，应废标并重新发布采购公告。</w:t>
      </w:r>
      <w:bookmarkEnd w:id="67"/>
      <w:bookmarkEnd w:id="68"/>
      <w:bookmarkEnd w:id="69"/>
    </w:p>
    <w:p w14:paraId="136186C9">
      <w:pPr>
        <w:shd w:val="clear"/>
        <w:autoSpaceDE w:val="0"/>
        <w:autoSpaceDN w:val="0"/>
        <w:adjustRightInd w:val="0"/>
        <w:snapToGrid w:val="0"/>
        <w:spacing w:line="259" w:lineRule="auto"/>
        <w:ind w:firstLine="420"/>
        <w:outlineLvl w:val="9"/>
        <w:rPr>
          <w:rFonts w:hint="eastAsia" w:ascii="宋体" w:hAnsi="宋体" w:cs="宋体"/>
          <w:bCs/>
          <w:color w:val="000000" w:themeColor="text1"/>
          <w:szCs w:val="21"/>
          <w:highlight w:val="none"/>
          <w:lang w:val="zh-CN"/>
          <w14:textFill>
            <w14:solidFill>
              <w14:schemeClr w14:val="tx1"/>
            </w14:solidFill>
          </w14:textFill>
        </w:rPr>
      </w:pPr>
      <w:bookmarkStart w:id="70" w:name="_Toc8538"/>
      <w:bookmarkStart w:id="71" w:name="_Toc14285"/>
      <w:bookmarkStart w:id="72" w:name="_Toc24212"/>
      <w:r>
        <w:rPr>
          <w:rFonts w:hint="eastAsia" w:ascii="宋体" w:hAnsi="宋体" w:cs="宋体"/>
          <w:bCs/>
          <w:color w:val="000000" w:themeColor="text1"/>
          <w:szCs w:val="21"/>
          <w:highlight w:val="none"/>
          <w:lang w:val="zh-CN"/>
          <w14:textFill>
            <w14:solidFill>
              <w14:schemeClr w14:val="tx1"/>
            </w14:solidFill>
          </w14:textFill>
        </w:rPr>
        <w:t>（三）投标或响应供应商满三家，但在评标或评审过程中发现实质性响应供应商只有两家的，评标委员会或评审小组认为仍能形成有效竞争的，可以按原定评审办法评审；实质性响应的供应商只有一家的，应废标并重新发布采购公告。</w:t>
      </w:r>
      <w:bookmarkEnd w:id="70"/>
      <w:bookmarkEnd w:id="71"/>
      <w:bookmarkEnd w:id="72"/>
    </w:p>
    <w:p w14:paraId="6D6B3503">
      <w:pPr>
        <w:shd w:val="clear"/>
        <w:autoSpaceDE w:val="0"/>
        <w:autoSpaceDN w:val="0"/>
        <w:adjustRightInd w:val="0"/>
        <w:snapToGrid w:val="0"/>
        <w:spacing w:line="259" w:lineRule="auto"/>
        <w:ind w:firstLine="420"/>
        <w:outlineLvl w:val="9"/>
        <w:rPr>
          <w:rFonts w:ascii="宋体" w:hAnsi="宋体" w:cs="宋体"/>
          <w:bCs/>
          <w:color w:val="000000" w:themeColor="text1"/>
          <w:szCs w:val="21"/>
          <w:highlight w:val="none"/>
          <w:lang w:val="zh-CN"/>
          <w14:textFill>
            <w14:solidFill>
              <w14:schemeClr w14:val="tx1"/>
            </w14:solidFill>
          </w14:textFill>
        </w:rPr>
      </w:pPr>
      <w:bookmarkStart w:id="73" w:name="_Toc14847"/>
      <w:bookmarkStart w:id="74" w:name="_Toc12985"/>
      <w:bookmarkStart w:id="75" w:name="_Toc16635"/>
      <w:r>
        <w:rPr>
          <w:rFonts w:hint="eastAsia" w:ascii="宋体" w:hAnsi="宋体" w:cs="宋体"/>
          <w:bCs/>
          <w:color w:val="000000" w:themeColor="text1"/>
          <w:szCs w:val="21"/>
          <w:highlight w:val="none"/>
          <w:lang w:val="zh-CN"/>
          <w14:textFill>
            <w14:solidFill>
              <w14:schemeClr w14:val="tx1"/>
            </w14:solidFill>
          </w14:textFill>
        </w:rPr>
        <w:t>（四）经延长报名时间仍不满三家报名且无供应商质疑及废标重新发布公告的项目，有两家供应商报名并响应的可以按原定评审办法评审或变更为由两家单位参与的竞争性谈判或竞争性磋商；只有一家供应商报名或实质性响应的，可直接变更为单一来源方式采购。</w:t>
      </w:r>
      <w:bookmarkEnd w:id="73"/>
      <w:bookmarkEnd w:id="74"/>
      <w:bookmarkEnd w:id="75"/>
    </w:p>
    <w:p w14:paraId="68ED078A">
      <w:pPr>
        <w:shd w:val="clear"/>
        <w:autoSpaceDE w:val="0"/>
        <w:autoSpaceDN w:val="0"/>
        <w:adjustRightInd w:val="0"/>
        <w:snapToGrid w:val="0"/>
        <w:spacing w:line="259" w:lineRule="auto"/>
        <w:ind w:firstLine="420"/>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1</w:t>
      </w:r>
      <w:r>
        <w:rPr>
          <w:rFonts w:hint="eastAsia" w:ascii="宋体" w:hAnsi="宋体" w:cs="宋体"/>
          <w:b/>
          <w:color w:val="000000" w:themeColor="text1"/>
          <w:szCs w:val="21"/>
          <w:highlight w:val="none"/>
          <w14:textFill>
            <w14:solidFill>
              <w14:schemeClr w14:val="tx1"/>
            </w14:solidFill>
          </w14:textFill>
        </w:rPr>
        <w:t>2</w:t>
      </w:r>
      <w:r>
        <w:rPr>
          <w:rFonts w:hint="eastAsia" w:ascii="宋体" w:hAnsi="宋体" w:cs="宋体"/>
          <w:b/>
          <w:color w:val="000000" w:themeColor="text1"/>
          <w:szCs w:val="21"/>
          <w:highlight w:val="none"/>
          <w:lang w:val="zh-CN"/>
          <w14:textFill>
            <w14:solidFill>
              <w14:schemeClr w14:val="tx1"/>
            </w14:solidFill>
          </w14:textFill>
        </w:rPr>
        <w:t>、评定成交方法和标准</w:t>
      </w:r>
    </w:p>
    <w:p w14:paraId="6C26443C">
      <w:pPr>
        <w:shd w:val="clear"/>
        <w:autoSpaceDE w:val="0"/>
        <w:autoSpaceDN w:val="0"/>
        <w:adjustRightInd w:val="0"/>
        <w:snapToGrid w:val="0"/>
        <w:spacing w:line="259" w:lineRule="auto"/>
        <w:ind w:firstLine="420"/>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2</w:t>
      </w: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kern w:val="0"/>
          <w:szCs w:val="21"/>
          <w:highlight w:val="none"/>
          <w:lang w:val="zh-CN"/>
          <w14:textFill>
            <w14:solidFill>
              <w14:schemeClr w14:val="tx1"/>
            </w14:solidFill>
          </w14:textFill>
        </w:rPr>
        <w:t>采用综合评分法。即在最大限度地满足竞争性磋商文件实质性要求前提下，按照磋商文件中规定的各项因素进行综合评审后，以评审总得分排名第一的供应商作为成交候选供应商或者成交供应商的评审方法。</w:t>
      </w:r>
    </w:p>
    <w:p w14:paraId="3F545E76">
      <w:pPr>
        <w:shd w:val="clear"/>
        <w:autoSpaceDE w:val="0"/>
        <w:autoSpaceDN w:val="0"/>
        <w:adjustRightInd w:val="0"/>
        <w:ind w:firstLine="420"/>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1</w:t>
      </w:r>
      <w:r>
        <w:rPr>
          <w:rFonts w:hint="eastAsia" w:ascii="宋体" w:hAnsi="宋体" w:cs="宋体"/>
          <w:color w:val="000000" w:themeColor="text1"/>
          <w:kern w:val="0"/>
          <w:szCs w:val="21"/>
          <w:highlight w:val="none"/>
          <w14:textFill>
            <w14:solidFill>
              <w14:schemeClr w14:val="tx1"/>
            </w14:solidFill>
          </w14:textFill>
        </w:rPr>
        <w:t>2</w:t>
      </w:r>
      <w:r>
        <w:rPr>
          <w:rFonts w:hint="eastAsia" w:ascii="宋体" w:hAnsi="宋体" w:cs="宋体"/>
          <w:color w:val="000000" w:themeColor="text1"/>
          <w:kern w:val="0"/>
          <w:szCs w:val="21"/>
          <w:highlight w:val="none"/>
          <w:lang w:val="zh-CN"/>
          <w14:textFill>
            <w14:solidFill>
              <w14:schemeClr w14:val="tx1"/>
            </w14:solidFill>
          </w14:textFill>
        </w:rPr>
        <w:t>.2 综合评审的主要因素是：详见文件第三章。</w:t>
      </w:r>
    </w:p>
    <w:p w14:paraId="527D3234">
      <w:pPr>
        <w:shd w:val="clea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Cs/>
          <w:color w:val="000000" w:themeColor="text1"/>
          <w:kern w:val="0"/>
          <w:szCs w:val="21"/>
          <w:highlight w:val="none"/>
          <w:lang w:val="zh-CN"/>
          <w14:textFill>
            <w14:solidFill>
              <w14:schemeClr w14:val="tx1"/>
            </w14:solidFill>
          </w14:textFill>
        </w:rPr>
        <w:t>1</w:t>
      </w:r>
      <w:r>
        <w:rPr>
          <w:rFonts w:hint="eastAsia" w:ascii="宋体" w:hAnsi="宋体" w:cs="宋体"/>
          <w:bCs/>
          <w:color w:val="000000" w:themeColor="text1"/>
          <w:kern w:val="0"/>
          <w:szCs w:val="21"/>
          <w:highlight w:val="none"/>
          <w14:textFill>
            <w14:solidFill>
              <w14:schemeClr w14:val="tx1"/>
            </w14:solidFill>
          </w14:textFill>
        </w:rPr>
        <w:t>2</w:t>
      </w:r>
      <w:r>
        <w:rPr>
          <w:rFonts w:hint="eastAsia" w:ascii="宋体" w:hAnsi="宋体" w:cs="宋体"/>
          <w:bCs/>
          <w:color w:val="000000" w:themeColor="text1"/>
          <w:kern w:val="0"/>
          <w:szCs w:val="21"/>
          <w:highlight w:val="none"/>
          <w:lang w:val="zh-CN"/>
          <w14:textFill>
            <w14:solidFill>
              <w14:schemeClr w14:val="tx1"/>
            </w14:solidFill>
          </w14:textFill>
        </w:rPr>
        <w:t>.3</w:t>
      </w:r>
      <w:r>
        <w:rPr>
          <w:rFonts w:hint="eastAsia" w:ascii="宋体" w:hAnsi="宋体" w:cs="宋体"/>
          <w:b/>
          <w:color w:val="000000" w:themeColor="text1"/>
          <w:szCs w:val="21"/>
          <w:highlight w:val="none"/>
          <w14:textFill>
            <w14:solidFill>
              <w14:schemeClr w14:val="tx1"/>
            </w14:solidFill>
          </w14:textFill>
        </w:rPr>
        <w:t>评审标准详见文件第三章。</w:t>
      </w:r>
    </w:p>
    <w:p w14:paraId="6B023031">
      <w:pPr>
        <w:shd w:val="clea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1</w:t>
      </w:r>
      <w:r>
        <w:rPr>
          <w:rFonts w:hint="eastAsia" w:ascii="宋体" w:hAnsi="宋体" w:cs="宋体"/>
          <w:b/>
          <w:bCs/>
          <w:color w:val="000000" w:themeColor="text1"/>
          <w:szCs w:val="21"/>
          <w:highlight w:val="none"/>
          <w14:textFill>
            <w14:solidFill>
              <w14:schemeClr w14:val="tx1"/>
            </w14:solidFill>
          </w14:textFill>
        </w:rPr>
        <w:t>3</w:t>
      </w:r>
      <w:r>
        <w:rPr>
          <w:rFonts w:hint="eastAsia" w:ascii="宋体" w:hAnsi="宋体" w:cs="宋体"/>
          <w:b/>
          <w:bCs/>
          <w:color w:val="000000" w:themeColor="text1"/>
          <w:szCs w:val="21"/>
          <w:highlight w:val="none"/>
          <w:lang w:val="zh-CN"/>
          <w14:textFill>
            <w14:solidFill>
              <w14:schemeClr w14:val="tx1"/>
            </w14:solidFill>
          </w14:textFill>
        </w:rPr>
        <w:t>、确定成交供应商</w:t>
      </w:r>
    </w:p>
    <w:p w14:paraId="2FC9D7C7">
      <w:pPr>
        <w:shd w:val="clear"/>
        <w:autoSpaceDE w:val="0"/>
        <w:autoSpaceDN w:val="0"/>
        <w:adjustRightInd w:val="0"/>
        <w:snapToGrid w:val="0"/>
        <w:spacing w:line="259" w:lineRule="auto"/>
        <w:ind w:firstLine="411" w:firstLineChars="196"/>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13</w:t>
      </w:r>
      <w:r>
        <w:rPr>
          <w:rFonts w:hint="eastAsia" w:ascii="宋体" w:hAnsi="宋体" w:cs="宋体"/>
          <w:color w:val="000000" w:themeColor="text1"/>
          <w:szCs w:val="21"/>
          <w:highlight w:val="none"/>
          <w:lang w:val="zh-CN"/>
          <w14:textFill>
            <w14:solidFill>
              <w14:schemeClr w14:val="tx1"/>
            </w14:solidFill>
          </w14:textFill>
        </w:rPr>
        <w:t>.1 在综合比较与评价后按照得分由高到低顺序对供应商进行排序。磋商小组按综合得分排名推荐3名成交候选供应商。得分相同的，按投标报价由低到高顺序排列。得分且报价相同的，按技术指标（施工组织设计方案）优劣顺序排列。</w:t>
      </w:r>
    </w:p>
    <w:p w14:paraId="77E0CFE4">
      <w:pPr>
        <w:shd w:val="clear"/>
        <w:autoSpaceDE w:val="0"/>
        <w:autoSpaceDN w:val="0"/>
        <w:adjustRightInd w:val="0"/>
        <w:snapToGrid w:val="0"/>
        <w:spacing w:line="259" w:lineRule="auto"/>
        <w:ind w:firstLine="411" w:firstLineChars="196"/>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13</w:t>
      </w:r>
      <w:r>
        <w:rPr>
          <w:rFonts w:hint="eastAsia" w:ascii="宋体" w:hAnsi="宋体" w:cs="宋体"/>
          <w:color w:val="000000" w:themeColor="text1"/>
          <w:szCs w:val="21"/>
          <w:highlight w:val="none"/>
          <w:lang w:val="zh-CN"/>
          <w14:textFill>
            <w14:solidFill>
              <w14:schemeClr w14:val="tx1"/>
            </w14:solidFill>
          </w14:textFill>
        </w:rPr>
        <w:t>.2 按以下第（1）种方式确定成交供应商</w:t>
      </w:r>
    </w:p>
    <w:p w14:paraId="612D0959">
      <w:pPr>
        <w:shd w:val="clear"/>
        <w:autoSpaceDE w:val="0"/>
        <w:autoSpaceDN w:val="0"/>
        <w:adjustRightInd w:val="0"/>
        <w:snapToGrid w:val="0"/>
        <w:spacing w:line="259" w:lineRule="auto"/>
        <w:ind w:firstLine="411" w:firstLineChars="196"/>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（1）磋商小组直接确定排名第一的成交候选供应商为成交供应商；</w:t>
      </w:r>
    </w:p>
    <w:p w14:paraId="458EBD2D">
      <w:pPr>
        <w:shd w:val="clear"/>
        <w:autoSpaceDE w:val="0"/>
        <w:autoSpaceDN w:val="0"/>
        <w:adjustRightInd w:val="0"/>
        <w:snapToGrid w:val="0"/>
        <w:spacing w:line="259" w:lineRule="auto"/>
        <w:ind w:firstLine="411" w:firstLineChars="196"/>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（2）采购人在磋商小组推荐的成交候选供应商中按顺序确定成交供应商。</w:t>
      </w:r>
    </w:p>
    <w:p w14:paraId="4FABAB2F">
      <w:pPr>
        <w:shd w:val="clear"/>
        <w:autoSpaceDE w:val="0"/>
        <w:autoSpaceDN w:val="0"/>
        <w:adjustRightInd w:val="0"/>
        <w:snapToGrid w:val="0"/>
        <w:spacing w:line="259" w:lineRule="auto"/>
        <w:ind w:firstLine="411" w:firstLineChars="196"/>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按第二种方式确定</w:t>
      </w:r>
      <w:r>
        <w:rPr>
          <w:rFonts w:hint="eastAsia" w:ascii="宋体" w:hAnsi="宋体" w:cs="宋体"/>
          <w:color w:val="000000" w:themeColor="text1"/>
          <w:szCs w:val="21"/>
          <w:highlight w:val="none"/>
          <w14:textFill>
            <w14:solidFill>
              <w14:schemeClr w14:val="tx1"/>
            </w14:solidFill>
          </w14:textFill>
        </w:rPr>
        <w:t>成交</w:t>
      </w:r>
      <w:r>
        <w:rPr>
          <w:rFonts w:hint="eastAsia" w:ascii="宋体" w:hAnsi="宋体" w:cs="宋体"/>
          <w:color w:val="000000" w:themeColor="text1"/>
          <w:szCs w:val="21"/>
          <w:highlight w:val="none"/>
          <w:lang w:val="zh-CN"/>
          <w14:textFill>
            <w14:solidFill>
              <w14:schemeClr w14:val="tx1"/>
            </w14:solidFill>
          </w14:textFill>
        </w:rPr>
        <w:t>供应商的，代理机构自评审结束之日起两个工作日内将评审报告送交采购人，采购人应当自收到评审报告之日起五个工作日内在评审报告推荐的成交候选供应商中按顺序确定成交供应商。</w:t>
      </w:r>
    </w:p>
    <w:p w14:paraId="3EA640DA">
      <w:pPr>
        <w:shd w:val="clear"/>
        <w:autoSpaceDE w:val="0"/>
        <w:autoSpaceDN w:val="0"/>
        <w:adjustRightInd w:val="0"/>
        <w:snapToGrid w:val="0"/>
        <w:spacing w:line="259" w:lineRule="auto"/>
        <w:ind w:firstLine="411" w:firstLineChars="196"/>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13</w:t>
      </w:r>
      <w:r>
        <w:rPr>
          <w:rFonts w:hint="eastAsia" w:ascii="宋体" w:hAnsi="宋体" w:cs="宋体"/>
          <w:color w:val="000000" w:themeColor="text1"/>
          <w:szCs w:val="21"/>
          <w:highlight w:val="none"/>
          <w:lang w:val="zh-CN"/>
          <w14:textFill>
            <w14:solidFill>
              <w14:schemeClr w14:val="tx1"/>
            </w14:solidFill>
          </w14:textFill>
        </w:rPr>
        <w:t>.3 成交供应商确定之日起两个工作日内，将在财政部门指定的政府采购信息发布媒体上公告。</w:t>
      </w:r>
    </w:p>
    <w:p w14:paraId="58CE87A7">
      <w:pPr>
        <w:shd w:val="clear"/>
        <w:autoSpaceDE w:val="0"/>
        <w:autoSpaceDN w:val="0"/>
        <w:adjustRightInd w:val="0"/>
        <w:snapToGrid w:val="0"/>
        <w:spacing w:line="259" w:lineRule="auto"/>
        <w:ind w:firstLine="411" w:firstLineChars="196"/>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13</w:t>
      </w:r>
      <w:r>
        <w:rPr>
          <w:rFonts w:hint="eastAsia" w:ascii="宋体" w:hAnsi="宋体" w:cs="宋体"/>
          <w:color w:val="000000" w:themeColor="text1"/>
          <w:szCs w:val="21"/>
          <w:highlight w:val="none"/>
          <w:lang w:val="zh-CN"/>
          <w14:textFill>
            <w14:solidFill>
              <w14:schemeClr w14:val="tx1"/>
            </w14:solidFill>
          </w14:textFill>
        </w:rPr>
        <w:t>.4 《中标通知书》对采购人和成交供应商具有同等法律效力。</w:t>
      </w:r>
    </w:p>
    <w:p w14:paraId="54104423">
      <w:pPr>
        <w:shd w:val="clear"/>
        <w:autoSpaceDE w:val="0"/>
        <w:autoSpaceDN w:val="0"/>
        <w:adjustRightInd w:val="0"/>
        <w:snapToGrid w:val="0"/>
        <w:spacing w:line="259" w:lineRule="auto"/>
        <w:ind w:firstLine="411" w:firstLineChars="196"/>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13</w:t>
      </w:r>
      <w:r>
        <w:rPr>
          <w:rFonts w:hint="eastAsia" w:ascii="宋体" w:hAnsi="宋体" w:cs="宋体"/>
          <w:color w:val="000000" w:themeColor="text1"/>
          <w:szCs w:val="21"/>
          <w:highlight w:val="none"/>
          <w:lang w:val="zh-CN"/>
          <w14:textFill>
            <w14:solidFill>
              <w14:schemeClr w14:val="tx1"/>
            </w14:solidFill>
          </w14:textFill>
        </w:rPr>
        <w:t>.5 《中标通知书》发出后，成交供应商无正当理由不与采购人签订合同的，应当依法承担法律责任。</w:t>
      </w:r>
    </w:p>
    <w:p w14:paraId="0126C19B">
      <w:pPr>
        <w:shd w:val="clear"/>
        <w:autoSpaceDE w:val="0"/>
        <w:autoSpaceDN w:val="0"/>
        <w:adjustRightInd w:val="0"/>
        <w:snapToGrid w:val="0"/>
        <w:spacing w:line="259" w:lineRule="auto"/>
        <w:ind w:firstLine="411" w:firstLineChars="196"/>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13</w:t>
      </w:r>
      <w:r>
        <w:rPr>
          <w:rFonts w:hint="eastAsia" w:ascii="宋体" w:hAnsi="宋体" w:cs="宋体"/>
          <w:color w:val="000000" w:themeColor="text1"/>
          <w:szCs w:val="21"/>
          <w:highlight w:val="none"/>
          <w:lang w:val="zh-CN"/>
          <w14:textFill>
            <w14:solidFill>
              <w14:schemeClr w14:val="tx1"/>
            </w14:solidFill>
          </w14:textFill>
        </w:rPr>
        <w:t>.6代理机构和磋商小组对未中标的供应商不作未中标原因的解释。</w:t>
      </w:r>
    </w:p>
    <w:p w14:paraId="5B75110C">
      <w:pPr>
        <w:shd w:val="clear"/>
        <w:autoSpaceDE w:val="0"/>
        <w:autoSpaceDN w:val="0"/>
        <w:adjustRightInd w:val="0"/>
        <w:snapToGrid w:val="0"/>
        <w:spacing w:line="259" w:lineRule="auto"/>
        <w:ind w:firstLine="413" w:firstLineChars="196"/>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1</w:t>
      </w:r>
      <w:r>
        <w:rPr>
          <w:rFonts w:hint="eastAsia" w:ascii="宋体" w:hAnsi="宋体" w:cs="宋体"/>
          <w:b/>
          <w:color w:val="000000" w:themeColor="text1"/>
          <w:szCs w:val="21"/>
          <w:highlight w:val="none"/>
          <w14:textFill>
            <w14:solidFill>
              <w14:schemeClr w14:val="tx1"/>
            </w14:solidFill>
          </w14:textFill>
        </w:rPr>
        <w:t>4</w:t>
      </w:r>
      <w:r>
        <w:rPr>
          <w:rFonts w:hint="eastAsia" w:ascii="宋体" w:hAnsi="宋体" w:cs="宋体"/>
          <w:b/>
          <w:bCs/>
          <w:color w:val="000000" w:themeColor="text1"/>
          <w:szCs w:val="21"/>
          <w:highlight w:val="none"/>
          <w:lang w:val="zh-CN"/>
          <w14:textFill>
            <w14:solidFill>
              <w14:schemeClr w14:val="tx1"/>
            </w14:solidFill>
          </w14:textFill>
        </w:rPr>
        <w:t>、</w:t>
      </w:r>
      <w:r>
        <w:rPr>
          <w:rFonts w:hint="eastAsia" w:ascii="宋体" w:hAnsi="宋体" w:cs="宋体"/>
          <w:b/>
          <w:color w:val="000000" w:themeColor="text1"/>
          <w:szCs w:val="21"/>
          <w:highlight w:val="none"/>
          <w14:textFill>
            <w14:solidFill>
              <w14:schemeClr w14:val="tx1"/>
            </w14:solidFill>
          </w14:textFill>
        </w:rPr>
        <w:t>编写评审报告</w:t>
      </w:r>
    </w:p>
    <w:p w14:paraId="6B9E2F1E">
      <w:pPr>
        <w:shd w:val="clear"/>
        <w:autoSpaceDE w:val="0"/>
        <w:autoSpaceDN w:val="0"/>
        <w:adjustRightInd w:val="0"/>
        <w:snapToGrid w:val="0"/>
        <w:spacing w:line="259" w:lineRule="auto"/>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14.1 磋商小组根据磋商过程和结果编写评审报告。</w:t>
      </w:r>
    </w:p>
    <w:p w14:paraId="0BB7D169">
      <w:pPr>
        <w:shd w:val="clea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1</w:t>
      </w:r>
      <w:r>
        <w:rPr>
          <w:rFonts w:hint="eastAsia" w:ascii="宋体" w:hAnsi="宋体" w:cs="宋体"/>
          <w:b/>
          <w:color w:val="000000" w:themeColor="text1"/>
          <w:szCs w:val="21"/>
          <w:highlight w:val="none"/>
          <w14:textFill>
            <w14:solidFill>
              <w14:schemeClr w14:val="tx1"/>
            </w14:solidFill>
          </w14:textFill>
        </w:rPr>
        <w:t>5</w:t>
      </w:r>
      <w:r>
        <w:rPr>
          <w:rFonts w:hint="eastAsia" w:ascii="宋体" w:hAnsi="宋体" w:cs="宋体"/>
          <w:b/>
          <w:color w:val="000000" w:themeColor="text1"/>
          <w:szCs w:val="21"/>
          <w:highlight w:val="none"/>
          <w:lang w:val="zh-CN"/>
          <w14:textFill>
            <w14:solidFill>
              <w14:schemeClr w14:val="tx1"/>
            </w14:solidFill>
          </w14:textFill>
        </w:rPr>
        <w:t>、</w:t>
      </w:r>
      <w:r>
        <w:rPr>
          <w:rFonts w:hint="eastAsia" w:ascii="宋体" w:hAnsi="宋体" w:cs="宋体"/>
          <w:b/>
          <w:bCs/>
          <w:color w:val="000000" w:themeColor="text1"/>
          <w:szCs w:val="21"/>
          <w:highlight w:val="none"/>
          <w:lang w:val="zh-CN"/>
          <w14:textFill>
            <w14:solidFill>
              <w14:schemeClr w14:val="tx1"/>
            </w14:solidFill>
          </w14:textFill>
        </w:rPr>
        <w:t>签订合同</w:t>
      </w:r>
    </w:p>
    <w:p w14:paraId="45121221">
      <w:pPr>
        <w:shd w:val="clea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15</w:t>
      </w:r>
      <w:r>
        <w:rPr>
          <w:rFonts w:hint="eastAsia" w:ascii="宋体" w:hAnsi="宋体" w:cs="宋体"/>
          <w:color w:val="000000" w:themeColor="text1"/>
          <w:szCs w:val="21"/>
          <w:highlight w:val="none"/>
          <w:lang w:val="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1 成交供应商应当</w:t>
      </w:r>
      <w:r>
        <w:rPr>
          <w:rFonts w:hint="eastAsia" w:ascii="宋体" w:hAnsi="宋体" w:cs="宋体"/>
          <w:color w:val="000000" w:themeColor="text1"/>
          <w:szCs w:val="21"/>
          <w:highlight w:val="none"/>
          <w:lang w:val="zh-CN"/>
          <w14:textFill>
            <w14:solidFill>
              <w14:schemeClr w14:val="tx1"/>
            </w14:solidFill>
          </w14:textFill>
        </w:rPr>
        <w:t>自成交通知书发出之日起三十日内，</w:t>
      </w:r>
      <w:r>
        <w:rPr>
          <w:rFonts w:hint="eastAsia" w:ascii="宋体" w:hAnsi="宋体" w:cs="宋体"/>
          <w:color w:val="000000" w:themeColor="text1"/>
          <w:szCs w:val="21"/>
          <w:highlight w:val="none"/>
          <w14:textFill>
            <w14:solidFill>
              <w14:schemeClr w14:val="tx1"/>
            </w14:solidFill>
          </w14:textFill>
        </w:rPr>
        <w:t>与采购人签订政府采购合同，所签订的合同不得对磋商文件和响应文件作实质性修改。</w:t>
      </w:r>
    </w:p>
    <w:p w14:paraId="066AF1C1">
      <w:pPr>
        <w:shd w:val="clear"/>
        <w:autoSpaceDE w:val="0"/>
        <w:autoSpaceDN w:val="0"/>
        <w:adjustRightInd w:val="0"/>
        <w:snapToGrid w:val="0"/>
        <w:spacing w:line="259" w:lineRule="auto"/>
        <w:ind w:firstLine="42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15</w:t>
      </w:r>
      <w:r>
        <w:rPr>
          <w:rFonts w:hint="eastAsia" w:ascii="宋体" w:hAnsi="宋体" w:cs="宋体"/>
          <w:color w:val="000000" w:themeColor="text1"/>
          <w:szCs w:val="21"/>
          <w:highlight w:val="none"/>
          <w:lang w:val="zh-CN"/>
          <w14:textFill>
            <w14:solidFill>
              <w14:schemeClr w14:val="tx1"/>
            </w14:solidFill>
          </w14:textFill>
        </w:rPr>
        <w:t xml:space="preserve">.2 </w:t>
      </w:r>
      <w:r>
        <w:rPr>
          <w:rFonts w:hint="eastAsia" w:ascii="宋体" w:hAnsi="宋体" w:cs="宋体"/>
          <w:color w:val="000000" w:themeColor="text1"/>
          <w:szCs w:val="21"/>
          <w:highlight w:val="none"/>
          <w14:textFill>
            <w14:solidFill>
              <w14:schemeClr w14:val="tx1"/>
            </w14:solidFill>
          </w14:textFill>
        </w:rPr>
        <w:t>采购人不得向成交供应商提出任何不合理的要求作为签订合同的条件，不得与成交供应商私下订立背离合同实质性内容的协议。</w:t>
      </w:r>
    </w:p>
    <w:p w14:paraId="4E587395">
      <w:pPr>
        <w:shd w:val="clear"/>
        <w:adjustRightInd w:val="0"/>
        <w:snapToGrid w:val="0"/>
        <w:spacing w:line="259" w:lineRule="auto"/>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5</w:t>
      </w:r>
      <w:r>
        <w:rPr>
          <w:rFonts w:hint="eastAsia" w:ascii="宋体" w:hAnsi="宋体" w:cs="宋体"/>
          <w:color w:val="000000" w:themeColor="text1"/>
          <w:szCs w:val="21"/>
          <w:highlight w:val="none"/>
          <w:lang w:val="zh-CN"/>
          <w14:textFill>
            <w14:solidFill>
              <w14:schemeClr w14:val="tx1"/>
            </w14:solidFill>
          </w14:textFill>
        </w:rPr>
        <w:t>.3</w:t>
      </w:r>
      <w:r>
        <w:rPr>
          <w:rFonts w:hint="eastAsia" w:ascii="宋体" w:hAnsi="宋体" w:cs="宋体"/>
          <w:color w:val="000000" w:themeColor="text1"/>
          <w:szCs w:val="21"/>
          <w:highlight w:val="none"/>
          <w14:textFill>
            <w14:solidFill>
              <w14:schemeClr w14:val="tx1"/>
            </w14:solidFill>
          </w14:textFill>
        </w:rPr>
        <w:t xml:space="preserve"> 除不可抗力等因素外，</w:t>
      </w:r>
      <w:r>
        <w:rPr>
          <w:rFonts w:hint="eastAsia" w:ascii="宋体" w:hAnsi="宋体" w:cs="宋体"/>
          <w:color w:val="000000" w:themeColor="text1"/>
          <w:szCs w:val="21"/>
          <w:highlight w:val="none"/>
          <w:lang w:val="zh-CN"/>
          <w14:textFill>
            <w14:solidFill>
              <w14:schemeClr w14:val="tx1"/>
            </w14:solidFill>
          </w14:textFill>
        </w:rPr>
        <w:t>成交通知书发出后，采购人改变成交结果，或者成交供应商拒绝签订政府采购合同的，应当承担相应的法律责任。</w:t>
      </w:r>
    </w:p>
    <w:p w14:paraId="7FD27A7E">
      <w:pPr>
        <w:shd w:val="clear"/>
        <w:autoSpaceDE w:val="0"/>
        <w:autoSpaceDN w:val="0"/>
        <w:adjustRightInd w:val="0"/>
        <w:snapToGrid w:val="0"/>
        <w:spacing w:line="259" w:lineRule="auto"/>
        <w:ind w:firstLine="420"/>
        <w:rPr>
          <w:rFonts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5</w:t>
      </w:r>
      <w:r>
        <w:rPr>
          <w:rFonts w:hint="eastAsia" w:ascii="宋体" w:hAnsi="宋体" w:cs="宋体"/>
          <w:color w:val="000000" w:themeColor="text1"/>
          <w:szCs w:val="21"/>
          <w:highlight w:val="none"/>
          <w:lang w:val="zh-CN"/>
          <w14:textFill>
            <w14:solidFill>
              <w14:schemeClr w14:val="tx1"/>
            </w14:solidFill>
          </w14:textFill>
        </w:rPr>
        <w:t xml:space="preserve">.4 </w:t>
      </w:r>
      <w:r>
        <w:rPr>
          <w:rFonts w:hint="eastAsia" w:ascii="宋体" w:hAnsi="宋体" w:cs="宋体"/>
          <w:b/>
          <w:color w:val="000000" w:themeColor="text1"/>
          <w:szCs w:val="21"/>
          <w:highlight w:val="none"/>
          <w14:textFill>
            <w14:solidFill>
              <w14:schemeClr w14:val="tx1"/>
            </w14:solidFill>
          </w14:textFill>
        </w:rPr>
        <w:t>成交供应商除发生法律规定的不能预见、不能避免并不能克服的客观情况外不得放弃或拒绝签订合同的。放弃或拒绝签订合同的，财政部门视情将其列入不良行为名单，在一至三年内不得参加中国药科大学政府采购。</w:t>
      </w:r>
    </w:p>
    <w:p w14:paraId="4978EFEC">
      <w:pPr>
        <w:shd w:val="clear"/>
        <w:adjustRightInd w:val="0"/>
        <w:snapToGrid w:val="0"/>
        <w:spacing w:line="259" w:lineRule="auto"/>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5</w:t>
      </w:r>
      <w:r>
        <w:rPr>
          <w:rFonts w:hint="eastAsia" w:ascii="宋体" w:hAnsi="宋体" w:cs="宋体"/>
          <w:color w:val="000000" w:themeColor="text1"/>
          <w:szCs w:val="21"/>
          <w:highlight w:val="none"/>
          <w:lang w:val="zh-CN"/>
          <w14:textFill>
            <w14:solidFill>
              <w14:schemeClr w14:val="tx1"/>
            </w14:solidFill>
          </w14:textFill>
        </w:rPr>
        <w:t>.5成交供应商拒绝签订政府采购合同的，</w:t>
      </w:r>
      <w:r>
        <w:rPr>
          <w:rFonts w:hint="eastAsia" w:ascii="宋体" w:hAnsi="宋体" w:cs="宋体"/>
          <w:color w:val="000000" w:themeColor="text1"/>
          <w:highlight w:val="none"/>
          <w14:textFill>
            <w14:solidFill>
              <w14:schemeClr w14:val="tx1"/>
            </w14:solidFill>
          </w14:textFill>
        </w:rPr>
        <w:t>或因不可抗力或者自身原因不能履行政府采购合同的，</w:t>
      </w:r>
      <w:r>
        <w:rPr>
          <w:rFonts w:hint="eastAsia" w:ascii="宋体" w:hAnsi="宋体" w:cs="宋体"/>
          <w:color w:val="000000" w:themeColor="text1"/>
          <w:szCs w:val="21"/>
          <w:highlight w:val="none"/>
          <w:lang w:val="zh-CN"/>
          <w14:textFill>
            <w14:solidFill>
              <w14:schemeClr w14:val="tx1"/>
            </w14:solidFill>
          </w14:textFill>
        </w:rPr>
        <w:t>采购人可以视情与排位在成交供应商之后第一位的成交候选供应商签订政府采购合同，也可以重新开展采购活动。</w:t>
      </w:r>
    </w:p>
    <w:p w14:paraId="4C61F47E">
      <w:pPr>
        <w:shd w:val="clear"/>
        <w:autoSpaceDE w:val="0"/>
        <w:autoSpaceDN w:val="0"/>
        <w:adjustRightInd w:val="0"/>
        <w:snapToGrid w:val="0"/>
        <w:spacing w:line="259" w:lineRule="auto"/>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5</w:t>
      </w:r>
      <w:r>
        <w:rPr>
          <w:rFonts w:hint="eastAsia" w:ascii="宋体" w:hAnsi="宋体" w:cs="宋体"/>
          <w:color w:val="000000" w:themeColor="text1"/>
          <w:szCs w:val="21"/>
          <w:highlight w:val="none"/>
          <w:lang w:val="zh-CN"/>
          <w14:textFill>
            <w14:solidFill>
              <w14:schemeClr w14:val="tx1"/>
            </w14:solidFill>
          </w14:textFill>
        </w:rPr>
        <w:t>.6 政府采购合同履行中，采购人需追加与合同标的相同的服务的，在不改变合同其他条款的前提下，可以与供应商协商签订补充合同，但所有补充合同的采购金额不得超过原合同采购金额的百分之十。</w:t>
      </w:r>
    </w:p>
    <w:p w14:paraId="7107F2AE">
      <w:pPr>
        <w:shd w:val="clear"/>
        <w:autoSpaceDE w:val="0"/>
        <w:autoSpaceDN w:val="0"/>
        <w:adjustRightInd w:val="0"/>
        <w:snapToGrid w:val="0"/>
        <w:spacing w:line="259" w:lineRule="auto"/>
        <w:ind w:firstLine="420"/>
        <w:outlineLvl w:val="9"/>
        <w:rPr>
          <w:rFonts w:ascii="宋体" w:hAnsi="宋体" w:cs="宋体"/>
          <w:b/>
          <w:bCs/>
          <w:color w:val="000000" w:themeColor="text1"/>
          <w:szCs w:val="21"/>
          <w:highlight w:val="none"/>
          <w:lang w:val="zh-CN"/>
          <w14:textFill>
            <w14:solidFill>
              <w14:schemeClr w14:val="tx1"/>
            </w14:solidFill>
          </w14:textFill>
        </w:rPr>
      </w:pPr>
      <w:bookmarkStart w:id="76" w:name="_Toc16646"/>
      <w:bookmarkStart w:id="77" w:name="_Toc3675"/>
      <w:bookmarkStart w:id="78" w:name="_Toc26733"/>
      <w:r>
        <w:rPr>
          <w:rFonts w:hint="eastAsia" w:ascii="宋体" w:hAnsi="宋体" w:cs="宋体"/>
          <w:b/>
          <w:bCs/>
          <w:color w:val="000000" w:themeColor="text1"/>
          <w:szCs w:val="21"/>
          <w:highlight w:val="none"/>
          <w:lang w:val="zh-CN"/>
          <w14:textFill>
            <w14:solidFill>
              <w14:schemeClr w14:val="tx1"/>
            </w14:solidFill>
          </w14:textFill>
        </w:rPr>
        <w:t>六、询问、质疑、投诉和诚实信用</w:t>
      </w:r>
      <w:bookmarkEnd w:id="76"/>
      <w:bookmarkEnd w:id="77"/>
      <w:bookmarkEnd w:id="78"/>
    </w:p>
    <w:p w14:paraId="22376DE0">
      <w:pPr>
        <w:shd w:val="clear"/>
        <w:autoSpaceDE w:val="0"/>
        <w:autoSpaceDN w:val="0"/>
        <w:adjustRightInd w:val="0"/>
        <w:snapToGrid w:val="0"/>
        <w:spacing w:line="259" w:lineRule="auto"/>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1</w:t>
      </w:r>
      <w:r>
        <w:rPr>
          <w:rFonts w:hint="eastAsia" w:ascii="宋体" w:hAnsi="宋体" w:cs="宋体"/>
          <w:b/>
          <w:bCs/>
          <w:color w:val="000000" w:themeColor="text1"/>
          <w:szCs w:val="21"/>
          <w:highlight w:val="none"/>
          <w14:textFill>
            <w14:solidFill>
              <w14:schemeClr w14:val="tx1"/>
            </w14:solidFill>
          </w14:textFill>
        </w:rPr>
        <w:t>6</w:t>
      </w:r>
      <w:r>
        <w:rPr>
          <w:rFonts w:hint="eastAsia" w:ascii="宋体" w:hAnsi="宋体" w:cs="宋体"/>
          <w:b/>
          <w:bCs/>
          <w:color w:val="000000" w:themeColor="text1"/>
          <w:szCs w:val="21"/>
          <w:highlight w:val="none"/>
          <w:lang w:val="zh-CN"/>
          <w14:textFill>
            <w14:solidFill>
              <w14:schemeClr w14:val="tx1"/>
            </w14:solidFill>
          </w14:textFill>
        </w:rPr>
        <w:t>、询问</w:t>
      </w:r>
    </w:p>
    <w:p w14:paraId="167A7BA7">
      <w:pPr>
        <w:shd w:val="clear"/>
        <w:autoSpaceDE w:val="0"/>
        <w:autoSpaceDN w:val="0"/>
        <w:adjustRightInd w:val="0"/>
        <w:ind w:firstLine="420"/>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6</w:t>
      </w:r>
      <w:r>
        <w:rPr>
          <w:rFonts w:hint="eastAsia" w:ascii="宋体" w:hAnsi="宋体" w:cs="宋体"/>
          <w:color w:val="000000" w:themeColor="text1"/>
          <w:szCs w:val="21"/>
          <w:highlight w:val="none"/>
          <w:lang w:val="zh-CN"/>
          <w14:textFill>
            <w14:solidFill>
              <w14:schemeClr w14:val="tx1"/>
            </w14:solidFill>
          </w14:textFill>
        </w:rPr>
        <w:t>.1 供应商对采购活动事项有疑问的，可以向代理机构提出询问，代理机构将在两个工作日内作出答复，但答复的内容不涉及商业秘密</w:t>
      </w:r>
      <w:r>
        <w:rPr>
          <w:rFonts w:hint="eastAsia" w:ascii="宋体" w:hAnsi="宋体" w:cs="宋体"/>
          <w:b/>
          <w:color w:val="000000" w:themeColor="text1"/>
          <w:szCs w:val="21"/>
          <w:highlight w:val="none"/>
          <w:lang w:val="zh-CN"/>
          <w14:textFill>
            <w14:solidFill>
              <w14:schemeClr w14:val="tx1"/>
            </w14:solidFill>
          </w14:textFill>
        </w:rPr>
        <w:t>。</w:t>
      </w:r>
    </w:p>
    <w:p w14:paraId="2FB8A91C">
      <w:pPr>
        <w:shd w:val="clear"/>
        <w:autoSpaceDE w:val="0"/>
        <w:autoSpaceDN w:val="0"/>
        <w:adjustRightInd w:val="0"/>
        <w:ind w:firstLine="420"/>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17</w:t>
      </w:r>
      <w:r>
        <w:rPr>
          <w:rFonts w:hint="eastAsia" w:ascii="宋体" w:hAnsi="宋体" w:cs="宋体"/>
          <w:b/>
          <w:color w:val="000000" w:themeColor="text1"/>
          <w:szCs w:val="21"/>
          <w:highlight w:val="none"/>
          <w:lang w:val="zh-CN"/>
          <w14:textFill>
            <w14:solidFill>
              <w14:schemeClr w14:val="tx1"/>
            </w14:solidFill>
          </w14:textFill>
        </w:rPr>
        <w:t>、质疑</w:t>
      </w:r>
    </w:p>
    <w:p w14:paraId="439E0631">
      <w:pPr>
        <w:shd w:val="clea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7</w:t>
      </w:r>
      <w:r>
        <w:rPr>
          <w:rFonts w:hint="eastAsia" w:ascii="宋体" w:hAnsi="宋体" w:cs="宋体"/>
          <w:color w:val="000000" w:themeColor="text1"/>
          <w:szCs w:val="21"/>
          <w:highlight w:val="none"/>
          <w:lang w:val="zh-CN"/>
          <w14:textFill>
            <w14:solidFill>
              <w14:schemeClr w14:val="tx1"/>
            </w14:solidFill>
          </w14:textFill>
        </w:rPr>
        <w:t>.1 供应商认为采购文件、采购过程和成交结果使自己的合法权益受到损害的，可以在知道或者应当知道其权益受到损害之日起七个工作日内，将质疑文件原件送达南京苏宁工程咨询有限公司。</w:t>
      </w:r>
    </w:p>
    <w:p w14:paraId="5C5DB76D">
      <w:pPr>
        <w:shd w:val="clear"/>
        <w:autoSpaceDE w:val="0"/>
        <w:autoSpaceDN w:val="0"/>
        <w:adjustRightInd w:val="0"/>
        <w:ind w:firstLine="420" w:firstLineChars="200"/>
        <w:rPr>
          <w:rFonts w:ascii="宋体" w:hAnsi="宋体" w:cs="宋体"/>
          <w:snapToGrid w:val="0"/>
          <w:color w:val="000000" w:themeColor="text1"/>
          <w:sz w:val="24"/>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7</w:t>
      </w:r>
      <w:r>
        <w:rPr>
          <w:rFonts w:hint="eastAsia" w:ascii="宋体" w:hAnsi="宋体" w:cs="宋体"/>
          <w:color w:val="000000" w:themeColor="text1"/>
          <w:szCs w:val="21"/>
          <w:highlight w:val="none"/>
          <w:lang w:val="zh-CN"/>
          <w14:textFill>
            <w14:solidFill>
              <w14:schemeClr w14:val="tx1"/>
            </w14:solidFill>
          </w14:textFill>
        </w:rPr>
        <w:t>.2 质疑文件应包括以下主要内容，并</w:t>
      </w:r>
      <w:r>
        <w:rPr>
          <w:rFonts w:hint="eastAsia" w:ascii="宋体" w:hAnsi="宋体" w:cs="宋体"/>
          <w:color w:val="000000" w:themeColor="text1"/>
          <w:szCs w:val="21"/>
          <w:highlight w:val="none"/>
          <w14:textFill>
            <w14:solidFill>
              <w14:schemeClr w14:val="tx1"/>
            </w14:solidFill>
          </w14:textFill>
        </w:rPr>
        <w:t>按照“谁主张、谁举证”的原则，附上相关证明材料。否则，代理机构不予受理：</w:t>
      </w:r>
    </w:p>
    <w:p w14:paraId="0CE14AB6">
      <w:pPr>
        <w:shd w:val="clear"/>
        <w:autoSpaceDE w:val="0"/>
        <w:autoSpaceDN w:val="0"/>
        <w:adjustRightInd w:val="0"/>
        <w:ind w:left="420" w:left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（1）质疑项目名称、项目编号、包号、采购公告发布时间、磋商时间；</w:t>
      </w:r>
    </w:p>
    <w:p w14:paraId="77D74E4C">
      <w:pPr>
        <w:shd w:val="clea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（2）提起质疑的日期、具体的质疑事项及事实根据（具体条款）；</w:t>
      </w:r>
    </w:p>
    <w:p w14:paraId="6644EE16">
      <w:pPr>
        <w:shd w:val="clea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（3）认为自己合法权益受到损害或可能受到损害的相关证据材料。</w:t>
      </w:r>
    </w:p>
    <w:p w14:paraId="425C784E">
      <w:pPr>
        <w:shd w:val="clea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（4）质疑供应商名称、地址、邮编、联系人、联系电话</w:t>
      </w:r>
      <w:r>
        <w:rPr>
          <w:rFonts w:hint="eastAsia" w:ascii="宋体" w:hAnsi="宋体" w:cs="宋体"/>
          <w:color w:val="000000" w:themeColor="text1"/>
          <w:szCs w:val="21"/>
          <w:highlight w:val="none"/>
          <w14:textFill>
            <w14:solidFill>
              <w14:schemeClr w14:val="tx1"/>
            </w14:solidFill>
          </w14:textFill>
        </w:rPr>
        <w:t>（包括座机、手机、传真号码等）</w:t>
      </w:r>
      <w:r>
        <w:rPr>
          <w:rFonts w:hint="eastAsia" w:ascii="宋体" w:hAnsi="宋体" w:cs="宋体"/>
          <w:color w:val="000000" w:themeColor="text1"/>
          <w:szCs w:val="21"/>
          <w:highlight w:val="none"/>
          <w:lang w:val="zh-CN"/>
          <w14:textFill>
            <w14:solidFill>
              <w14:schemeClr w14:val="tx1"/>
            </w14:solidFill>
          </w14:textFill>
        </w:rPr>
        <w:t>；</w:t>
      </w:r>
    </w:p>
    <w:p w14:paraId="3EF20E5C">
      <w:pPr>
        <w:shd w:val="clea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（5）质疑文件应当署名，质疑人为自然人的，应当由本人签字并附有效身份证明；质疑人为法人或其他组织的，应当由法定代表人签字并加盖单位公章。</w:t>
      </w:r>
    </w:p>
    <w:p w14:paraId="0B98CC2A">
      <w:pPr>
        <w:shd w:val="clea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（6）供应商委托代理质疑的，应当提交授权委托书，并载明委托代理的具体权限和事项。</w:t>
      </w:r>
    </w:p>
    <w:p w14:paraId="40BC0579">
      <w:pPr>
        <w:shd w:val="clear"/>
        <w:autoSpaceDE w:val="0"/>
        <w:autoSpaceDN w:val="0"/>
        <w:adjustRightInd w:val="0"/>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7</w:t>
      </w:r>
      <w:r>
        <w:rPr>
          <w:rFonts w:hint="eastAsia" w:ascii="宋体" w:hAnsi="宋体" w:cs="宋体"/>
          <w:color w:val="000000" w:themeColor="text1"/>
          <w:szCs w:val="21"/>
          <w:highlight w:val="none"/>
          <w:lang w:val="zh-CN"/>
          <w14:textFill>
            <w14:solidFill>
              <w14:schemeClr w14:val="tx1"/>
            </w14:solidFill>
          </w14:textFill>
        </w:rPr>
        <w:t>.3质疑</w:t>
      </w:r>
      <w:r>
        <w:rPr>
          <w:rFonts w:hint="eastAsia" w:ascii="宋体" w:hAnsi="宋体" w:cs="宋体"/>
          <w:color w:val="000000" w:themeColor="text1"/>
          <w:highlight w:val="none"/>
          <w14:textFill>
            <w14:solidFill>
              <w14:schemeClr w14:val="tx1"/>
            </w14:solidFill>
          </w14:textFill>
        </w:rPr>
        <w:t>供应商</w:t>
      </w:r>
      <w:r>
        <w:rPr>
          <w:rFonts w:hint="eastAsia" w:ascii="宋体" w:hAnsi="宋体" w:cs="宋体"/>
          <w:color w:val="000000" w:themeColor="text1"/>
          <w:szCs w:val="21"/>
          <w:highlight w:val="none"/>
          <w14:textFill>
            <w14:solidFill>
              <w14:schemeClr w14:val="tx1"/>
            </w14:solidFill>
          </w14:textFill>
        </w:rPr>
        <w:t>指直接参加本项目采购活动的供应商</w:t>
      </w:r>
      <w:r>
        <w:rPr>
          <w:rFonts w:hint="eastAsia" w:ascii="宋体" w:hAnsi="宋体" w:cs="宋体"/>
          <w:color w:val="000000" w:themeColor="text1"/>
          <w:szCs w:val="21"/>
          <w:highlight w:val="none"/>
          <w:lang w:val="zh-CN"/>
          <w14:textFill>
            <w14:solidFill>
              <w14:schemeClr w14:val="tx1"/>
            </w14:solidFill>
          </w14:textFill>
        </w:rPr>
        <w:t>；对采购文件提出质疑的，应自供应商获得采购文件之日起计算；对采购过程提出质疑的，自采购程序环</w:t>
      </w:r>
      <w:r>
        <w:rPr>
          <w:rFonts w:hint="eastAsia" w:ascii="宋体" w:hAnsi="宋体" w:cs="宋体"/>
          <w:color w:val="000000" w:themeColor="text1"/>
          <w:highlight w:val="none"/>
          <w14:textFill>
            <w14:solidFill>
              <w14:schemeClr w14:val="tx1"/>
            </w14:solidFill>
          </w14:textFill>
        </w:rPr>
        <w:t>节结束之日起计算；对采购结果提出质疑的，自采购</w:t>
      </w:r>
      <w:r>
        <w:rPr>
          <w:rFonts w:hint="eastAsia" w:ascii="宋体" w:hAnsi="宋体" w:cs="宋体"/>
          <w:color w:val="000000" w:themeColor="text1"/>
          <w:szCs w:val="21"/>
          <w:highlight w:val="none"/>
          <w:lang w:val="zh-CN"/>
          <w14:textFill>
            <w14:solidFill>
              <w14:schemeClr w14:val="tx1"/>
            </w14:solidFill>
          </w14:textFill>
        </w:rPr>
        <w:t>结果公告期限届满之日起计算。</w:t>
      </w:r>
    </w:p>
    <w:p w14:paraId="6B3E325D">
      <w:pPr>
        <w:shd w:val="clear"/>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17.4 </w:t>
      </w:r>
      <w:r>
        <w:rPr>
          <w:rFonts w:hint="eastAsia" w:ascii="宋体" w:hAnsi="宋体" w:cs="宋体"/>
          <w:color w:val="000000" w:themeColor="text1"/>
          <w:szCs w:val="21"/>
          <w:highlight w:val="none"/>
          <w:lang w:val="zh-CN"/>
          <w14:textFill>
            <w14:solidFill>
              <w14:schemeClr w14:val="tx1"/>
            </w14:solidFill>
          </w14:textFill>
        </w:rPr>
        <w:t>代理机构</w:t>
      </w:r>
      <w:r>
        <w:rPr>
          <w:rFonts w:hint="eastAsia" w:ascii="宋体" w:hAnsi="宋体" w:cs="宋体"/>
          <w:color w:val="000000" w:themeColor="text1"/>
          <w:szCs w:val="21"/>
          <w:highlight w:val="none"/>
          <w14:textFill>
            <w14:solidFill>
              <w14:schemeClr w14:val="tx1"/>
            </w14:solidFill>
          </w14:textFill>
        </w:rPr>
        <w:t>在收到供应商的书面质疑后将及时组织调查核实，在</w:t>
      </w:r>
      <w:r>
        <w:rPr>
          <w:rFonts w:hint="eastAsia" w:ascii="宋体" w:hAnsi="宋体" w:cs="宋体"/>
          <w:b/>
          <w:bCs/>
          <w:color w:val="000000" w:themeColor="text1"/>
          <w:szCs w:val="21"/>
          <w:highlight w:val="none"/>
          <w:lang w:val="zh-CN"/>
          <w14:textFill>
            <w14:solidFill>
              <w14:schemeClr w14:val="tx1"/>
            </w14:solidFill>
          </w14:textFill>
        </w:rPr>
        <w:t>七个工作日内</w:t>
      </w:r>
      <w:r>
        <w:rPr>
          <w:rFonts w:hint="eastAsia" w:ascii="宋体" w:hAnsi="宋体" w:cs="宋体"/>
          <w:color w:val="000000" w:themeColor="text1"/>
          <w:szCs w:val="21"/>
          <w:highlight w:val="none"/>
          <w:lang w:val="zh-CN"/>
          <w14:textFill>
            <w14:solidFill>
              <w14:schemeClr w14:val="tx1"/>
            </w14:solidFill>
          </w14:textFill>
        </w:rPr>
        <w:t>作出答复，并以书面通知质疑供应商和其他有关供应商，答复的内容不涉及商业秘密。代理机构</w:t>
      </w:r>
      <w:r>
        <w:rPr>
          <w:rFonts w:hint="eastAsia" w:ascii="宋体" w:hAnsi="宋体" w:cs="宋体"/>
          <w:color w:val="000000" w:themeColor="text1"/>
          <w:szCs w:val="21"/>
          <w:highlight w:val="none"/>
          <w14:textFill>
            <w14:solidFill>
              <w14:schemeClr w14:val="tx1"/>
            </w14:solidFill>
          </w14:textFill>
        </w:rPr>
        <w:t>遵循“谁过错谁负担”的原则，有过错的一方承担调查论证费用。</w:t>
      </w:r>
    </w:p>
    <w:p w14:paraId="5B8C63A7">
      <w:pPr>
        <w:shd w:val="clea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1</w:t>
      </w:r>
      <w:r>
        <w:rPr>
          <w:rFonts w:hint="eastAsia" w:ascii="宋体" w:hAnsi="宋体" w:cs="宋体"/>
          <w:b/>
          <w:bCs/>
          <w:color w:val="000000" w:themeColor="text1"/>
          <w:szCs w:val="21"/>
          <w:highlight w:val="none"/>
          <w14:textFill>
            <w14:solidFill>
              <w14:schemeClr w14:val="tx1"/>
            </w14:solidFill>
          </w14:textFill>
        </w:rPr>
        <w:t>8</w:t>
      </w:r>
      <w:r>
        <w:rPr>
          <w:rFonts w:hint="eastAsia" w:ascii="宋体" w:hAnsi="宋体" w:cs="宋体"/>
          <w:b/>
          <w:bCs/>
          <w:color w:val="000000" w:themeColor="text1"/>
          <w:szCs w:val="21"/>
          <w:highlight w:val="none"/>
          <w:lang w:val="zh-CN"/>
          <w14:textFill>
            <w14:solidFill>
              <w14:schemeClr w14:val="tx1"/>
            </w14:solidFill>
          </w14:textFill>
        </w:rPr>
        <w:t>、投诉</w:t>
      </w:r>
    </w:p>
    <w:p w14:paraId="4B2A4D7C">
      <w:pPr>
        <w:shd w:val="clea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1</w:t>
      </w:r>
      <w:r>
        <w:rPr>
          <w:rFonts w:hint="eastAsia" w:ascii="宋体" w:hAnsi="宋体" w:cs="宋体"/>
          <w:color w:val="000000" w:themeColor="text1"/>
          <w:szCs w:val="21"/>
          <w:highlight w:val="none"/>
          <w14:textFill>
            <w14:solidFill>
              <w14:schemeClr w14:val="tx1"/>
            </w14:solidFill>
          </w14:textFill>
        </w:rPr>
        <w:t>8</w:t>
      </w:r>
      <w:r>
        <w:rPr>
          <w:rFonts w:hint="eastAsia" w:ascii="宋体" w:hAnsi="宋体" w:cs="宋体"/>
          <w:color w:val="000000" w:themeColor="text1"/>
          <w:szCs w:val="21"/>
          <w:highlight w:val="none"/>
          <w:lang w:val="zh-CN"/>
          <w14:textFill>
            <w14:solidFill>
              <w14:schemeClr w14:val="tx1"/>
            </w14:solidFill>
          </w14:textFill>
        </w:rPr>
        <w:t>.1质疑供应商对代理机构的答复不满意，或代理机构未在规定的时间内作出答复的，可以在答复期满后</w:t>
      </w:r>
      <w:r>
        <w:rPr>
          <w:rFonts w:hint="eastAsia" w:ascii="宋体" w:hAnsi="宋体" w:cs="宋体"/>
          <w:b/>
          <w:bCs/>
          <w:color w:val="000000" w:themeColor="text1"/>
          <w:szCs w:val="21"/>
          <w:highlight w:val="none"/>
          <w:lang w:val="zh-CN"/>
          <w14:textFill>
            <w14:solidFill>
              <w14:schemeClr w14:val="tx1"/>
            </w14:solidFill>
          </w14:textFill>
        </w:rPr>
        <w:t>十五个工作日内</w:t>
      </w:r>
      <w:r>
        <w:rPr>
          <w:rFonts w:hint="eastAsia" w:ascii="宋体" w:hAnsi="宋体" w:cs="宋体"/>
          <w:color w:val="000000" w:themeColor="text1"/>
          <w:szCs w:val="21"/>
          <w:highlight w:val="none"/>
          <w:lang w:val="zh-CN"/>
          <w14:textFill>
            <w14:solidFill>
              <w14:schemeClr w14:val="tx1"/>
            </w14:solidFill>
          </w14:textFill>
        </w:rPr>
        <w:t>向采购项目同级财政部门投诉。</w:t>
      </w:r>
    </w:p>
    <w:p w14:paraId="7EE17176">
      <w:pPr>
        <w:shd w:val="clear"/>
        <w:autoSpaceDE w:val="0"/>
        <w:autoSpaceDN w:val="0"/>
        <w:adjustRightInd w:val="0"/>
        <w:ind w:firstLine="42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19</w:t>
      </w:r>
      <w:r>
        <w:rPr>
          <w:rFonts w:hint="eastAsia" w:ascii="宋体" w:hAnsi="宋体" w:cs="宋体"/>
          <w:b/>
          <w:bCs/>
          <w:color w:val="000000" w:themeColor="text1"/>
          <w:szCs w:val="21"/>
          <w:highlight w:val="none"/>
          <w:lang w:val="zh-CN"/>
          <w14:textFill>
            <w14:solidFill>
              <w14:schemeClr w14:val="tx1"/>
            </w14:solidFill>
          </w14:textFill>
        </w:rPr>
        <w:t>、诚实信用</w:t>
      </w:r>
    </w:p>
    <w:p w14:paraId="6303FE56">
      <w:pPr>
        <w:shd w:val="clea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19</w:t>
      </w:r>
      <w:r>
        <w:rPr>
          <w:rFonts w:hint="eastAsia" w:ascii="宋体" w:hAnsi="宋体" w:cs="宋体"/>
          <w:color w:val="000000" w:themeColor="text1"/>
          <w:szCs w:val="21"/>
          <w:highlight w:val="none"/>
          <w:lang w:val="zh-CN"/>
          <w14:textFill>
            <w14:solidFill>
              <w14:schemeClr w14:val="tx1"/>
            </w14:solidFill>
          </w14:textFill>
        </w:rPr>
        <w:t>.1 供应商之间不得相互串通报价，不得妨碍其他供应商的公平竞争，不得损害采购人和其他供应商的合法权益。</w:t>
      </w:r>
    </w:p>
    <w:p w14:paraId="33B9CA84">
      <w:pPr>
        <w:shd w:val="clea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19</w:t>
      </w:r>
      <w:r>
        <w:rPr>
          <w:rFonts w:hint="eastAsia" w:ascii="宋体" w:hAnsi="宋体" w:cs="宋体"/>
          <w:color w:val="000000" w:themeColor="text1"/>
          <w:szCs w:val="21"/>
          <w:highlight w:val="none"/>
          <w:lang w:val="zh-CN"/>
          <w14:textFill>
            <w14:solidFill>
              <w14:schemeClr w14:val="tx1"/>
            </w14:solidFill>
          </w14:textFill>
        </w:rPr>
        <w:t>.2 供应商不得以向代理机构工作人员、磋商小组成员行贿或者采取其他不正当手段谋取成交。经查实供应商有此行为的，政府采购管理部门将供应商列入不良行为记录名单，按照《政府采</w:t>
      </w:r>
      <w:r>
        <w:rPr>
          <w:rFonts w:hint="eastAsia" w:ascii="宋体" w:hAnsi="宋体" w:cs="宋体"/>
          <w:color w:val="000000" w:themeColor="text1"/>
          <w:highlight w:val="none"/>
          <w14:textFill>
            <w14:solidFill>
              <w14:schemeClr w14:val="tx1"/>
            </w14:solidFill>
          </w14:textFill>
        </w:rPr>
        <w:t>购法》有关规定处理。</w:t>
      </w:r>
    </w:p>
    <w:p w14:paraId="293E3BC5">
      <w:pPr>
        <w:shd w:val="clear"/>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19</w:t>
      </w:r>
      <w:r>
        <w:rPr>
          <w:rFonts w:hint="eastAsia" w:ascii="宋体" w:hAnsi="宋体" w:cs="宋体"/>
          <w:color w:val="000000" w:themeColor="text1"/>
          <w:szCs w:val="21"/>
          <w:highlight w:val="none"/>
          <w:lang w:val="zh-CN"/>
          <w14:textFill>
            <w14:solidFill>
              <w14:schemeClr w14:val="tx1"/>
            </w14:solidFill>
          </w14:textFill>
        </w:rPr>
        <w:t>.3 供应商不得虚假质疑和恶意质疑，并对质疑内容的真实性承担责任。</w:t>
      </w:r>
      <w:r>
        <w:rPr>
          <w:rFonts w:hint="eastAsia" w:ascii="宋体" w:hAnsi="宋体" w:cs="宋体"/>
          <w:color w:val="000000" w:themeColor="text1"/>
          <w:szCs w:val="21"/>
          <w:highlight w:val="none"/>
          <w14:textFill>
            <w14:solidFill>
              <w14:schemeClr w14:val="tx1"/>
            </w14:solidFill>
          </w14:textFill>
        </w:rPr>
        <w:t>供应商或者其他利害关系人通过捏造事实、伪造证明材料等方式提出异议或投诉，阻碍政府采购活动正常进行的，属于严重不良行为，代理机构将提请财政部门将其列入不良行为记录名单，并依法予以处罚。</w:t>
      </w:r>
    </w:p>
    <w:p w14:paraId="09BFB9C2">
      <w:pPr>
        <w:shd w:val="clear"/>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19</w:t>
      </w:r>
      <w:r>
        <w:rPr>
          <w:rFonts w:hint="eastAsia" w:ascii="宋体" w:hAnsi="宋体" w:cs="宋体"/>
          <w:color w:val="000000" w:themeColor="text1"/>
          <w:szCs w:val="21"/>
          <w:highlight w:val="none"/>
          <w:lang w:val="zh-CN"/>
          <w14:textFill>
            <w14:solidFill>
              <w14:schemeClr w14:val="tx1"/>
            </w14:solidFill>
          </w14:textFill>
        </w:rPr>
        <w:t>.4 供应商不得虚假承诺，否则，按照提供虚假材料谋取成交处理。</w:t>
      </w:r>
    </w:p>
    <w:p w14:paraId="365ED5F2">
      <w:pPr>
        <w:shd w:val="clear"/>
        <w:adjustRightInd w:val="0"/>
        <w:snapToGrid w:val="0"/>
        <w:spacing w:line="259" w:lineRule="auto"/>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19</w:t>
      </w:r>
      <w:r>
        <w:rPr>
          <w:rFonts w:hint="eastAsia" w:ascii="宋体" w:hAnsi="宋体" w:cs="宋体"/>
          <w:color w:val="000000" w:themeColor="text1"/>
          <w:szCs w:val="21"/>
          <w:highlight w:val="none"/>
          <w:lang w:val="zh-CN"/>
          <w14:textFill>
            <w14:solidFill>
              <w14:schemeClr w14:val="tx1"/>
            </w14:solidFill>
          </w14:textFill>
        </w:rPr>
        <w:t>.5 供应商应自觉遵守磋商、评审纪律，扰乱磋商、评审现场秩序的，属于失信行为，失信行为将被记入供应商诚信档案。</w:t>
      </w:r>
      <w:r>
        <w:rPr>
          <w:rFonts w:hint="eastAsia" w:ascii="宋体" w:hAnsi="宋体" w:cs="宋体"/>
          <w:color w:val="000000" w:themeColor="text1"/>
          <w:szCs w:val="21"/>
          <w:highlight w:val="none"/>
          <w:lang w:val="zh-CN"/>
          <w14:textFill>
            <w14:solidFill>
              <w14:schemeClr w14:val="tx1"/>
            </w14:solidFill>
          </w14:textFill>
        </w:rPr>
        <w:br w:type="page"/>
      </w:r>
    </w:p>
    <w:p w14:paraId="5201115B">
      <w:pPr>
        <w:shd w:val="clear"/>
        <w:adjustRightInd w:val="0"/>
        <w:snapToGrid w:val="0"/>
        <w:spacing w:line="259" w:lineRule="auto"/>
        <w:ind w:firstLine="420" w:firstLineChars="200"/>
        <w:rPr>
          <w:rFonts w:ascii="宋体" w:hAnsi="宋体" w:cs="宋体"/>
          <w:color w:val="000000" w:themeColor="text1"/>
          <w:szCs w:val="21"/>
          <w:highlight w:val="none"/>
          <w:lang w:val="zh-CN"/>
          <w14:textFill>
            <w14:solidFill>
              <w14:schemeClr w14:val="tx1"/>
            </w14:solidFill>
          </w14:textFill>
        </w:rPr>
      </w:pPr>
    </w:p>
    <w:p w14:paraId="5C63305D">
      <w:pPr>
        <w:shd w:val="clear"/>
        <w:jc w:val="center"/>
        <w:outlineLvl w:val="0"/>
        <w:rPr>
          <w:rFonts w:ascii="宋体" w:hAnsi="宋体" w:cs="宋体"/>
          <w:color w:val="000000" w:themeColor="text1"/>
          <w:spacing w:val="-10"/>
          <w:sz w:val="36"/>
          <w:szCs w:val="36"/>
          <w:highlight w:val="none"/>
          <w14:textFill>
            <w14:solidFill>
              <w14:schemeClr w14:val="tx1"/>
            </w14:solidFill>
          </w14:textFill>
        </w:rPr>
      </w:pPr>
      <w:bookmarkStart w:id="79" w:name="_Toc20089"/>
      <w:bookmarkStart w:id="80" w:name="_Toc19869"/>
      <w:r>
        <w:rPr>
          <w:rFonts w:hint="eastAsia" w:ascii="宋体" w:hAnsi="宋体" w:cs="宋体"/>
          <w:color w:val="000000" w:themeColor="text1"/>
          <w:spacing w:val="-10"/>
          <w:sz w:val="36"/>
          <w:szCs w:val="36"/>
          <w:highlight w:val="none"/>
          <w14:textFill>
            <w14:solidFill>
              <w14:schemeClr w14:val="tx1"/>
            </w14:solidFill>
          </w14:textFill>
        </w:rPr>
        <w:t>第三章 成交标准</w:t>
      </w:r>
      <w:bookmarkEnd w:id="79"/>
      <w:bookmarkEnd w:id="80"/>
    </w:p>
    <w:p w14:paraId="4384586C">
      <w:pPr>
        <w:numPr>
          <w:ilvl w:val="0"/>
          <w:numId w:val="1"/>
        </w:numPr>
        <w:shd w:val="clear"/>
        <w:spacing w:line="360" w:lineRule="auto"/>
        <w:outlineLvl w:val="9"/>
        <w:rPr>
          <w:rFonts w:cs="宋体"/>
          <w:color w:val="000000" w:themeColor="text1"/>
          <w:highlight w:val="none"/>
          <w14:textFill>
            <w14:solidFill>
              <w14:schemeClr w14:val="tx1"/>
            </w14:solidFill>
          </w14:textFill>
        </w:rPr>
      </w:pPr>
      <w:r>
        <w:rPr>
          <w:rFonts w:hint="eastAsia" w:cs="宋体"/>
          <w:color w:val="000000" w:themeColor="text1"/>
          <w:sz w:val="28"/>
          <w:szCs w:val="28"/>
          <w:highlight w:val="none"/>
          <w14:textFill>
            <w14:solidFill>
              <w14:schemeClr w14:val="tx1"/>
            </w14:solidFill>
          </w14:textFill>
        </w:rPr>
        <w:t>资格性审查</w:t>
      </w:r>
    </w:p>
    <w:p w14:paraId="5CDA9618">
      <w:pPr>
        <w:shd w:val="clear"/>
        <w:spacing w:line="360" w:lineRule="auto"/>
        <w:ind w:firstLine="480" w:firstLineChars="200"/>
        <w:jc w:val="left"/>
        <w:rPr>
          <w:rFonts w:ascii="宋体" w:cs="宋体"/>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资格审查记录表如下：</w:t>
      </w:r>
    </w:p>
    <w:tbl>
      <w:tblPr>
        <w:tblStyle w:val="25"/>
        <w:tblW w:w="97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26"/>
        <w:gridCol w:w="3383"/>
        <w:gridCol w:w="3546"/>
        <w:gridCol w:w="788"/>
        <w:gridCol w:w="788"/>
        <w:gridCol w:w="789"/>
      </w:tblGrid>
      <w:tr w14:paraId="53A431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426" w:type="dxa"/>
            <w:vMerge w:val="restart"/>
            <w:vAlign w:val="center"/>
          </w:tcPr>
          <w:p w14:paraId="4AE40513">
            <w:pPr>
              <w:shd w:val="clear"/>
              <w:jc w:val="lef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序号</w:t>
            </w:r>
          </w:p>
        </w:tc>
        <w:tc>
          <w:tcPr>
            <w:tcW w:w="3383" w:type="dxa"/>
            <w:vMerge w:val="restart"/>
            <w:vAlign w:val="center"/>
          </w:tcPr>
          <w:p w14:paraId="2FF8C4AA">
            <w:pPr>
              <w:shd w:val="clear"/>
              <w:jc w:val="lef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审查因素</w:t>
            </w:r>
          </w:p>
        </w:tc>
        <w:tc>
          <w:tcPr>
            <w:tcW w:w="3546" w:type="dxa"/>
            <w:vMerge w:val="restart"/>
            <w:vAlign w:val="center"/>
          </w:tcPr>
          <w:p w14:paraId="1F86967D">
            <w:pPr>
              <w:shd w:val="clear"/>
              <w:jc w:val="lef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审查标准</w:t>
            </w:r>
          </w:p>
        </w:tc>
        <w:tc>
          <w:tcPr>
            <w:tcW w:w="2365" w:type="dxa"/>
            <w:gridSpan w:val="3"/>
            <w:vAlign w:val="center"/>
          </w:tcPr>
          <w:p w14:paraId="5F83FF25">
            <w:pPr>
              <w:shd w:val="clea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投标人名称及审查意见</w:t>
            </w:r>
          </w:p>
        </w:tc>
      </w:tr>
      <w:tr w14:paraId="2E2EA5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426" w:type="dxa"/>
            <w:vMerge w:val="continue"/>
            <w:tcBorders>
              <w:top w:val="nil"/>
            </w:tcBorders>
            <w:vAlign w:val="center"/>
          </w:tcPr>
          <w:p w14:paraId="0820BEB7">
            <w:pPr>
              <w:shd w:val="clear"/>
              <w:jc w:val="left"/>
              <w:rPr>
                <w:color w:val="000000" w:themeColor="text1"/>
                <w:highlight w:val="none"/>
                <w14:textFill>
                  <w14:solidFill>
                    <w14:schemeClr w14:val="tx1"/>
                  </w14:solidFill>
                </w14:textFill>
              </w:rPr>
            </w:pPr>
          </w:p>
        </w:tc>
        <w:tc>
          <w:tcPr>
            <w:tcW w:w="3383" w:type="dxa"/>
            <w:vMerge w:val="continue"/>
            <w:tcBorders>
              <w:top w:val="nil"/>
            </w:tcBorders>
            <w:vAlign w:val="center"/>
          </w:tcPr>
          <w:p w14:paraId="6B62D671">
            <w:pPr>
              <w:shd w:val="clear"/>
              <w:jc w:val="left"/>
              <w:rPr>
                <w:color w:val="000000" w:themeColor="text1"/>
                <w:highlight w:val="none"/>
                <w14:textFill>
                  <w14:solidFill>
                    <w14:schemeClr w14:val="tx1"/>
                  </w14:solidFill>
                </w14:textFill>
              </w:rPr>
            </w:pPr>
          </w:p>
        </w:tc>
        <w:tc>
          <w:tcPr>
            <w:tcW w:w="3546" w:type="dxa"/>
            <w:vMerge w:val="continue"/>
            <w:tcBorders>
              <w:top w:val="nil"/>
            </w:tcBorders>
            <w:vAlign w:val="center"/>
          </w:tcPr>
          <w:p w14:paraId="4BC05CF2">
            <w:pPr>
              <w:shd w:val="clear"/>
              <w:jc w:val="left"/>
              <w:rPr>
                <w:color w:val="000000" w:themeColor="text1"/>
                <w:highlight w:val="none"/>
                <w14:textFill>
                  <w14:solidFill>
                    <w14:schemeClr w14:val="tx1"/>
                  </w14:solidFill>
                </w14:textFill>
              </w:rPr>
            </w:pPr>
          </w:p>
        </w:tc>
        <w:tc>
          <w:tcPr>
            <w:tcW w:w="788" w:type="dxa"/>
            <w:vAlign w:val="center"/>
          </w:tcPr>
          <w:p w14:paraId="75DAE37E">
            <w:pPr>
              <w:shd w:val="clear"/>
              <w:rPr>
                <w:color w:val="000000" w:themeColor="text1"/>
                <w:highlight w:val="none"/>
                <w14:textFill>
                  <w14:solidFill>
                    <w14:schemeClr w14:val="tx1"/>
                  </w14:solidFill>
                </w14:textFill>
              </w:rPr>
            </w:pPr>
          </w:p>
        </w:tc>
        <w:tc>
          <w:tcPr>
            <w:tcW w:w="788" w:type="dxa"/>
            <w:vAlign w:val="center"/>
          </w:tcPr>
          <w:p w14:paraId="7C50926C">
            <w:pPr>
              <w:shd w:val="clear"/>
              <w:rPr>
                <w:color w:val="000000" w:themeColor="text1"/>
                <w:highlight w:val="none"/>
                <w14:textFill>
                  <w14:solidFill>
                    <w14:schemeClr w14:val="tx1"/>
                  </w14:solidFill>
                </w14:textFill>
              </w:rPr>
            </w:pPr>
          </w:p>
        </w:tc>
        <w:tc>
          <w:tcPr>
            <w:tcW w:w="789" w:type="dxa"/>
            <w:vAlign w:val="center"/>
          </w:tcPr>
          <w:p w14:paraId="2C849AC8">
            <w:pPr>
              <w:shd w:val="clear"/>
              <w:rPr>
                <w:color w:val="000000" w:themeColor="text1"/>
                <w:highlight w:val="none"/>
                <w14:textFill>
                  <w14:solidFill>
                    <w14:schemeClr w14:val="tx1"/>
                  </w14:solidFill>
                </w14:textFill>
              </w:rPr>
            </w:pPr>
          </w:p>
        </w:tc>
      </w:tr>
      <w:tr w14:paraId="035CF4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7" w:hRule="atLeast"/>
          <w:jc w:val="center"/>
        </w:trPr>
        <w:tc>
          <w:tcPr>
            <w:tcW w:w="426" w:type="dxa"/>
            <w:vAlign w:val="center"/>
          </w:tcPr>
          <w:p w14:paraId="6BB8DF49">
            <w:pPr>
              <w:shd w:val="clea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w:t>
            </w:r>
          </w:p>
        </w:tc>
        <w:tc>
          <w:tcPr>
            <w:tcW w:w="3383" w:type="dxa"/>
            <w:vAlign w:val="center"/>
          </w:tcPr>
          <w:p w14:paraId="0BB9EBC7">
            <w:pPr>
              <w:shd w:val="clear"/>
              <w:jc w:val="left"/>
              <w:rPr>
                <w:rFonts w:hint="eastAsia"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具有独立承担民事责任的能力</w:t>
            </w:r>
          </w:p>
        </w:tc>
        <w:tc>
          <w:tcPr>
            <w:tcW w:w="3546" w:type="dxa"/>
            <w:vAlign w:val="center"/>
          </w:tcPr>
          <w:p w14:paraId="77CC7856">
            <w:pPr>
              <w:shd w:val="clear"/>
              <w:jc w:val="left"/>
              <w:rPr>
                <w:rFonts w:hint="eastAsia"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提供法人或者其他组织的营业执照，自然人的身份证</w:t>
            </w:r>
          </w:p>
        </w:tc>
        <w:tc>
          <w:tcPr>
            <w:tcW w:w="788" w:type="dxa"/>
            <w:vAlign w:val="center"/>
          </w:tcPr>
          <w:p w14:paraId="045A9ED2">
            <w:pPr>
              <w:shd w:val="clear"/>
              <w:rPr>
                <w:color w:val="000000" w:themeColor="text1"/>
                <w:highlight w:val="none"/>
                <w14:textFill>
                  <w14:solidFill>
                    <w14:schemeClr w14:val="tx1"/>
                  </w14:solidFill>
                </w14:textFill>
              </w:rPr>
            </w:pPr>
          </w:p>
        </w:tc>
        <w:tc>
          <w:tcPr>
            <w:tcW w:w="788" w:type="dxa"/>
            <w:vAlign w:val="center"/>
          </w:tcPr>
          <w:p w14:paraId="4EE9B631">
            <w:pPr>
              <w:shd w:val="clear"/>
              <w:rPr>
                <w:color w:val="000000" w:themeColor="text1"/>
                <w:highlight w:val="none"/>
                <w14:textFill>
                  <w14:solidFill>
                    <w14:schemeClr w14:val="tx1"/>
                  </w14:solidFill>
                </w14:textFill>
              </w:rPr>
            </w:pPr>
          </w:p>
        </w:tc>
        <w:tc>
          <w:tcPr>
            <w:tcW w:w="789" w:type="dxa"/>
            <w:vAlign w:val="center"/>
          </w:tcPr>
          <w:p w14:paraId="2087C5F4">
            <w:pPr>
              <w:shd w:val="clear"/>
              <w:rPr>
                <w:color w:val="000000" w:themeColor="text1"/>
                <w:highlight w:val="none"/>
                <w14:textFill>
                  <w14:solidFill>
                    <w14:schemeClr w14:val="tx1"/>
                  </w14:solidFill>
                </w14:textFill>
              </w:rPr>
            </w:pPr>
          </w:p>
        </w:tc>
      </w:tr>
      <w:tr w14:paraId="7F036C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2" w:hRule="atLeast"/>
          <w:jc w:val="center"/>
        </w:trPr>
        <w:tc>
          <w:tcPr>
            <w:tcW w:w="426" w:type="dxa"/>
            <w:vAlign w:val="center"/>
          </w:tcPr>
          <w:p w14:paraId="4BCD6698">
            <w:pPr>
              <w:shd w:val="clea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w:t>
            </w:r>
          </w:p>
        </w:tc>
        <w:tc>
          <w:tcPr>
            <w:tcW w:w="3383" w:type="dxa"/>
            <w:vAlign w:val="center"/>
          </w:tcPr>
          <w:p w14:paraId="53AF485F">
            <w:pPr>
              <w:shd w:val="clear"/>
              <w:jc w:val="left"/>
              <w:rPr>
                <w:rFonts w:hint="eastAsia"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具有良好的商业信誉和健全的财务会计制度</w:t>
            </w:r>
          </w:p>
        </w:tc>
        <w:tc>
          <w:tcPr>
            <w:tcW w:w="3546" w:type="dxa"/>
            <w:vAlign w:val="center"/>
          </w:tcPr>
          <w:p w14:paraId="49E11424">
            <w:pPr>
              <w:shd w:val="clear"/>
              <w:jc w:val="left"/>
              <w:rPr>
                <w:rFonts w:hint="eastAsia"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提供</w:t>
            </w:r>
            <w:r>
              <w:rPr>
                <w:rFonts w:hint="eastAsia" w:ascii="Times New Roman" w:hAnsi="Times New Roman" w:eastAsia="宋体" w:cs="Times New Roman"/>
                <w:color w:val="000000" w:themeColor="text1"/>
                <w:highlight w:val="none"/>
                <w:lang w:eastAsia="zh-CN"/>
                <w14:textFill>
                  <w14:solidFill>
                    <w14:schemeClr w14:val="tx1"/>
                  </w14:solidFill>
                </w14:textFill>
              </w:rPr>
              <w:t>投标截止时间前</w:t>
            </w:r>
            <w:r>
              <w:rPr>
                <w:rFonts w:hint="eastAsia" w:ascii="Times New Roman" w:hAnsi="Times New Roman" w:eastAsia="宋体" w:cs="Times New Roman"/>
                <w:color w:val="000000" w:themeColor="text1"/>
                <w:highlight w:val="none"/>
                <w14:textFill>
                  <w14:solidFill>
                    <w14:schemeClr w14:val="tx1"/>
                  </w14:solidFill>
                </w14:textFill>
              </w:rPr>
              <w:t>近半年内银行出具的资信证明，或</w:t>
            </w:r>
            <w:r>
              <w:rPr>
                <w:rFonts w:hint="eastAsia" w:ascii="Times New Roman" w:hAnsi="Times New Roman" w:eastAsia="宋体" w:cs="Times New Roman"/>
                <w:color w:val="000000" w:themeColor="text1"/>
                <w:highlight w:val="none"/>
                <w:lang w:eastAsia="zh-CN"/>
                <w14:textFill>
                  <w14:solidFill>
                    <w14:schemeClr w14:val="tx1"/>
                  </w14:solidFill>
                </w14:textFill>
              </w:rPr>
              <w:t>投标截止时间前</w:t>
            </w:r>
            <w:r>
              <w:rPr>
                <w:rFonts w:hint="eastAsia" w:ascii="Times New Roman" w:hAnsi="Times New Roman" w:eastAsia="宋体" w:cs="Times New Roman"/>
                <w:color w:val="000000" w:themeColor="text1"/>
                <w:highlight w:val="none"/>
                <w14:textFill>
                  <w14:solidFill>
                    <w14:schemeClr w14:val="tx1"/>
                  </w14:solidFill>
                </w14:textFill>
              </w:rPr>
              <w:t>近半年内任意一个月的财务状况报告（至少包括资产负债表和利润表），或</w:t>
            </w:r>
            <w:r>
              <w:rPr>
                <w:rFonts w:hint="eastAsia" w:ascii="Times New Roman" w:hAnsi="Times New Roman" w:eastAsia="宋体" w:cs="Times New Roman"/>
                <w:color w:val="000000" w:themeColor="text1"/>
                <w:highlight w:val="none"/>
                <w:lang w:eastAsia="zh-CN"/>
                <w14:textFill>
                  <w14:solidFill>
                    <w14:schemeClr w14:val="tx1"/>
                  </w14:solidFill>
                </w14:textFill>
              </w:rPr>
              <w:t>上一年度（或</w:t>
            </w:r>
            <w:r>
              <w:rPr>
                <w:rFonts w:hint="eastAsia" w:ascii="Times New Roman" w:hAnsi="Times New Roman" w:eastAsia="宋体" w:cs="Times New Roman"/>
                <w:color w:val="000000" w:themeColor="text1"/>
                <w:highlight w:val="none"/>
                <w:lang w:val="en-US" w:eastAsia="zh-CN"/>
                <w14:textFill>
                  <w14:solidFill>
                    <w14:schemeClr w14:val="tx1"/>
                  </w14:solidFill>
                </w14:textFill>
              </w:rPr>
              <w:t>2024</w:t>
            </w:r>
            <w:r>
              <w:rPr>
                <w:rFonts w:hint="eastAsia" w:ascii="Times New Roman" w:hAnsi="Times New Roman" w:eastAsia="宋体" w:cs="Times New Roman"/>
                <w:color w:val="000000" w:themeColor="text1"/>
                <w:highlight w:val="none"/>
                <w14:textFill>
                  <w14:solidFill>
                    <w14:schemeClr w14:val="tx1"/>
                  </w14:solidFill>
                </w14:textFill>
              </w:rPr>
              <w:t>年度</w:t>
            </w:r>
            <w:r>
              <w:rPr>
                <w:rFonts w:hint="eastAsia" w:ascii="Times New Roman" w:hAnsi="Times New Roman" w:eastAsia="宋体" w:cs="Times New Roman"/>
                <w:color w:val="000000" w:themeColor="text1"/>
                <w:highlight w:val="none"/>
                <w:lang w:eastAsia="zh-CN"/>
                <w14:textFill>
                  <w14:solidFill>
                    <w14:schemeClr w14:val="tx1"/>
                  </w14:solidFill>
                </w14:textFill>
              </w:rPr>
              <w:t>）</w:t>
            </w:r>
            <w:r>
              <w:rPr>
                <w:rFonts w:hint="eastAsia" w:ascii="Times New Roman" w:hAnsi="Times New Roman" w:eastAsia="宋体" w:cs="Times New Roman"/>
                <w:color w:val="000000" w:themeColor="text1"/>
                <w:highlight w:val="none"/>
                <w14:textFill>
                  <w14:solidFill>
                    <w14:schemeClr w14:val="tx1"/>
                  </w14:solidFill>
                </w14:textFill>
              </w:rPr>
              <w:t>经审计的财务报告</w:t>
            </w:r>
            <w:r>
              <w:rPr>
                <w:rFonts w:hint="eastAsia" w:ascii="Times New Roman" w:hAnsi="Times New Roman" w:eastAsia="宋体" w:cs="Times New Roman"/>
                <w:color w:val="000000" w:themeColor="text1"/>
                <w:highlight w:val="none"/>
                <w:lang w:val="en-US" w:eastAsia="zh-CN"/>
                <w14:textFill>
                  <w14:solidFill>
                    <w14:schemeClr w14:val="tx1"/>
                  </w14:solidFill>
                </w14:textFill>
              </w:rPr>
              <w:t>,成立不满一年无需提供</w:t>
            </w:r>
          </w:p>
        </w:tc>
        <w:tc>
          <w:tcPr>
            <w:tcW w:w="788" w:type="dxa"/>
            <w:vAlign w:val="center"/>
          </w:tcPr>
          <w:p w14:paraId="30C8F15A">
            <w:pPr>
              <w:shd w:val="clear"/>
              <w:rPr>
                <w:color w:val="000000" w:themeColor="text1"/>
                <w:highlight w:val="none"/>
                <w14:textFill>
                  <w14:solidFill>
                    <w14:schemeClr w14:val="tx1"/>
                  </w14:solidFill>
                </w14:textFill>
              </w:rPr>
            </w:pPr>
          </w:p>
        </w:tc>
        <w:tc>
          <w:tcPr>
            <w:tcW w:w="788" w:type="dxa"/>
            <w:vAlign w:val="center"/>
          </w:tcPr>
          <w:p w14:paraId="32751F8E">
            <w:pPr>
              <w:shd w:val="clear"/>
              <w:rPr>
                <w:color w:val="000000" w:themeColor="text1"/>
                <w:highlight w:val="none"/>
                <w14:textFill>
                  <w14:solidFill>
                    <w14:schemeClr w14:val="tx1"/>
                  </w14:solidFill>
                </w14:textFill>
              </w:rPr>
            </w:pPr>
          </w:p>
        </w:tc>
        <w:tc>
          <w:tcPr>
            <w:tcW w:w="789" w:type="dxa"/>
            <w:vAlign w:val="center"/>
          </w:tcPr>
          <w:p w14:paraId="1AC9125A">
            <w:pPr>
              <w:shd w:val="clear"/>
              <w:rPr>
                <w:color w:val="000000" w:themeColor="text1"/>
                <w:highlight w:val="none"/>
                <w14:textFill>
                  <w14:solidFill>
                    <w14:schemeClr w14:val="tx1"/>
                  </w14:solidFill>
                </w14:textFill>
              </w:rPr>
            </w:pPr>
          </w:p>
        </w:tc>
      </w:tr>
      <w:tr w14:paraId="2C81B9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426" w:type="dxa"/>
            <w:vAlign w:val="center"/>
          </w:tcPr>
          <w:p w14:paraId="5C30A626">
            <w:pPr>
              <w:shd w:val="clea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w:t>
            </w:r>
          </w:p>
        </w:tc>
        <w:tc>
          <w:tcPr>
            <w:tcW w:w="3383" w:type="dxa"/>
            <w:vAlign w:val="center"/>
          </w:tcPr>
          <w:p w14:paraId="31CC49DF">
            <w:pPr>
              <w:shd w:val="clear"/>
              <w:jc w:val="left"/>
              <w:rPr>
                <w:rFonts w:hint="eastAsia"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具有履行合同所必需的设备和专业技术能力</w:t>
            </w:r>
          </w:p>
        </w:tc>
        <w:tc>
          <w:tcPr>
            <w:tcW w:w="3546" w:type="dxa"/>
            <w:vAlign w:val="center"/>
          </w:tcPr>
          <w:p w14:paraId="28A2AFA9">
            <w:pPr>
              <w:shd w:val="clear"/>
              <w:jc w:val="left"/>
              <w:rPr>
                <w:rFonts w:hint="eastAsia"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根据项目需求提供履行合同所必需的设备和专业技术能力的证明材料或相关加盖公章的声明函</w:t>
            </w:r>
          </w:p>
        </w:tc>
        <w:tc>
          <w:tcPr>
            <w:tcW w:w="788" w:type="dxa"/>
            <w:vAlign w:val="center"/>
          </w:tcPr>
          <w:p w14:paraId="73F8F476">
            <w:pPr>
              <w:shd w:val="clear"/>
              <w:rPr>
                <w:color w:val="000000" w:themeColor="text1"/>
                <w:highlight w:val="none"/>
                <w14:textFill>
                  <w14:solidFill>
                    <w14:schemeClr w14:val="tx1"/>
                  </w14:solidFill>
                </w14:textFill>
              </w:rPr>
            </w:pPr>
          </w:p>
        </w:tc>
        <w:tc>
          <w:tcPr>
            <w:tcW w:w="788" w:type="dxa"/>
            <w:vAlign w:val="center"/>
          </w:tcPr>
          <w:p w14:paraId="478F287E">
            <w:pPr>
              <w:shd w:val="clear"/>
              <w:rPr>
                <w:color w:val="000000" w:themeColor="text1"/>
                <w:highlight w:val="none"/>
                <w14:textFill>
                  <w14:solidFill>
                    <w14:schemeClr w14:val="tx1"/>
                  </w14:solidFill>
                </w14:textFill>
              </w:rPr>
            </w:pPr>
          </w:p>
        </w:tc>
        <w:tc>
          <w:tcPr>
            <w:tcW w:w="789" w:type="dxa"/>
            <w:vAlign w:val="center"/>
          </w:tcPr>
          <w:p w14:paraId="027A9BA2">
            <w:pPr>
              <w:shd w:val="clear"/>
              <w:rPr>
                <w:color w:val="000000" w:themeColor="text1"/>
                <w:highlight w:val="none"/>
                <w14:textFill>
                  <w14:solidFill>
                    <w14:schemeClr w14:val="tx1"/>
                  </w14:solidFill>
                </w14:textFill>
              </w:rPr>
            </w:pPr>
          </w:p>
        </w:tc>
      </w:tr>
      <w:tr w14:paraId="5BF3E8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426" w:type="dxa"/>
            <w:vAlign w:val="center"/>
          </w:tcPr>
          <w:p w14:paraId="3B1E6D95">
            <w:pPr>
              <w:shd w:val="clea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4</w:t>
            </w:r>
          </w:p>
        </w:tc>
        <w:tc>
          <w:tcPr>
            <w:tcW w:w="3383" w:type="dxa"/>
            <w:vAlign w:val="center"/>
          </w:tcPr>
          <w:p w14:paraId="3C5328F5">
            <w:pPr>
              <w:shd w:val="clear"/>
              <w:jc w:val="left"/>
              <w:rPr>
                <w:rFonts w:hint="eastAsia"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有依法缴纳税收和社会保障资金的良好记录</w:t>
            </w:r>
          </w:p>
        </w:tc>
        <w:tc>
          <w:tcPr>
            <w:tcW w:w="3546" w:type="dxa"/>
            <w:vAlign w:val="center"/>
          </w:tcPr>
          <w:p w14:paraId="7D047EAC">
            <w:pPr>
              <w:shd w:val="clear"/>
              <w:jc w:val="left"/>
              <w:rPr>
                <w:rFonts w:hint="eastAsia"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提供</w:t>
            </w:r>
            <w:r>
              <w:rPr>
                <w:rFonts w:hint="eastAsia" w:ascii="Times New Roman" w:hAnsi="Times New Roman" w:eastAsia="宋体" w:cs="Times New Roman"/>
                <w:color w:val="000000" w:themeColor="text1"/>
                <w:highlight w:val="none"/>
                <w:lang w:eastAsia="zh-CN"/>
                <w14:textFill>
                  <w14:solidFill>
                    <w14:schemeClr w14:val="tx1"/>
                  </w14:solidFill>
                </w14:textFill>
              </w:rPr>
              <w:t>投标截止时间前</w:t>
            </w:r>
            <w:r>
              <w:rPr>
                <w:rFonts w:hint="eastAsia" w:ascii="Times New Roman" w:hAnsi="Times New Roman" w:eastAsia="宋体" w:cs="Times New Roman"/>
                <w:color w:val="000000" w:themeColor="text1"/>
                <w:highlight w:val="none"/>
                <w14:textFill>
                  <w14:solidFill>
                    <w14:schemeClr w14:val="tx1"/>
                  </w14:solidFill>
                </w14:textFill>
              </w:rPr>
              <w:t>近半年内任意一个月的纳税证明文件（依法免缴的应提供相应文件说明）；并提供</w:t>
            </w:r>
            <w:r>
              <w:rPr>
                <w:rFonts w:hint="eastAsia" w:ascii="Times New Roman" w:hAnsi="Times New Roman" w:eastAsia="宋体" w:cs="Times New Roman"/>
                <w:color w:val="000000" w:themeColor="text1"/>
                <w:highlight w:val="none"/>
                <w:lang w:eastAsia="zh-CN"/>
                <w14:textFill>
                  <w14:solidFill>
                    <w14:schemeClr w14:val="tx1"/>
                  </w14:solidFill>
                </w14:textFill>
              </w:rPr>
              <w:t>投标截止时间前</w:t>
            </w:r>
            <w:r>
              <w:rPr>
                <w:rFonts w:hint="eastAsia" w:ascii="Times New Roman" w:hAnsi="Times New Roman" w:eastAsia="宋体" w:cs="Times New Roman"/>
                <w:color w:val="000000" w:themeColor="text1"/>
                <w:highlight w:val="none"/>
                <w14:textFill>
                  <w14:solidFill>
                    <w14:schemeClr w14:val="tx1"/>
                  </w14:solidFill>
                </w14:textFill>
              </w:rPr>
              <w:t>近半年内依法为员工缴纳社会保障资金的证明材料（任意一个月即可），证明材料可以是缴费的银行单据复印件、社保机构开具的证明（依法不需要缴纳社会保障资金的应提供相应文件说明）</w:t>
            </w:r>
          </w:p>
        </w:tc>
        <w:tc>
          <w:tcPr>
            <w:tcW w:w="788" w:type="dxa"/>
            <w:vAlign w:val="center"/>
          </w:tcPr>
          <w:p w14:paraId="6C79A1FB">
            <w:pPr>
              <w:shd w:val="clear"/>
              <w:rPr>
                <w:color w:val="000000" w:themeColor="text1"/>
                <w:highlight w:val="none"/>
                <w14:textFill>
                  <w14:solidFill>
                    <w14:schemeClr w14:val="tx1"/>
                  </w14:solidFill>
                </w14:textFill>
              </w:rPr>
            </w:pPr>
          </w:p>
        </w:tc>
        <w:tc>
          <w:tcPr>
            <w:tcW w:w="788" w:type="dxa"/>
            <w:vAlign w:val="center"/>
          </w:tcPr>
          <w:p w14:paraId="49783B1C">
            <w:pPr>
              <w:shd w:val="clear"/>
              <w:rPr>
                <w:color w:val="000000" w:themeColor="text1"/>
                <w:highlight w:val="none"/>
                <w14:textFill>
                  <w14:solidFill>
                    <w14:schemeClr w14:val="tx1"/>
                  </w14:solidFill>
                </w14:textFill>
              </w:rPr>
            </w:pPr>
          </w:p>
        </w:tc>
        <w:tc>
          <w:tcPr>
            <w:tcW w:w="789" w:type="dxa"/>
            <w:vAlign w:val="center"/>
          </w:tcPr>
          <w:p w14:paraId="34827097">
            <w:pPr>
              <w:shd w:val="clear"/>
              <w:rPr>
                <w:color w:val="000000" w:themeColor="text1"/>
                <w:highlight w:val="none"/>
                <w14:textFill>
                  <w14:solidFill>
                    <w14:schemeClr w14:val="tx1"/>
                  </w14:solidFill>
                </w14:textFill>
              </w:rPr>
            </w:pPr>
          </w:p>
        </w:tc>
      </w:tr>
      <w:tr w14:paraId="1D74B7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1" w:hRule="atLeast"/>
          <w:jc w:val="center"/>
        </w:trPr>
        <w:tc>
          <w:tcPr>
            <w:tcW w:w="426" w:type="dxa"/>
            <w:vAlign w:val="center"/>
          </w:tcPr>
          <w:p w14:paraId="34EBFAD7">
            <w:pPr>
              <w:shd w:val="clea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5</w:t>
            </w:r>
          </w:p>
        </w:tc>
        <w:tc>
          <w:tcPr>
            <w:tcW w:w="3383" w:type="dxa"/>
            <w:vAlign w:val="center"/>
          </w:tcPr>
          <w:p w14:paraId="178D2764">
            <w:pPr>
              <w:shd w:val="clear"/>
              <w:jc w:val="left"/>
              <w:rPr>
                <w:rFonts w:hint="eastAsia"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参加本次采购活动前三年内，在经营活动中没有重大违法记录</w:t>
            </w:r>
          </w:p>
        </w:tc>
        <w:tc>
          <w:tcPr>
            <w:tcW w:w="3546" w:type="dxa"/>
            <w:vAlign w:val="center"/>
          </w:tcPr>
          <w:p w14:paraId="57E30F3E">
            <w:pPr>
              <w:shd w:val="clear"/>
              <w:jc w:val="left"/>
              <w:rPr>
                <w:rFonts w:hint="eastAsia"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提供参加本次采购活动前三年内在经营活动中没有重大违法记录的书面声明</w:t>
            </w:r>
          </w:p>
        </w:tc>
        <w:tc>
          <w:tcPr>
            <w:tcW w:w="788" w:type="dxa"/>
            <w:vAlign w:val="center"/>
          </w:tcPr>
          <w:p w14:paraId="689CFF55">
            <w:pPr>
              <w:shd w:val="clear"/>
              <w:rPr>
                <w:color w:val="000000" w:themeColor="text1"/>
                <w:highlight w:val="none"/>
                <w14:textFill>
                  <w14:solidFill>
                    <w14:schemeClr w14:val="tx1"/>
                  </w14:solidFill>
                </w14:textFill>
              </w:rPr>
            </w:pPr>
          </w:p>
        </w:tc>
        <w:tc>
          <w:tcPr>
            <w:tcW w:w="788" w:type="dxa"/>
            <w:vAlign w:val="center"/>
          </w:tcPr>
          <w:p w14:paraId="24319BCC">
            <w:pPr>
              <w:shd w:val="clear"/>
              <w:rPr>
                <w:color w:val="000000" w:themeColor="text1"/>
                <w:highlight w:val="none"/>
                <w14:textFill>
                  <w14:solidFill>
                    <w14:schemeClr w14:val="tx1"/>
                  </w14:solidFill>
                </w14:textFill>
              </w:rPr>
            </w:pPr>
          </w:p>
        </w:tc>
        <w:tc>
          <w:tcPr>
            <w:tcW w:w="789" w:type="dxa"/>
            <w:vAlign w:val="center"/>
          </w:tcPr>
          <w:p w14:paraId="35AEB03C">
            <w:pPr>
              <w:shd w:val="clear"/>
              <w:rPr>
                <w:color w:val="000000" w:themeColor="text1"/>
                <w:highlight w:val="none"/>
                <w14:textFill>
                  <w14:solidFill>
                    <w14:schemeClr w14:val="tx1"/>
                  </w14:solidFill>
                </w14:textFill>
              </w:rPr>
            </w:pPr>
          </w:p>
        </w:tc>
      </w:tr>
      <w:tr w14:paraId="282226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1" w:hRule="atLeast"/>
          <w:jc w:val="center"/>
        </w:trPr>
        <w:tc>
          <w:tcPr>
            <w:tcW w:w="426" w:type="dxa"/>
            <w:vAlign w:val="center"/>
          </w:tcPr>
          <w:p w14:paraId="4B897C0B">
            <w:pPr>
              <w:shd w:val="clea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6</w:t>
            </w:r>
          </w:p>
        </w:tc>
        <w:tc>
          <w:tcPr>
            <w:tcW w:w="3383" w:type="dxa"/>
            <w:vAlign w:val="center"/>
          </w:tcPr>
          <w:p w14:paraId="5554F697">
            <w:pPr>
              <w:shd w:val="clear"/>
              <w:jc w:val="left"/>
              <w:rPr>
                <w:rFonts w:hint="eastAsia"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法律、行政法规规定的其他条件</w:t>
            </w:r>
          </w:p>
        </w:tc>
        <w:tc>
          <w:tcPr>
            <w:tcW w:w="3546" w:type="dxa"/>
            <w:vAlign w:val="center"/>
          </w:tcPr>
          <w:p w14:paraId="69220C1A">
            <w:pPr>
              <w:shd w:val="clear"/>
              <w:jc w:val="left"/>
              <w:rPr>
                <w:rFonts w:hint="eastAsia"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符合并提供承诺书加盖供应商公章编入响应文件中</w:t>
            </w:r>
          </w:p>
        </w:tc>
        <w:tc>
          <w:tcPr>
            <w:tcW w:w="788" w:type="dxa"/>
            <w:vAlign w:val="center"/>
          </w:tcPr>
          <w:p w14:paraId="792D2494">
            <w:pPr>
              <w:shd w:val="clear"/>
              <w:rPr>
                <w:color w:val="000000" w:themeColor="text1"/>
                <w:highlight w:val="none"/>
                <w14:textFill>
                  <w14:solidFill>
                    <w14:schemeClr w14:val="tx1"/>
                  </w14:solidFill>
                </w14:textFill>
              </w:rPr>
            </w:pPr>
          </w:p>
        </w:tc>
        <w:tc>
          <w:tcPr>
            <w:tcW w:w="788" w:type="dxa"/>
            <w:vAlign w:val="center"/>
          </w:tcPr>
          <w:p w14:paraId="170CF051">
            <w:pPr>
              <w:shd w:val="clear"/>
              <w:rPr>
                <w:color w:val="000000" w:themeColor="text1"/>
                <w:highlight w:val="none"/>
                <w14:textFill>
                  <w14:solidFill>
                    <w14:schemeClr w14:val="tx1"/>
                  </w14:solidFill>
                </w14:textFill>
              </w:rPr>
            </w:pPr>
          </w:p>
        </w:tc>
        <w:tc>
          <w:tcPr>
            <w:tcW w:w="789" w:type="dxa"/>
            <w:vAlign w:val="center"/>
          </w:tcPr>
          <w:p w14:paraId="128083F5">
            <w:pPr>
              <w:shd w:val="clear"/>
              <w:rPr>
                <w:color w:val="000000" w:themeColor="text1"/>
                <w:highlight w:val="none"/>
                <w14:textFill>
                  <w14:solidFill>
                    <w14:schemeClr w14:val="tx1"/>
                  </w14:solidFill>
                </w14:textFill>
              </w:rPr>
            </w:pPr>
          </w:p>
        </w:tc>
      </w:tr>
      <w:tr w14:paraId="0205EA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4" w:hRule="atLeast"/>
          <w:jc w:val="center"/>
        </w:trPr>
        <w:tc>
          <w:tcPr>
            <w:tcW w:w="426" w:type="dxa"/>
            <w:vAlign w:val="center"/>
          </w:tcPr>
          <w:p w14:paraId="69C7D963">
            <w:pPr>
              <w:shd w:val="clea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7</w:t>
            </w:r>
          </w:p>
        </w:tc>
        <w:tc>
          <w:tcPr>
            <w:tcW w:w="3383" w:type="dxa"/>
          </w:tcPr>
          <w:p w14:paraId="09FE0284">
            <w:pPr>
              <w:shd w:val="clear"/>
              <w:jc w:val="left"/>
              <w:rPr>
                <w:rFonts w:hint="eastAsia"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供应商资质等级及范围：具备建筑工程施工总承包三级（含）以上资质并具有有效的《安全生产许可证》</w:t>
            </w:r>
          </w:p>
        </w:tc>
        <w:tc>
          <w:tcPr>
            <w:tcW w:w="3546" w:type="dxa"/>
            <w:vAlign w:val="center"/>
          </w:tcPr>
          <w:p w14:paraId="727C667F">
            <w:pPr>
              <w:shd w:val="clear"/>
              <w:jc w:val="left"/>
              <w:rPr>
                <w:rFonts w:hint="eastAsia"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提供有效的证书复印件加盖供应商公章编入响应文件中</w:t>
            </w:r>
          </w:p>
        </w:tc>
        <w:tc>
          <w:tcPr>
            <w:tcW w:w="788" w:type="dxa"/>
            <w:vAlign w:val="center"/>
          </w:tcPr>
          <w:p w14:paraId="0CFDB737">
            <w:pPr>
              <w:shd w:val="clear"/>
              <w:rPr>
                <w:color w:val="000000" w:themeColor="text1"/>
                <w:highlight w:val="none"/>
                <w14:textFill>
                  <w14:solidFill>
                    <w14:schemeClr w14:val="tx1"/>
                  </w14:solidFill>
                </w14:textFill>
              </w:rPr>
            </w:pPr>
          </w:p>
          <w:p w14:paraId="1D2FCA3E">
            <w:pPr>
              <w:shd w:val="clear"/>
              <w:rPr>
                <w:color w:val="000000" w:themeColor="text1"/>
                <w:highlight w:val="none"/>
                <w14:textFill>
                  <w14:solidFill>
                    <w14:schemeClr w14:val="tx1"/>
                  </w14:solidFill>
                </w14:textFill>
              </w:rPr>
            </w:pPr>
          </w:p>
        </w:tc>
        <w:tc>
          <w:tcPr>
            <w:tcW w:w="788" w:type="dxa"/>
            <w:vAlign w:val="center"/>
          </w:tcPr>
          <w:p w14:paraId="7718145E">
            <w:pPr>
              <w:shd w:val="clear"/>
              <w:rPr>
                <w:color w:val="000000" w:themeColor="text1"/>
                <w:highlight w:val="none"/>
                <w14:textFill>
                  <w14:solidFill>
                    <w14:schemeClr w14:val="tx1"/>
                  </w14:solidFill>
                </w14:textFill>
              </w:rPr>
            </w:pPr>
          </w:p>
        </w:tc>
        <w:tc>
          <w:tcPr>
            <w:tcW w:w="789" w:type="dxa"/>
            <w:vAlign w:val="center"/>
          </w:tcPr>
          <w:p w14:paraId="25F0CF13">
            <w:pPr>
              <w:shd w:val="clear"/>
              <w:rPr>
                <w:color w:val="000000" w:themeColor="text1"/>
                <w:highlight w:val="none"/>
                <w14:textFill>
                  <w14:solidFill>
                    <w14:schemeClr w14:val="tx1"/>
                  </w14:solidFill>
                </w14:textFill>
              </w:rPr>
            </w:pPr>
          </w:p>
        </w:tc>
      </w:tr>
      <w:tr w14:paraId="729DBC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9" w:hRule="atLeast"/>
          <w:jc w:val="center"/>
        </w:trPr>
        <w:tc>
          <w:tcPr>
            <w:tcW w:w="426" w:type="dxa"/>
            <w:vAlign w:val="center"/>
          </w:tcPr>
          <w:p w14:paraId="7362FBE6">
            <w:pPr>
              <w:shd w:val="clea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8</w:t>
            </w:r>
          </w:p>
        </w:tc>
        <w:tc>
          <w:tcPr>
            <w:tcW w:w="3383" w:type="dxa"/>
          </w:tcPr>
          <w:p w14:paraId="3AAC159E">
            <w:pPr>
              <w:shd w:val="clear"/>
              <w:jc w:val="left"/>
              <w:rPr>
                <w:rFonts w:hint="eastAsia"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项目负责人的资格要求：取得注册建造师证建筑工程二级(含)以上注册执业证书并取得《安全生产考核合格证书》B类证书；同时需提供本工程项目负责人与供应商签订的有效劳动合同、社保机构出具的近半年内(2025年7月-2025年12月)任意一个月供应商为其缴纳的养老保险缴费证明材料并加盖社保中心章或社保中心参保缴费证明电子专用章；若项目负责人属企业退休人员、现役军人等客观原因无法提供养老保险金缴费证明，必须出具劳务合同及相关证明材料，否则一律按未提供养老保险金缴费证明材料处理。（须供有效的证书复印件、合同及养老保险缴费证明材料复印件加盖公章）。</w:t>
            </w:r>
          </w:p>
        </w:tc>
        <w:tc>
          <w:tcPr>
            <w:tcW w:w="3546" w:type="dxa"/>
            <w:vAlign w:val="center"/>
          </w:tcPr>
          <w:p w14:paraId="4FE94A9E">
            <w:pPr>
              <w:shd w:val="clear"/>
              <w:jc w:val="left"/>
              <w:rPr>
                <w:rFonts w:hint="eastAsia"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须提供有效的证书复印件、合同及养老保险缴费证明材料复印件加盖公章。</w:t>
            </w:r>
          </w:p>
          <w:p w14:paraId="0B1D41EC">
            <w:pPr>
              <w:shd w:val="clear"/>
              <w:jc w:val="left"/>
              <w:rPr>
                <w:rFonts w:hint="eastAsia"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根据住房和城乡建设部办公厅关于全面实行一级建造师电子注册证书的通知（建办市〔2021〕40 号）要求，自 2021 年 10 月 15 日起，在全国范围内实行一级建造师电子证书，电子证书式样按照《全国一体化在线政务服务平台电子证照一级建造师注册证书》标准执行。自 2022 年 1 月 1 日起，一级建造师统一使用电子证书，纸质注册证书作废。各投标人须提供一级建造师证书电子注册证书，电子注册证书应当符合相关文件规定，签名图像应当与持证人个人手写签名笔迹一致，证书应当在使用有效期限内。若提供的电子件无法识别有效信息的，视为无效。投标人将自行承担资格审查不通过等相应后果。</w:t>
            </w:r>
          </w:p>
        </w:tc>
        <w:tc>
          <w:tcPr>
            <w:tcW w:w="788" w:type="dxa"/>
            <w:vAlign w:val="center"/>
          </w:tcPr>
          <w:p w14:paraId="2BC43FA7">
            <w:pPr>
              <w:shd w:val="clear"/>
              <w:rPr>
                <w:color w:val="000000" w:themeColor="text1"/>
                <w:highlight w:val="none"/>
                <w14:textFill>
                  <w14:solidFill>
                    <w14:schemeClr w14:val="tx1"/>
                  </w14:solidFill>
                </w14:textFill>
              </w:rPr>
            </w:pPr>
          </w:p>
        </w:tc>
        <w:tc>
          <w:tcPr>
            <w:tcW w:w="788" w:type="dxa"/>
            <w:vAlign w:val="center"/>
          </w:tcPr>
          <w:p w14:paraId="6D43F2A9">
            <w:pPr>
              <w:shd w:val="clear"/>
              <w:rPr>
                <w:color w:val="000000" w:themeColor="text1"/>
                <w:highlight w:val="none"/>
                <w14:textFill>
                  <w14:solidFill>
                    <w14:schemeClr w14:val="tx1"/>
                  </w14:solidFill>
                </w14:textFill>
              </w:rPr>
            </w:pPr>
          </w:p>
        </w:tc>
        <w:tc>
          <w:tcPr>
            <w:tcW w:w="789" w:type="dxa"/>
            <w:vAlign w:val="center"/>
          </w:tcPr>
          <w:p w14:paraId="5B80A0F7">
            <w:pPr>
              <w:shd w:val="clear"/>
              <w:rPr>
                <w:color w:val="000000" w:themeColor="text1"/>
                <w:highlight w:val="none"/>
                <w14:textFill>
                  <w14:solidFill>
                    <w14:schemeClr w14:val="tx1"/>
                  </w14:solidFill>
                </w14:textFill>
              </w:rPr>
            </w:pPr>
          </w:p>
        </w:tc>
      </w:tr>
      <w:tr w14:paraId="7AFCEF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9" w:hRule="atLeast"/>
          <w:jc w:val="center"/>
        </w:trPr>
        <w:tc>
          <w:tcPr>
            <w:tcW w:w="426" w:type="dxa"/>
            <w:vAlign w:val="center"/>
          </w:tcPr>
          <w:p w14:paraId="74762965">
            <w:pPr>
              <w:shd w:val="clear"/>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9</w:t>
            </w:r>
          </w:p>
        </w:tc>
        <w:tc>
          <w:tcPr>
            <w:tcW w:w="3383" w:type="dxa"/>
            <w:vAlign w:val="center"/>
          </w:tcPr>
          <w:p w14:paraId="15F6FE8A">
            <w:pPr>
              <w:shd w:val="clear"/>
              <w:jc w:val="left"/>
              <w:rPr>
                <w:rFonts w:hint="eastAsia"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供应商须承诺拟投入本项目的项目负责人无在建工程</w:t>
            </w:r>
          </w:p>
        </w:tc>
        <w:tc>
          <w:tcPr>
            <w:tcW w:w="3546" w:type="dxa"/>
            <w:vAlign w:val="center"/>
          </w:tcPr>
          <w:p w14:paraId="146B7D98">
            <w:pPr>
              <w:shd w:val="clear"/>
              <w:jc w:val="left"/>
              <w:rPr>
                <w:rFonts w:hint="eastAsia"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提供承诺书加盖公章</w:t>
            </w:r>
          </w:p>
        </w:tc>
        <w:tc>
          <w:tcPr>
            <w:tcW w:w="788" w:type="dxa"/>
            <w:vAlign w:val="center"/>
          </w:tcPr>
          <w:p w14:paraId="1C0C7E32">
            <w:pPr>
              <w:shd w:val="clear"/>
              <w:rPr>
                <w:color w:val="000000" w:themeColor="text1"/>
                <w:highlight w:val="none"/>
                <w14:textFill>
                  <w14:solidFill>
                    <w14:schemeClr w14:val="tx1"/>
                  </w14:solidFill>
                </w14:textFill>
              </w:rPr>
            </w:pPr>
          </w:p>
        </w:tc>
        <w:tc>
          <w:tcPr>
            <w:tcW w:w="788" w:type="dxa"/>
            <w:vAlign w:val="center"/>
          </w:tcPr>
          <w:p w14:paraId="4DF1FDA1">
            <w:pPr>
              <w:shd w:val="clear"/>
              <w:rPr>
                <w:color w:val="000000" w:themeColor="text1"/>
                <w:highlight w:val="none"/>
                <w14:textFill>
                  <w14:solidFill>
                    <w14:schemeClr w14:val="tx1"/>
                  </w14:solidFill>
                </w14:textFill>
              </w:rPr>
            </w:pPr>
          </w:p>
        </w:tc>
        <w:tc>
          <w:tcPr>
            <w:tcW w:w="789" w:type="dxa"/>
            <w:vAlign w:val="center"/>
          </w:tcPr>
          <w:p w14:paraId="017AD203">
            <w:pPr>
              <w:shd w:val="clear"/>
              <w:rPr>
                <w:color w:val="000000" w:themeColor="text1"/>
                <w:highlight w:val="none"/>
                <w14:textFill>
                  <w14:solidFill>
                    <w14:schemeClr w14:val="tx1"/>
                  </w14:solidFill>
                </w14:textFill>
              </w:rPr>
            </w:pPr>
          </w:p>
        </w:tc>
      </w:tr>
      <w:tr w14:paraId="1CAA40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9" w:hRule="atLeast"/>
          <w:jc w:val="center"/>
        </w:trPr>
        <w:tc>
          <w:tcPr>
            <w:tcW w:w="426" w:type="dxa"/>
            <w:vAlign w:val="center"/>
          </w:tcPr>
          <w:p w14:paraId="65421632">
            <w:pPr>
              <w:shd w:val="clear"/>
              <w:jc w:val="cente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10</w:t>
            </w:r>
          </w:p>
        </w:tc>
        <w:tc>
          <w:tcPr>
            <w:tcW w:w="3383" w:type="dxa"/>
            <w:vAlign w:val="center"/>
          </w:tcPr>
          <w:p w14:paraId="3FA5B210">
            <w:pPr>
              <w:shd w:val="clear"/>
              <w:jc w:val="left"/>
              <w:rPr>
                <w:rFonts w:hint="eastAsia"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拒绝下述供应商参加本次采购活动：（1）供应商单位负责人为同一人或者存在直接控股、管理关系的不同供应商，不得参加同一合同项下的采购活动。</w:t>
            </w:r>
          </w:p>
          <w:p w14:paraId="4FB4E1FB">
            <w:pPr>
              <w:shd w:val="clear"/>
              <w:jc w:val="left"/>
              <w:rPr>
                <w:rFonts w:hint="eastAsia"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（2）凡为采购项目提供整体设计、规范编制或者项目管理、监理、检测等服务的供应商，不得再参加本项目的采购活动。</w:t>
            </w:r>
          </w:p>
          <w:p w14:paraId="1A7202B1">
            <w:pPr>
              <w:shd w:val="clear"/>
              <w:jc w:val="left"/>
              <w:rPr>
                <w:rFonts w:hint="eastAsia"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（3）拒绝列入失信被执行人、重大税收违法失信主体、政府采购严重违法失信行为记录名单中的供应商参加本项目的采购活动。</w:t>
            </w:r>
          </w:p>
        </w:tc>
        <w:tc>
          <w:tcPr>
            <w:tcW w:w="3546" w:type="dxa"/>
            <w:vAlign w:val="center"/>
          </w:tcPr>
          <w:p w14:paraId="41CD73F4">
            <w:pPr>
              <w:shd w:val="clear"/>
              <w:jc w:val="left"/>
              <w:rPr>
                <w:rFonts w:hint="eastAsia"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提供承诺书加盖供应商公章编入响应文件中</w:t>
            </w:r>
          </w:p>
          <w:p w14:paraId="3BB0D8B8">
            <w:pPr>
              <w:shd w:val="clear"/>
              <w:jc w:val="left"/>
              <w:rPr>
                <w:rFonts w:hint="eastAsia"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eastAsia="宋体" w:cs="Times New Roman"/>
                <w:color w:val="000000" w:themeColor="text1"/>
                <w:highlight w:val="none"/>
                <w14:textFill>
                  <w14:solidFill>
                    <w14:schemeClr w14:val="tx1"/>
                  </w14:solidFill>
                </w14:textFill>
              </w:rPr>
              <w:t>注：采购人或代理机构通过 “信用中国”网站（www.creditchina.gov.cn）、“中国政府采购网”网站（www.ccgp.gov.cn）等渠道查询供应商信用记录并保存。</w:t>
            </w:r>
          </w:p>
        </w:tc>
        <w:tc>
          <w:tcPr>
            <w:tcW w:w="788" w:type="dxa"/>
            <w:vAlign w:val="center"/>
          </w:tcPr>
          <w:p w14:paraId="561B2EDE">
            <w:pPr>
              <w:shd w:val="clear"/>
              <w:rPr>
                <w:color w:val="000000" w:themeColor="text1"/>
                <w:highlight w:val="none"/>
                <w14:textFill>
                  <w14:solidFill>
                    <w14:schemeClr w14:val="tx1"/>
                  </w14:solidFill>
                </w14:textFill>
              </w:rPr>
            </w:pPr>
          </w:p>
        </w:tc>
        <w:tc>
          <w:tcPr>
            <w:tcW w:w="788" w:type="dxa"/>
            <w:vAlign w:val="center"/>
          </w:tcPr>
          <w:p w14:paraId="6F2DD22D">
            <w:pPr>
              <w:shd w:val="clear"/>
              <w:rPr>
                <w:color w:val="000000" w:themeColor="text1"/>
                <w:highlight w:val="none"/>
                <w14:textFill>
                  <w14:solidFill>
                    <w14:schemeClr w14:val="tx1"/>
                  </w14:solidFill>
                </w14:textFill>
              </w:rPr>
            </w:pPr>
          </w:p>
        </w:tc>
        <w:tc>
          <w:tcPr>
            <w:tcW w:w="789" w:type="dxa"/>
            <w:vAlign w:val="center"/>
          </w:tcPr>
          <w:p w14:paraId="0A9DD872">
            <w:pPr>
              <w:shd w:val="clear"/>
              <w:rPr>
                <w:color w:val="000000" w:themeColor="text1"/>
                <w:highlight w:val="none"/>
                <w14:textFill>
                  <w14:solidFill>
                    <w14:schemeClr w14:val="tx1"/>
                  </w14:solidFill>
                </w14:textFill>
              </w:rPr>
            </w:pPr>
          </w:p>
        </w:tc>
      </w:tr>
      <w:tr w14:paraId="125C78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426" w:type="dxa"/>
            <w:vAlign w:val="center"/>
          </w:tcPr>
          <w:p w14:paraId="5C52AB59">
            <w:pPr>
              <w:shd w:val="clear"/>
              <w:jc w:val="cente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1</w:t>
            </w:r>
            <w:r>
              <w:rPr>
                <w:rFonts w:hint="eastAsia"/>
                <w:color w:val="000000" w:themeColor="text1"/>
                <w:highlight w:val="none"/>
                <w:lang w:val="en-US" w:eastAsia="zh-CN"/>
                <w14:textFill>
                  <w14:solidFill>
                    <w14:schemeClr w14:val="tx1"/>
                  </w14:solidFill>
                </w14:textFill>
              </w:rPr>
              <w:t>1</w:t>
            </w:r>
          </w:p>
        </w:tc>
        <w:tc>
          <w:tcPr>
            <w:tcW w:w="3383" w:type="dxa"/>
          </w:tcPr>
          <w:p w14:paraId="156FD5B6">
            <w:pPr>
              <w:shd w:val="clear"/>
              <w:jc w:val="lef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落实政府采购政策需满足的资格要求：本项目为专门面向中小企业采购的项目。</w:t>
            </w:r>
          </w:p>
        </w:tc>
        <w:tc>
          <w:tcPr>
            <w:tcW w:w="3546" w:type="dxa"/>
            <w:vAlign w:val="center"/>
          </w:tcPr>
          <w:p w14:paraId="7DF6A252">
            <w:pPr>
              <w:shd w:val="clear"/>
              <w:jc w:val="lef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须提供中小微企业或残疾人福利性企业声明函、监狱单位提供证明文件。非中小型企业参与本项目投标，将做无效标处理。</w:t>
            </w:r>
          </w:p>
        </w:tc>
        <w:tc>
          <w:tcPr>
            <w:tcW w:w="788" w:type="dxa"/>
            <w:vAlign w:val="center"/>
          </w:tcPr>
          <w:p w14:paraId="39609E6E">
            <w:pPr>
              <w:shd w:val="clear"/>
              <w:rPr>
                <w:color w:val="000000" w:themeColor="text1"/>
                <w:highlight w:val="none"/>
                <w14:textFill>
                  <w14:solidFill>
                    <w14:schemeClr w14:val="tx1"/>
                  </w14:solidFill>
                </w14:textFill>
              </w:rPr>
            </w:pPr>
          </w:p>
        </w:tc>
        <w:tc>
          <w:tcPr>
            <w:tcW w:w="788" w:type="dxa"/>
            <w:vAlign w:val="center"/>
          </w:tcPr>
          <w:p w14:paraId="0C90756F">
            <w:pPr>
              <w:shd w:val="clear"/>
              <w:rPr>
                <w:color w:val="000000" w:themeColor="text1"/>
                <w:highlight w:val="none"/>
                <w14:textFill>
                  <w14:solidFill>
                    <w14:schemeClr w14:val="tx1"/>
                  </w14:solidFill>
                </w14:textFill>
              </w:rPr>
            </w:pPr>
          </w:p>
        </w:tc>
        <w:tc>
          <w:tcPr>
            <w:tcW w:w="789" w:type="dxa"/>
            <w:vAlign w:val="center"/>
          </w:tcPr>
          <w:p w14:paraId="73367939">
            <w:pPr>
              <w:shd w:val="clear"/>
              <w:rPr>
                <w:color w:val="000000" w:themeColor="text1"/>
                <w:highlight w:val="none"/>
                <w14:textFill>
                  <w14:solidFill>
                    <w14:schemeClr w14:val="tx1"/>
                  </w14:solidFill>
                </w14:textFill>
              </w:rPr>
            </w:pPr>
          </w:p>
        </w:tc>
      </w:tr>
      <w:tr w14:paraId="558659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426" w:type="dxa"/>
            <w:shd w:val="clear" w:color="auto" w:fill="auto"/>
            <w:vAlign w:val="center"/>
          </w:tcPr>
          <w:p w14:paraId="66122A4A">
            <w:pPr>
              <w:shd w:val="clear"/>
              <w:jc w:val="center"/>
              <w:rPr>
                <w:rFonts w:hint="eastAsia" w:ascii="Times New Roman" w:hAnsi="Times New Roman" w:eastAsia="宋体" w:cs="Times New Roman"/>
                <w:color w:val="000000" w:themeColor="text1"/>
                <w:kern w:val="2"/>
                <w:sz w:val="21"/>
                <w:highlight w:val="none"/>
                <w:lang w:val="en-US" w:eastAsia="zh-CN" w:bidi="ar-SA"/>
                <w14:textFill>
                  <w14:solidFill>
                    <w14:schemeClr w14:val="tx1"/>
                  </w14:solidFill>
                </w14:textFill>
              </w:rPr>
            </w:pPr>
            <w:r>
              <w:rPr>
                <w:rFonts w:hint="eastAsia"/>
                <w:color w:val="000000" w:themeColor="text1"/>
                <w:highlight w:val="none"/>
                <w:lang w:val="en-US" w:eastAsia="zh-CN"/>
                <w14:textFill>
                  <w14:solidFill>
                    <w14:schemeClr w14:val="tx1"/>
                  </w14:solidFill>
                </w14:textFill>
              </w:rPr>
              <w:t>12</w:t>
            </w:r>
          </w:p>
        </w:tc>
        <w:tc>
          <w:tcPr>
            <w:tcW w:w="3383" w:type="dxa"/>
            <w:shd w:val="clear" w:color="auto" w:fill="auto"/>
            <w:vAlign w:val="center"/>
          </w:tcPr>
          <w:p w14:paraId="41CD7533">
            <w:pPr>
              <w:shd w:val="clear"/>
              <w:jc w:val="left"/>
              <w:rPr>
                <w:rFonts w:hint="eastAsia"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color w:val="000000" w:themeColor="text1"/>
                <w:highlight w:val="none"/>
                <w14:textFill>
                  <w14:solidFill>
                    <w14:schemeClr w14:val="tx1"/>
                  </w14:solidFill>
                </w14:textFill>
              </w:rPr>
              <w:t>按采购文件规定的数额和办法交纳磋商保证金</w:t>
            </w:r>
          </w:p>
        </w:tc>
        <w:tc>
          <w:tcPr>
            <w:tcW w:w="3546" w:type="dxa"/>
            <w:shd w:val="clear" w:color="auto" w:fill="auto"/>
            <w:vAlign w:val="center"/>
          </w:tcPr>
          <w:p w14:paraId="596C6FC6">
            <w:pPr>
              <w:shd w:val="clear"/>
              <w:jc w:val="left"/>
              <w:rPr>
                <w:rFonts w:hint="eastAsia" w:ascii="Times New Roman" w:hAnsi="Times New Roman"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cs="Times New Roman"/>
                <w:color w:val="000000" w:themeColor="text1"/>
                <w:highlight w:val="none"/>
                <w:lang w:val="en-US" w:eastAsia="zh-CN"/>
                <w14:textFill>
                  <w14:solidFill>
                    <w14:schemeClr w14:val="tx1"/>
                  </w14:solidFill>
                </w14:textFill>
              </w:rPr>
              <w:t>提供磋商</w:t>
            </w:r>
            <w:r>
              <w:rPr>
                <w:rFonts w:hint="eastAsia" w:ascii="Times New Roman" w:hAnsi="Times New Roman" w:cs="Times New Roman"/>
                <w:color w:val="000000" w:themeColor="text1"/>
                <w:highlight w:val="none"/>
                <w14:textFill>
                  <w14:solidFill>
                    <w14:schemeClr w14:val="tx1"/>
                  </w14:solidFill>
                </w14:textFill>
              </w:rPr>
              <w:t>保</w:t>
            </w:r>
            <w:r>
              <w:rPr>
                <w:rFonts w:hint="eastAsia" w:cs="Times New Roman"/>
                <w:color w:val="000000" w:themeColor="text1"/>
                <w:highlight w:val="none"/>
                <w:lang w:val="en-US" w:eastAsia="zh-CN"/>
                <w14:textFill>
                  <w14:solidFill>
                    <w14:schemeClr w14:val="tx1"/>
                  </w14:solidFill>
                </w14:textFill>
              </w:rPr>
              <w:t>证</w:t>
            </w:r>
            <w:r>
              <w:rPr>
                <w:rFonts w:hint="eastAsia" w:ascii="Times New Roman" w:hAnsi="Times New Roman" w:cs="Times New Roman"/>
                <w:color w:val="000000" w:themeColor="text1"/>
                <w:highlight w:val="none"/>
                <w14:textFill>
                  <w14:solidFill>
                    <w14:schemeClr w14:val="tx1"/>
                  </w14:solidFill>
                </w14:textFill>
              </w:rPr>
              <w:t>金缴纳凭证复印件</w:t>
            </w:r>
            <w:r>
              <w:rPr>
                <w:rFonts w:hint="eastAsia" w:cs="Times New Roman"/>
                <w:color w:val="000000" w:themeColor="text1"/>
                <w:highlight w:val="none"/>
                <w:lang w:val="en-US" w:eastAsia="zh-CN"/>
                <w14:textFill>
                  <w14:solidFill>
                    <w14:schemeClr w14:val="tx1"/>
                  </w14:solidFill>
                </w14:textFill>
              </w:rPr>
              <w:t>并编入响应文件中</w:t>
            </w:r>
          </w:p>
        </w:tc>
        <w:tc>
          <w:tcPr>
            <w:tcW w:w="788" w:type="dxa"/>
            <w:vAlign w:val="center"/>
          </w:tcPr>
          <w:p w14:paraId="029AE709">
            <w:pPr>
              <w:shd w:val="clear"/>
              <w:rPr>
                <w:color w:val="000000" w:themeColor="text1"/>
                <w:highlight w:val="none"/>
                <w14:textFill>
                  <w14:solidFill>
                    <w14:schemeClr w14:val="tx1"/>
                  </w14:solidFill>
                </w14:textFill>
              </w:rPr>
            </w:pPr>
          </w:p>
        </w:tc>
        <w:tc>
          <w:tcPr>
            <w:tcW w:w="788" w:type="dxa"/>
            <w:vAlign w:val="center"/>
          </w:tcPr>
          <w:p w14:paraId="768C6266">
            <w:pPr>
              <w:shd w:val="clear"/>
              <w:rPr>
                <w:color w:val="000000" w:themeColor="text1"/>
                <w:highlight w:val="none"/>
                <w14:textFill>
                  <w14:solidFill>
                    <w14:schemeClr w14:val="tx1"/>
                  </w14:solidFill>
                </w14:textFill>
              </w:rPr>
            </w:pPr>
          </w:p>
        </w:tc>
        <w:tc>
          <w:tcPr>
            <w:tcW w:w="789" w:type="dxa"/>
            <w:vAlign w:val="center"/>
          </w:tcPr>
          <w:p w14:paraId="3C0EF50D">
            <w:pPr>
              <w:shd w:val="clear"/>
              <w:rPr>
                <w:color w:val="000000" w:themeColor="text1"/>
                <w:highlight w:val="none"/>
                <w14:textFill>
                  <w14:solidFill>
                    <w14:schemeClr w14:val="tx1"/>
                  </w14:solidFill>
                </w14:textFill>
              </w:rPr>
            </w:pPr>
          </w:p>
        </w:tc>
      </w:tr>
      <w:tr w14:paraId="770913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5" w:hRule="atLeast"/>
          <w:jc w:val="center"/>
        </w:trPr>
        <w:tc>
          <w:tcPr>
            <w:tcW w:w="7355" w:type="dxa"/>
            <w:gridSpan w:val="3"/>
            <w:vAlign w:val="center"/>
          </w:tcPr>
          <w:p w14:paraId="7AC4BB4B">
            <w:pPr>
              <w:shd w:val="clear"/>
              <w:jc w:val="lef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资格审查结论</w:t>
            </w:r>
          </w:p>
        </w:tc>
        <w:tc>
          <w:tcPr>
            <w:tcW w:w="788" w:type="dxa"/>
            <w:vAlign w:val="center"/>
          </w:tcPr>
          <w:p w14:paraId="623AB2B7">
            <w:pPr>
              <w:shd w:val="clear"/>
              <w:rPr>
                <w:color w:val="000000" w:themeColor="text1"/>
                <w:highlight w:val="none"/>
                <w14:textFill>
                  <w14:solidFill>
                    <w14:schemeClr w14:val="tx1"/>
                  </w14:solidFill>
                </w14:textFill>
              </w:rPr>
            </w:pPr>
          </w:p>
        </w:tc>
        <w:tc>
          <w:tcPr>
            <w:tcW w:w="788" w:type="dxa"/>
            <w:vAlign w:val="center"/>
          </w:tcPr>
          <w:p w14:paraId="3C9A15FE">
            <w:pPr>
              <w:shd w:val="clear"/>
              <w:rPr>
                <w:color w:val="000000" w:themeColor="text1"/>
                <w:highlight w:val="none"/>
                <w14:textFill>
                  <w14:solidFill>
                    <w14:schemeClr w14:val="tx1"/>
                  </w14:solidFill>
                </w14:textFill>
              </w:rPr>
            </w:pPr>
          </w:p>
        </w:tc>
        <w:tc>
          <w:tcPr>
            <w:tcW w:w="789" w:type="dxa"/>
            <w:vAlign w:val="center"/>
          </w:tcPr>
          <w:p w14:paraId="7B7A9174">
            <w:pPr>
              <w:shd w:val="clear"/>
              <w:rPr>
                <w:color w:val="000000" w:themeColor="text1"/>
                <w:highlight w:val="none"/>
                <w14:textFill>
                  <w14:solidFill>
                    <w14:schemeClr w14:val="tx1"/>
                  </w14:solidFill>
                </w14:textFill>
              </w:rPr>
            </w:pPr>
          </w:p>
        </w:tc>
      </w:tr>
    </w:tbl>
    <w:p w14:paraId="6A31F3CD">
      <w:pPr>
        <w:pStyle w:val="50"/>
        <w:shd w:val="clear"/>
        <w:spacing w:line="360" w:lineRule="auto"/>
        <w:ind w:left="223" w:right="272" w:firstLine="0" w:firstLineChars="0"/>
        <w:rPr>
          <w:rFonts w:asci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说明：磋商小组对投标人提交的资格证明材料进行审查，并在对应的审查意见一栏记录审查意见：通过资格审查标注为√；未通过资格审查标注为×。</w:t>
      </w:r>
    </w:p>
    <w:p w14:paraId="1CD0630B">
      <w:pPr>
        <w:numPr>
          <w:ilvl w:val="0"/>
          <w:numId w:val="1"/>
        </w:numPr>
        <w:shd w:val="clear"/>
        <w:spacing w:line="360" w:lineRule="auto"/>
        <w:outlineLvl w:val="9"/>
        <w:rPr>
          <w:rFonts w:cs="宋体"/>
          <w:color w:val="000000" w:themeColor="text1"/>
          <w:sz w:val="28"/>
          <w:szCs w:val="28"/>
          <w:highlight w:val="none"/>
          <w14:textFill>
            <w14:solidFill>
              <w14:schemeClr w14:val="tx1"/>
            </w14:solidFill>
          </w14:textFill>
        </w:rPr>
      </w:pPr>
      <w:r>
        <w:rPr>
          <w:rFonts w:hint="eastAsia" w:cs="宋体"/>
          <w:color w:val="000000" w:themeColor="text1"/>
          <w:sz w:val="28"/>
          <w:szCs w:val="28"/>
          <w:highlight w:val="none"/>
          <w14:textFill>
            <w14:solidFill>
              <w14:schemeClr w14:val="tx1"/>
            </w14:solidFill>
          </w14:textFill>
        </w:rPr>
        <w:t>符合性审查</w:t>
      </w:r>
    </w:p>
    <w:tbl>
      <w:tblPr>
        <w:tblStyle w:val="25"/>
        <w:tblW w:w="0" w:type="auto"/>
        <w:tblInd w:w="1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048"/>
        <w:gridCol w:w="3000"/>
        <w:gridCol w:w="1262"/>
        <w:gridCol w:w="1695"/>
        <w:gridCol w:w="2730"/>
      </w:tblGrid>
      <w:tr w14:paraId="2C422D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2" w:hRule="atLeast"/>
        </w:trPr>
        <w:tc>
          <w:tcPr>
            <w:tcW w:w="1048" w:type="dxa"/>
            <w:vAlign w:val="center"/>
          </w:tcPr>
          <w:p w14:paraId="474068BB">
            <w:pPr>
              <w:pStyle w:val="49"/>
              <w:shd w:val="clear"/>
              <w:spacing w:before="38" w:line="360" w:lineRule="auto"/>
              <w:ind w:left="420" w:right="66"/>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序号</w:t>
            </w:r>
          </w:p>
        </w:tc>
        <w:tc>
          <w:tcPr>
            <w:tcW w:w="3000" w:type="dxa"/>
            <w:vAlign w:val="center"/>
          </w:tcPr>
          <w:p w14:paraId="61B0802D">
            <w:pPr>
              <w:pStyle w:val="49"/>
              <w:shd w:val="clear"/>
              <w:spacing w:before="38" w:line="360" w:lineRule="auto"/>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项目内容</w:t>
            </w:r>
          </w:p>
        </w:tc>
        <w:tc>
          <w:tcPr>
            <w:tcW w:w="1262" w:type="dxa"/>
            <w:vAlign w:val="center"/>
          </w:tcPr>
          <w:p w14:paraId="0D74A909">
            <w:pPr>
              <w:pStyle w:val="49"/>
              <w:shd w:val="clear"/>
              <w:spacing w:before="38" w:line="360" w:lineRule="auto"/>
              <w:ind w:right="311"/>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合格</w:t>
            </w:r>
          </w:p>
        </w:tc>
        <w:tc>
          <w:tcPr>
            <w:tcW w:w="1695" w:type="dxa"/>
            <w:vAlign w:val="center"/>
          </w:tcPr>
          <w:p w14:paraId="38715D2F">
            <w:pPr>
              <w:pStyle w:val="49"/>
              <w:shd w:val="clear"/>
              <w:spacing w:before="38" w:line="360" w:lineRule="auto"/>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不合格</w:t>
            </w:r>
          </w:p>
        </w:tc>
        <w:tc>
          <w:tcPr>
            <w:tcW w:w="2730" w:type="dxa"/>
            <w:vAlign w:val="center"/>
          </w:tcPr>
          <w:p w14:paraId="71897CD1">
            <w:pPr>
              <w:pStyle w:val="49"/>
              <w:shd w:val="clear"/>
              <w:spacing w:before="38" w:line="360" w:lineRule="auto"/>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不合格理由</w:t>
            </w:r>
          </w:p>
        </w:tc>
      </w:tr>
      <w:tr w14:paraId="6CA7DE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2" w:hRule="atLeast"/>
        </w:trPr>
        <w:tc>
          <w:tcPr>
            <w:tcW w:w="1048" w:type="dxa"/>
            <w:vAlign w:val="center"/>
          </w:tcPr>
          <w:p w14:paraId="717C697E">
            <w:pPr>
              <w:pStyle w:val="49"/>
              <w:shd w:val="clear"/>
              <w:spacing w:before="38" w:line="360" w:lineRule="auto"/>
              <w:ind w:left="420" w:right="66"/>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1</w:t>
            </w:r>
          </w:p>
        </w:tc>
        <w:tc>
          <w:tcPr>
            <w:tcW w:w="3000" w:type="dxa"/>
            <w:vAlign w:val="center"/>
          </w:tcPr>
          <w:p w14:paraId="33EDD5D1">
            <w:pPr>
              <w:pStyle w:val="49"/>
              <w:shd w:val="clear"/>
              <w:spacing w:before="38" w:line="360" w:lineRule="auto"/>
              <w:ind w:right="326"/>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投标文件的有效性</w:t>
            </w:r>
          </w:p>
        </w:tc>
        <w:tc>
          <w:tcPr>
            <w:tcW w:w="1262" w:type="dxa"/>
            <w:vAlign w:val="center"/>
          </w:tcPr>
          <w:p w14:paraId="6F5BA0C5">
            <w:pPr>
              <w:pStyle w:val="49"/>
              <w:shd w:val="clear"/>
              <w:spacing w:before="38" w:line="360" w:lineRule="auto"/>
              <w:ind w:right="311"/>
              <w:jc w:val="center"/>
              <w:rPr>
                <w:color w:val="000000" w:themeColor="text1"/>
                <w:highlight w:val="none"/>
                <w14:textFill>
                  <w14:solidFill>
                    <w14:schemeClr w14:val="tx1"/>
                  </w14:solidFill>
                </w14:textFill>
              </w:rPr>
            </w:pPr>
          </w:p>
        </w:tc>
        <w:tc>
          <w:tcPr>
            <w:tcW w:w="1695" w:type="dxa"/>
            <w:vAlign w:val="center"/>
          </w:tcPr>
          <w:p w14:paraId="5A756570">
            <w:pPr>
              <w:pStyle w:val="49"/>
              <w:shd w:val="clear"/>
              <w:spacing w:before="38" w:line="360" w:lineRule="auto"/>
              <w:ind w:left="420"/>
              <w:jc w:val="center"/>
              <w:rPr>
                <w:color w:val="000000" w:themeColor="text1"/>
                <w:highlight w:val="none"/>
                <w14:textFill>
                  <w14:solidFill>
                    <w14:schemeClr w14:val="tx1"/>
                  </w14:solidFill>
                </w14:textFill>
              </w:rPr>
            </w:pPr>
          </w:p>
        </w:tc>
        <w:tc>
          <w:tcPr>
            <w:tcW w:w="2730" w:type="dxa"/>
            <w:vAlign w:val="center"/>
          </w:tcPr>
          <w:p w14:paraId="5EEDE0C3">
            <w:pPr>
              <w:pStyle w:val="49"/>
              <w:shd w:val="clear"/>
              <w:spacing w:before="38" w:line="360" w:lineRule="auto"/>
              <w:ind w:left="420"/>
              <w:jc w:val="center"/>
              <w:rPr>
                <w:color w:val="000000" w:themeColor="text1"/>
                <w:highlight w:val="none"/>
                <w14:textFill>
                  <w14:solidFill>
                    <w14:schemeClr w14:val="tx1"/>
                  </w14:solidFill>
                </w14:textFill>
              </w:rPr>
            </w:pPr>
          </w:p>
        </w:tc>
      </w:tr>
      <w:tr w14:paraId="54B27B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2" w:hRule="atLeast"/>
        </w:trPr>
        <w:tc>
          <w:tcPr>
            <w:tcW w:w="1048" w:type="dxa"/>
            <w:vAlign w:val="center"/>
          </w:tcPr>
          <w:p w14:paraId="4C1E99B2">
            <w:pPr>
              <w:pStyle w:val="49"/>
              <w:shd w:val="clear"/>
              <w:spacing w:before="33" w:line="360" w:lineRule="auto"/>
              <w:ind w:left="420" w:right="66"/>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w:t>
            </w:r>
          </w:p>
        </w:tc>
        <w:tc>
          <w:tcPr>
            <w:tcW w:w="3000" w:type="dxa"/>
            <w:vAlign w:val="center"/>
          </w:tcPr>
          <w:p w14:paraId="6C805CAD">
            <w:pPr>
              <w:pStyle w:val="49"/>
              <w:shd w:val="clear"/>
              <w:spacing w:before="33" w:line="360" w:lineRule="auto"/>
              <w:ind w:right="326"/>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投标文件的完整性</w:t>
            </w:r>
          </w:p>
        </w:tc>
        <w:tc>
          <w:tcPr>
            <w:tcW w:w="1262" w:type="dxa"/>
            <w:vAlign w:val="center"/>
          </w:tcPr>
          <w:p w14:paraId="378F5B3D">
            <w:pPr>
              <w:pStyle w:val="49"/>
              <w:shd w:val="clear"/>
              <w:spacing w:before="33" w:line="360" w:lineRule="auto"/>
              <w:ind w:right="311"/>
              <w:jc w:val="center"/>
              <w:rPr>
                <w:color w:val="000000" w:themeColor="text1"/>
                <w:highlight w:val="none"/>
                <w14:textFill>
                  <w14:solidFill>
                    <w14:schemeClr w14:val="tx1"/>
                  </w14:solidFill>
                </w14:textFill>
              </w:rPr>
            </w:pPr>
          </w:p>
        </w:tc>
        <w:tc>
          <w:tcPr>
            <w:tcW w:w="1695" w:type="dxa"/>
            <w:vAlign w:val="center"/>
          </w:tcPr>
          <w:p w14:paraId="7C04DF95">
            <w:pPr>
              <w:pStyle w:val="49"/>
              <w:shd w:val="clear"/>
              <w:spacing w:before="33" w:line="360" w:lineRule="auto"/>
              <w:ind w:left="420"/>
              <w:jc w:val="center"/>
              <w:rPr>
                <w:color w:val="000000" w:themeColor="text1"/>
                <w:highlight w:val="none"/>
                <w14:textFill>
                  <w14:solidFill>
                    <w14:schemeClr w14:val="tx1"/>
                  </w14:solidFill>
                </w14:textFill>
              </w:rPr>
            </w:pPr>
          </w:p>
        </w:tc>
        <w:tc>
          <w:tcPr>
            <w:tcW w:w="2730" w:type="dxa"/>
            <w:vAlign w:val="center"/>
          </w:tcPr>
          <w:p w14:paraId="182CCFA4">
            <w:pPr>
              <w:pStyle w:val="49"/>
              <w:shd w:val="clear"/>
              <w:spacing w:before="33" w:line="360" w:lineRule="auto"/>
              <w:ind w:left="420"/>
              <w:jc w:val="center"/>
              <w:rPr>
                <w:color w:val="000000" w:themeColor="text1"/>
                <w:highlight w:val="none"/>
                <w14:textFill>
                  <w14:solidFill>
                    <w14:schemeClr w14:val="tx1"/>
                  </w14:solidFill>
                </w14:textFill>
              </w:rPr>
            </w:pPr>
          </w:p>
        </w:tc>
      </w:tr>
      <w:tr w14:paraId="5BA7CF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2" w:hRule="atLeast"/>
        </w:trPr>
        <w:tc>
          <w:tcPr>
            <w:tcW w:w="1048" w:type="dxa"/>
            <w:vAlign w:val="center"/>
          </w:tcPr>
          <w:p w14:paraId="2197FB8C">
            <w:pPr>
              <w:pStyle w:val="49"/>
              <w:shd w:val="clear"/>
              <w:spacing w:before="38" w:line="360" w:lineRule="auto"/>
              <w:ind w:left="420" w:right="66"/>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3</w:t>
            </w:r>
          </w:p>
        </w:tc>
        <w:tc>
          <w:tcPr>
            <w:tcW w:w="3000" w:type="dxa"/>
            <w:vAlign w:val="center"/>
          </w:tcPr>
          <w:p w14:paraId="3FA22DAD">
            <w:pPr>
              <w:pStyle w:val="49"/>
              <w:shd w:val="clear"/>
              <w:spacing w:before="38" w:line="360" w:lineRule="auto"/>
              <w:ind w:right="326"/>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对招标文件的响应程度</w:t>
            </w:r>
          </w:p>
        </w:tc>
        <w:tc>
          <w:tcPr>
            <w:tcW w:w="1262" w:type="dxa"/>
            <w:vAlign w:val="center"/>
          </w:tcPr>
          <w:p w14:paraId="3F0F44FA">
            <w:pPr>
              <w:pStyle w:val="49"/>
              <w:shd w:val="clear"/>
              <w:spacing w:before="38" w:line="360" w:lineRule="auto"/>
              <w:ind w:right="311"/>
              <w:jc w:val="center"/>
              <w:rPr>
                <w:color w:val="000000" w:themeColor="text1"/>
                <w:highlight w:val="none"/>
                <w14:textFill>
                  <w14:solidFill>
                    <w14:schemeClr w14:val="tx1"/>
                  </w14:solidFill>
                </w14:textFill>
              </w:rPr>
            </w:pPr>
          </w:p>
        </w:tc>
        <w:tc>
          <w:tcPr>
            <w:tcW w:w="1695" w:type="dxa"/>
            <w:vAlign w:val="center"/>
          </w:tcPr>
          <w:p w14:paraId="7F631EBC">
            <w:pPr>
              <w:pStyle w:val="49"/>
              <w:shd w:val="clear"/>
              <w:spacing w:before="38" w:line="360" w:lineRule="auto"/>
              <w:ind w:left="420"/>
              <w:jc w:val="center"/>
              <w:rPr>
                <w:color w:val="000000" w:themeColor="text1"/>
                <w:highlight w:val="none"/>
                <w14:textFill>
                  <w14:solidFill>
                    <w14:schemeClr w14:val="tx1"/>
                  </w14:solidFill>
                </w14:textFill>
              </w:rPr>
            </w:pPr>
          </w:p>
        </w:tc>
        <w:tc>
          <w:tcPr>
            <w:tcW w:w="2730" w:type="dxa"/>
            <w:vAlign w:val="center"/>
          </w:tcPr>
          <w:p w14:paraId="438A86AB">
            <w:pPr>
              <w:pStyle w:val="49"/>
              <w:shd w:val="clear"/>
              <w:spacing w:before="38" w:line="360" w:lineRule="auto"/>
              <w:ind w:left="420"/>
              <w:jc w:val="center"/>
              <w:rPr>
                <w:color w:val="000000" w:themeColor="text1"/>
                <w:highlight w:val="none"/>
                <w14:textFill>
                  <w14:solidFill>
                    <w14:schemeClr w14:val="tx1"/>
                  </w14:solidFill>
                </w14:textFill>
              </w:rPr>
            </w:pPr>
          </w:p>
        </w:tc>
      </w:tr>
      <w:tr w14:paraId="6ABFB1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2" w:hRule="atLeast"/>
        </w:trPr>
        <w:tc>
          <w:tcPr>
            <w:tcW w:w="1048" w:type="dxa"/>
            <w:vAlign w:val="center"/>
          </w:tcPr>
          <w:p w14:paraId="54DAFF2C">
            <w:pPr>
              <w:pStyle w:val="49"/>
              <w:shd w:val="clear"/>
              <w:spacing w:before="38" w:line="360" w:lineRule="auto"/>
              <w:ind w:left="420" w:right="66"/>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4</w:t>
            </w:r>
          </w:p>
        </w:tc>
        <w:tc>
          <w:tcPr>
            <w:tcW w:w="3000" w:type="dxa"/>
            <w:vAlign w:val="center"/>
          </w:tcPr>
          <w:p w14:paraId="4213E63D">
            <w:pPr>
              <w:pStyle w:val="49"/>
              <w:shd w:val="clear"/>
              <w:spacing w:before="33" w:line="360" w:lineRule="auto"/>
              <w:ind w:right="326"/>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报价是否超过预算</w:t>
            </w:r>
          </w:p>
        </w:tc>
        <w:tc>
          <w:tcPr>
            <w:tcW w:w="1262" w:type="dxa"/>
            <w:vAlign w:val="center"/>
          </w:tcPr>
          <w:p w14:paraId="4F6815A0">
            <w:pPr>
              <w:pStyle w:val="49"/>
              <w:shd w:val="clear"/>
              <w:spacing w:before="38" w:line="360" w:lineRule="auto"/>
              <w:ind w:right="311"/>
              <w:jc w:val="center"/>
              <w:rPr>
                <w:color w:val="000000" w:themeColor="text1"/>
                <w:highlight w:val="none"/>
                <w14:textFill>
                  <w14:solidFill>
                    <w14:schemeClr w14:val="tx1"/>
                  </w14:solidFill>
                </w14:textFill>
              </w:rPr>
            </w:pPr>
          </w:p>
        </w:tc>
        <w:tc>
          <w:tcPr>
            <w:tcW w:w="1695" w:type="dxa"/>
            <w:vAlign w:val="center"/>
          </w:tcPr>
          <w:p w14:paraId="211315A3">
            <w:pPr>
              <w:pStyle w:val="49"/>
              <w:shd w:val="clear"/>
              <w:spacing w:before="38" w:line="360" w:lineRule="auto"/>
              <w:ind w:left="420"/>
              <w:jc w:val="center"/>
              <w:rPr>
                <w:color w:val="000000" w:themeColor="text1"/>
                <w:highlight w:val="none"/>
                <w14:textFill>
                  <w14:solidFill>
                    <w14:schemeClr w14:val="tx1"/>
                  </w14:solidFill>
                </w14:textFill>
              </w:rPr>
            </w:pPr>
          </w:p>
        </w:tc>
        <w:tc>
          <w:tcPr>
            <w:tcW w:w="2730" w:type="dxa"/>
            <w:vAlign w:val="center"/>
          </w:tcPr>
          <w:p w14:paraId="0FC89E98">
            <w:pPr>
              <w:pStyle w:val="49"/>
              <w:shd w:val="clear"/>
              <w:spacing w:before="38" w:line="360" w:lineRule="auto"/>
              <w:ind w:left="420"/>
              <w:jc w:val="center"/>
              <w:rPr>
                <w:color w:val="000000" w:themeColor="text1"/>
                <w:highlight w:val="none"/>
                <w14:textFill>
                  <w14:solidFill>
                    <w14:schemeClr w14:val="tx1"/>
                  </w14:solidFill>
                </w14:textFill>
              </w:rPr>
            </w:pPr>
          </w:p>
        </w:tc>
      </w:tr>
      <w:tr w14:paraId="5DB463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7" w:hRule="atLeast"/>
        </w:trPr>
        <w:tc>
          <w:tcPr>
            <w:tcW w:w="1048" w:type="dxa"/>
            <w:vAlign w:val="center"/>
          </w:tcPr>
          <w:p w14:paraId="4FED7B38">
            <w:pPr>
              <w:pStyle w:val="49"/>
              <w:shd w:val="clear"/>
              <w:spacing w:before="43" w:line="360" w:lineRule="auto"/>
              <w:ind w:left="420" w:right="66"/>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5</w:t>
            </w:r>
          </w:p>
        </w:tc>
        <w:tc>
          <w:tcPr>
            <w:tcW w:w="3000" w:type="dxa"/>
            <w:vAlign w:val="center"/>
          </w:tcPr>
          <w:p w14:paraId="66EA8586">
            <w:pPr>
              <w:pStyle w:val="49"/>
              <w:shd w:val="clear"/>
              <w:spacing w:before="33" w:line="360" w:lineRule="auto"/>
              <w:ind w:right="326"/>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投标人串通投标情形审查</w:t>
            </w:r>
          </w:p>
        </w:tc>
        <w:tc>
          <w:tcPr>
            <w:tcW w:w="1262" w:type="dxa"/>
            <w:vAlign w:val="center"/>
          </w:tcPr>
          <w:p w14:paraId="60674608">
            <w:pPr>
              <w:pStyle w:val="49"/>
              <w:shd w:val="clear"/>
              <w:spacing w:before="43" w:line="360" w:lineRule="auto"/>
              <w:ind w:right="311"/>
              <w:jc w:val="center"/>
              <w:rPr>
                <w:color w:val="000000" w:themeColor="text1"/>
                <w:highlight w:val="none"/>
                <w14:textFill>
                  <w14:solidFill>
                    <w14:schemeClr w14:val="tx1"/>
                  </w14:solidFill>
                </w14:textFill>
              </w:rPr>
            </w:pPr>
          </w:p>
        </w:tc>
        <w:tc>
          <w:tcPr>
            <w:tcW w:w="1695" w:type="dxa"/>
            <w:vAlign w:val="center"/>
          </w:tcPr>
          <w:p w14:paraId="1E2F903E">
            <w:pPr>
              <w:pStyle w:val="49"/>
              <w:shd w:val="clear"/>
              <w:spacing w:before="43" w:line="360" w:lineRule="auto"/>
              <w:ind w:left="420"/>
              <w:jc w:val="center"/>
              <w:rPr>
                <w:color w:val="000000" w:themeColor="text1"/>
                <w:highlight w:val="none"/>
                <w14:textFill>
                  <w14:solidFill>
                    <w14:schemeClr w14:val="tx1"/>
                  </w14:solidFill>
                </w14:textFill>
              </w:rPr>
            </w:pPr>
          </w:p>
        </w:tc>
        <w:tc>
          <w:tcPr>
            <w:tcW w:w="2730" w:type="dxa"/>
            <w:vAlign w:val="center"/>
          </w:tcPr>
          <w:p w14:paraId="6716AEFD">
            <w:pPr>
              <w:pStyle w:val="49"/>
              <w:shd w:val="clear"/>
              <w:spacing w:before="43" w:line="360" w:lineRule="auto"/>
              <w:ind w:left="420"/>
              <w:jc w:val="center"/>
              <w:rPr>
                <w:color w:val="000000" w:themeColor="text1"/>
                <w:highlight w:val="none"/>
                <w14:textFill>
                  <w14:solidFill>
                    <w14:schemeClr w14:val="tx1"/>
                  </w14:solidFill>
                </w14:textFill>
              </w:rPr>
            </w:pPr>
          </w:p>
        </w:tc>
      </w:tr>
      <w:tr w14:paraId="35CC84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2" w:hRule="atLeast"/>
        </w:trPr>
        <w:tc>
          <w:tcPr>
            <w:tcW w:w="1048" w:type="dxa"/>
            <w:vAlign w:val="center"/>
          </w:tcPr>
          <w:p w14:paraId="7F41F3BD">
            <w:pPr>
              <w:pStyle w:val="49"/>
              <w:shd w:val="clear"/>
              <w:spacing w:before="38" w:line="360" w:lineRule="auto"/>
              <w:ind w:left="420" w:right="66"/>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6</w:t>
            </w:r>
          </w:p>
        </w:tc>
        <w:tc>
          <w:tcPr>
            <w:tcW w:w="3000" w:type="dxa"/>
            <w:vAlign w:val="center"/>
          </w:tcPr>
          <w:p w14:paraId="156034E8">
            <w:pPr>
              <w:pStyle w:val="49"/>
              <w:shd w:val="clear"/>
              <w:spacing w:before="33" w:line="360" w:lineRule="auto"/>
              <w:ind w:right="326"/>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投标单位廉政承诺书</w:t>
            </w:r>
          </w:p>
        </w:tc>
        <w:tc>
          <w:tcPr>
            <w:tcW w:w="1262" w:type="dxa"/>
            <w:vAlign w:val="center"/>
          </w:tcPr>
          <w:p w14:paraId="7708A0F2">
            <w:pPr>
              <w:pStyle w:val="49"/>
              <w:shd w:val="clear"/>
              <w:spacing w:before="38" w:line="360" w:lineRule="auto"/>
              <w:ind w:right="311"/>
              <w:jc w:val="center"/>
              <w:rPr>
                <w:color w:val="000000" w:themeColor="text1"/>
                <w:highlight w:val="none"/>
                <w14:textFill>
                  <w14:solidFill>
                    <w14:schemeClr w14:val="tx1"/>
                  </w14:solidFill>
                </w14:textFill>
              </w:rPr>
            </w:pPr>
          </w:p>
        </w:tc>
        <w:tc>
          <w:tcPr>
            <w:tcW w:w="1695" w:type="dxa"/>
            <w:vAlign w:val="center"/>
          </w:tcPr>
          <w:p w14:paraId="2D74BCB4">
            <w:pPr>
              <w:pStyle w:val="49"/>
              <w:shd w:val="clear"/>
              <w:spacing w:before="38" w:line="360" w:lineRule="auto"/>
              <w:ind w:left="420"/>
              <w:jc w:val="center"/>
              <w:rPr>
                <w:color w:val="000000" w:themeColor="text1"/>
                <w:highlight w:val="none"/>
                <w14:textFill>
                  <w14:solidFill>
                    <w14:schemeClr w14:val="tx1"/>
                  </w14:solidFill>
                </w14:textFill>
              </w:rPr>
            </w:pPr>
          </w:p>
        </w:tc>
        <w:tc>
          <w:tcPr>
            <w:tcW w:w="2730" w:type="dxa"/>
            <w:vAlign w:val="center"/>
          </w:tcPr>
          <w:p w14:paraId="23E8C9E3">
            <w:pPr>
              <w:pStyle w:val="49"/>
              <w:shd w:val="clear"/>
              <w:spacing w:before="38" w:line="360" w:lineRule="auto"/>
              <w:ind w:left="420"/>
              <w:jc w:val="center"/>
              <w:rPr>
                <w:color w:val="000000" w:themeColor="text1"/>
                <w:highlight w:val="none"/>
                <w14:textFill>
                  <w14:solidFill>
                    <w14:schemeClr w14:val="tx1"/>
                  </w14:solidFill>
                </w14:textFill>
              </w:rPr>
            </w:pPr>
          </w:p>
        </w:tc>
      </w:tr>
      <w:tr w14:paraId="1CE34D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2" w:hRule="atLeast"/>
        </w:trPr>
        <w:tc>
          <w:tcPr>
            <w:tcW w:w="1048" w:type="dxa"/>
            <w:vAlign w:val="center"/>
          </w:tcPr>
          <w:p w14:paraId="7C84691C">
            <w:pPr>
              <w:pStyle w:val="49"/>
              <w:shd w:val="clear"/>
              <w:spacing w:before="38" w:line="360" w:lineRule="auto"/>
              <w:ind w:left="420" w:right="66"/>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7</w:t>
            </w:r>
          </w:p>
        </w:tc>
        <w:tc>
          <w:tcPr>
            <w:tcW w:w="3000" w:type="dxa"/>
            <w:vAlign w:val="center"/>
          </w:tcPr>
          <w:p w14:paraId="565DD940">
            <w:pPr>
              <w:pStyle w:val="49"/>
              <w:shd w:val="clear"/>
              <w:spacing w:before="38" w:line="360" w:lineRule="auto"/>
              <w:ind w:right="446"/>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其它实质性偏差</w:t>
            </w:r>
          </w:p>
        </w:tc>
        <w:tc>
          <w:tcPr>
            <w:tcW w:w="1262" w:type="dxa"/>
            <w:vAlign w:val="center"/>
          </w:tcPr>
          <w:p w14:paraId="7BBFD824">
            <w:pPr>
              <w:pStyle w:val="49"/>
              <w:shd w:val="clear"/>
              <w:spacing w:before="38" w:line="360" w:lineRule="auto"/>
              <w:ind w:right="311"/>
              <w:jc w:val="center"/>
              <w:rPr>
                <w:color w:val="000000" w:themeColor="text1"/>
                <w:highlight w:val="none"/>
                <w14:textFill>
                  <w14:solidFill>
                    <w14:schemeClr w14:val="tx1"/>
                  </w14:solidFill>
                </w14:textFill>
              </w:rPr>
            </w:pPr>
          </w:p>
        </w:tc>
        <w:tc>
          <w:tcPr>
            <w:tcW w:w="1695" w:type="dxa"/>
            <w:vAlign w:val="center"/>
          </w:tcPr>
          <w:p w14:paraId="6A7F2805">
            <w:pPr>
              <w:pStyle w:val="49"/>
              <w:shd w:val="clear"/>
              <w:spacing w:before="38" w:line="360" w:lineRule="auto"/>
              <w:ind w:left="420"/>
              <w:jc w:val="center"/>
              <w:rPr>
                <w:color w:val="000000" w:themeColor="text1"/>
                <w:highlight w:val="none"/>
                <w14:textFill>
                  <w14:solidFill>
                    <w14:schemeClr w14:val="tx1"/>
                  </w14:solidFill>
                </w14:textFill>
              </w:rPr>
            </w:pPr>
          </w:p>
        </w:tc>
        <w:tc>
          <w:tcPr>
            <w:tcW w:w="2730" w:type="dxa"/>
            <w:vAlign w:val="center"/>
          </w:tcPr>
          <w:p w14:paraId="512F165D">
            <w:pPr>
              <w:pStyle w:val="49"/>
              <w:shd w:val="clear"/>
              <w:spacing w:before="38" w:line="360" w:lineRule="auto"/>
              <w:ind w:left="420"/>
              <w:jc w:val="center"/>
              <w:rPr>
                <w:color w:val="000000" w:themeColor="text1"/>
                <w:highlight w:val="none"/>
                <w14:textFill>
                  <w14:solidFill>
                    <w14:schemeClr w14:val="tx1"/>
                  </w14:solidFill>
                </w14:textFill>
              </w:rPr>
            </w:pPr>
          </w:p>
        </w:tc>
      </w:tr>
    </w:tbl>
    <w:p w14:paraId="634DF429">
      <w:pPr>
        <w:shd w:val="clear"/>
        <w:spacing w:line="360" w:lineRule="auto"/>
        <w:ind w:firstLine="562" w:firstLineChars="200"/>
        <w:jc w:val="left"/>
        <w:outlineLvl w:val="9"/>
        <w:rPr>
          <w:rFonts w:asci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三、评标方法与定标原则</w:t>
      </w:r>
    </w:p>
    <w:p w14:paraId="75CDA48A">
      <w:pPr>
        <w:shd w:val="clear"/>
        <w:spacing w:line="360" w:lineRule="auto"/>
        <w:ind w:firstLine="480" w:firstLineChars="200"/>
        <w:rPr>
          <w:rFonts w:asci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在综合比较与评价后按照得分由高到低顺序对供应商进行排序。磋商小组按综合得分排名推荐3名成交候选供应商。得分相同的，按投标报价由低到高顺序排列。得分且报价相同的，按技术指标（施工组织设计方案）优劣顺序排列。磋商小组直接确定排名第一的成交候选供应商为成交供应商</w:t>
      </w:r>
    </w:p>
    <w:p w14:paraId="0BB1BD97">
      <w:pPr>
        <w:shd w:val="clear"/>
        <w:spacing w:line="360" w:lineRule="auto"/>
        <w:ind w:firstLine="562" w:firstLineChars="200"/>
        <w:jc w:val="left"/>
        <w:outlineLvl w:val="9"/>
        <w:rPr>
          <w:rFonts w:ascii="宋体" w:cs="宋体"/>
          <w:b/>
          <w:color w:val="000000" w:themeColor="text1"/>
          <w:sz w:val="28"/>
          <w:szCs w:val="28"/>
          <w:highlight w:val="none"/>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四、评标标准</w:t>
      </w:r>
    </w:p>
    <w:p w14:paraId="7057022A">
      <w:pPr>
        <w:shd w:val="clear"/>
        <w:spacing w:line="360" w:lineRule="auto"/>
        <w:ind w:firstLine="480" w:firstLineChars="200"/>
        <w:rPr>
          <w:color w:val="000000" w:themeColor="text1"/>
          <w:szCs w:val="2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本项目采用综合评分法确定成交候选人。磋商小组将按下列评分办法和标准进行评分，总分值为</w:t>
      </w:r>
      <w:r>
        <w:rPr>
          <w:rFonts w:ascii="宋体" w:hAnsi="宋体" w:cs="宋体"/>
          <w:color w:val="000000" w:themeColor="text1"/>
          <w:sz w:val="24"/>
          <w:szCs w:val="24"/>
          <w:highlight w:val="none"/>
          <w14:textFill>
            <w14:solidFill>
              <w14:schemeClr w14:val="tx1"/>
            </w14:solidFill>
          </w14:textFill>
        </w:rPr>
        <w:t>100</w:t>
      </w:r>
      <w:r>
        <w:rPr>
          <w:rFonts w:hint="eastAsia" w:ascii="宋体" w:hAnsi="宋体" w:cs="宋体"/>
          <w:color w:val="000000" w:themeColor="text1"/>
          <w:sz w:val="24"/>
          <w:szCs w:val="24"/>
          <w:highlight w:val="none"/>
          <w14:textFill>
            <w14:solidFill>
              <w14:schemeClr w14:val="tx1"/>
            </w14:solidFill>
          </w14:textFill>
        </w:rPr>
        <w:t>分。</w:t>
      </w:r>
    </w:p>
    <w:p w14:paraId="190E6FE5">
      <w:pPr>
        <w:shd w:val="clear"/>
        <w:spacing w:before="210" w:line="360" w:lineRule="auto"/>
        <w:ind w:right="271" w:firstLine="562" w:firstLineChars="200"/>
        <w:jc w:val="center"/>
        <w:rPr>
          <w:color w:val="000000" w:themeColor="text1"/>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评标办法</w:t>
      </w:r>
    </w:p>
    <w:tbl>
      <w:tblPr>
        <w:tblStyle w:val="25"/>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28"/>
        <w:gridCol w:w="1033"/>
        <w:gridCol w:w="7066"/>
        <w:gridCol w:w="1028"/>
      </w:tblGrid>
      <w:tr w14:paraId="6048A7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30" w:type="dxa"/>
            <w:vAlign w:val="center"/>
          </w:tcPr>
          <w:p w14:paraId="55EB532F">
            <w:pPr>
              <w:spacing w:line="36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序号</w:t>
            </w:r>
          </w:p>
        </w:tc>
        <w:tc>
          <w:tcPr>
            <w:tcW w:w="893" w:type="dxa"/>
            <w:vAlign w:val="center"/>
          </w:tcPr>
          <w:p w14:paraId="5E844A54">
            <w:pPr>
              <w:spacing w:line="36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评审项目</w:t>
            </w:r>
          </w:p>
        </w:tc>
        <w:tc>
          <w:tcPr>
            <w:tcW w:w="6110" w:type="dxa"/>
            <w:vAlign w:val="center"/>
          </w:tcPr>
          <w:p w14:paraId="1A5BB097">
            <w:pPr>
              <w:spacing w:line="36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评审标准</w:t>
            </w:r>
          </w:p>
        </w:tc>
        <w:tc>
          <w:tcPr>
            <w:tcW w:w="889" w:type="dxa"/>
            <w:vAlign w:val="center"/>
          </w:tcPr>
          <w:p w14:paraId="01FEC120">
            <w:pPr>
              <w:spacing w:line="360" w:lineRule="auto"/>
              <w:jc w:val="center"/>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分值</w:t>
            </w:r>
          </w:p>
        </w:tc>
      </w:tr>
      <w:tr w14:paraId="76CFDC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30" w:type="dxa"/>
            <w:vAlign w:val="center"/>
          </w:tcPr>
          <w:p w14:paraId="76475361">
            <w:pPr>
              <w:spacing w:line="360" w:lineRule="auto"/>
              <w:jc w:val="center"/>
              <w:rPr>
                <w:rFonts w:hint="eastAsia" w:ascii="宋体" w:hAnsi="宋体" w:eastAsia="宋体" w:cs="宋体"/>
                <w:b/>
                <w:bCs w:val="0"/>
                <w:color w:val="000000" w:themeColor="text1"/>
                <w:sz w:val="21"/>
                <w:szCs w:val="21"/>
                <w:highlight w:val="none"/>
                <w14:textFill>
                  <w14:solidFill>
                    <w14:schemeClr w14:val="tx1"/>
                  </w14:solidFill>
                </w14:textFill>
              </w:rPr>
            </w:pPr>
            <w:r>
              <w:rPr>
                <w:rFonts w:hint="eastAsia" w:ascii="宋体" w:hAnsi="宋体" w:eastAsia="宋体" w:cs="宋体"/>
                <w:b/>
                <w:bCs w:val="0"/>
                <w:color w:val="000000" w:themeColor="text1"/>
                <w:sz w:val="21"/>
                <w:szCs w:val="21"/>
                <w:highlight w:val="none"/>
                <w14:textFill>
                  <w14:solidFill>
                    <w14:schemeClr w14:val="tx1"/>
                  </w14:solidFill>
                </w14:textFill>
              </w:rPr>
              <w:t>1</w:t>
            </w:r>
          </w:p>
        </w:tc>
        <w:tc>
          <w:tcPr>
            <w:tcW w:w="893" w:type="dxa"/>
            <w:vAlign w:val="center"/>
          </w:tcPr>
          <w:p w14:paraId="1EEE7F8F">
            <w:pPr>
              <w:spacing w:line="360" w:lineRule="auto"/>
              <w:jc w:val="center"/>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投标报价</w:t>
            </w:r>
          </w:p>
        </w:tc>
        <w:tc>
          <w:tcPr>
            <w:tcW w:w="6110" w:type="dxa"/>
            <w:tcBorders>
              <w:bottom w:val="single" w:color="auto" w:sz="4" w:space="0"/>
            </w:tcBorders>
          </w:tcPr>
          <w:p w14:paraId="725CD70E">
            <w:pPr>
              <w:spacing w:line="276" w:lineRule="auto"/>
              <w:jc w:val="left"/>
              <w:rPr>
                <w:rFonts w:ascii="宋体" w:hAnsi="宋体" w:eastAsia="宋体"/>
                <w:color w:val="000000" w:themeColor="text1"/>
                <w:sz w:val="21"/>
                <w:szCs w:val="21"/>
                <w:highlight w:val="none"/>
                <w:lang w:val="en-US"/>
                <w14:textFill>
                  <w14:solidFill>
                    <w14:schemeClr w14:val="tx1"/>
                  </w14:solidFill>
                </w14:textFill>
              </w:rPr>
            </w:pPr>
            <w:r>
              <w:rPr>
                <w:rFonts w:hint="eastAsia" w:ascii="宋体" w:hAnsi="宋体" w:eastAsia="宋体"/>
                <w:color w:val="000000" w:themeColor="text1"/>
                <w:sz w:val="21"/>
                <w:szCs w:val="21"/>
                <w:highlight w:val="none"/>
                <w:lang w:val="en-US"/>
                <w14:textFill>
                  <w14:solidFill>
                    <w14:schemeClr w14:val="tx1"/>
                  </w14:solidFill>
                </w14:textFill>
              </w:rPr>
              <w:t>采用低价优先法计算，即满足磋商文件要求且价格最低的磋商报价为磋商基准价，其价格分为满分。</w:t>
            </w:r>
          </w:p>
          <w:p w14:paraId="687C1C11">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val="en-US"/>
                <w14:textFill>
                  <w14:solidFill>
                    <w14:schemeClr w14:val="tx1"/>
                  </w14:solidFill>
                </w14:textFill>
              </w:rPr>
              <w:t>其他供应商的价格分统一按照下列公式计算：磋商报价得分</w:t>
            </w:r>
            <w:r>
              <w:rPr>
                <w:rFonts w:ascii="宋体" w:hAnsi="宋体" w:eastAsia="宋体"/>
                <w:color w:val="000000" w:themeColor="text1"/>
                <w:sz w:val="21"/>
                <w:szCs w:val="21"/>
                <w:highlight w:val="none"/>
                <w:lang w:val="en-US"/>
                <w14:textFill>
                  <w14:solidFill>
                    <w14:schemeClr w14:val="tx1"/>
                  </w14:solidFill>
                </w14:textFill>
              </w:rPr>
              <w:t>=(</w:t>
            </w:r>
            <w:r>
              <w:rPr>
                <w:rFonts w:hint="eastAsia" w:ascii="宋体" w:hAnsi="宋体" w:eastAsia="宋体"/>
                <w:color w:val="000000" w:themeColor="text1"/>
                <w:sz w:val="21"/>
                <w:szCs w:val="21"/>
                <w:highlight w:val="none"/>
                <w:lang w:val="en-US"/>
                <w14:textFill>
                  <w14:solidFill>
                    <w14:schemeClr w14:val="tx1"/>
                  </w14:solidFill>
                </w14:textFill>
              </w:rPr>
              <w:t>磋商基准价</w:t>
            </w:r>
            <w:r>
              <w:rPr>
                <w:rFonts w:ascii="宋体" w:hAnsi="宋体" w:eastAsia="宋体"/>
                <w:color w:val="000000" w:themeColor="text1"/>
                <w:sz w:val="21"/>
                <w:szCs w:val="21"/>
                <w:highlight w:val="none"/>
                <w:lang w:val="en-US"/>
                <w14:textFill>
                  <w14:solidFill>
                    <w14:schemeClr w14:val="tx1"/>
                  </w14:solidFill>
                </w14:textFill>
              </w:rPr>
              <w:t>/</w:t>
            </w:r>
            <w:r>
              <w:rPr>
                <w:rFonts w:hint="eastAsia" w:ascii="宋体" w:hAnsi="宋体" w:eastAsia="宋体"/>
                <w:color w:val="000000" w:themeColor="text1"/>
                <w:sz w:val="21"/>
                <w:szCs w:val="21"/>
                <w:highlight w:val="none"/>
                <w:lang w:val="en-US"/>
                <w14:textFill>
                  <w14:solidFill>
                    <w14:schemeClr w14:val="tx1"/>
                  </w14:solidFill>
                </w14:textFill>
              </w:rPr>
              <w:t>磋商最终报价</w:t>
            </w:r>
            <w:r>
              <w:rPr>
                <w:rFonts w:ascii="宋体" w:hAnsi="宋体" w:eastAsia="宋体"/>
                <w:color w:val="000000" w:themeColor="text1"/>
                <w:sz w:val="21"/>
                <w:szCs w:val="21"/>
                <w:highlight w:val="none"/>
                <w:lang w:val="en-US"/>
                <w14:textFill>
                  <w14:solidFill>
                    <w14:schemeClr w14:val="tx1"/>
                  </w14:solidFill>
                </w14:textFill>
              </w:rPr>
              <w:t>)×3</w:t>
            </w:r>
            <w:r>
              <w:rPr>
                <w:rFonts w:hint="eastAsia" w:ascii="宋体" w:hAnsi="宋体" w:eastAsia="宋体"/>
                <w:color w:val="000000" w:themeColor="text1"/>
                <w:sz w:val="21"/>
                <w:szCs w:val="21"/>
                <w:highlight w:val="none"/>
                <w:lang w:val="en-US"/>
                <w14:textFill>
                  <w14:solidFill>
                    <w14:schemeClr w14:val="tx1"/>
                  </w14:solidFill>
                </w14:textFill>
              </w:rPr>
              <w:t>0（小数点保留两位）</w:t>
            </w:r>
          </w:p>
        </w:tc>
        <w:tc>
          <w:tcPr>
            <w:tcW w:w="889" w:type="dxa"/>
            <w:tcBorders>
              <w:bottom w:val="single" w:color="auto" w:sz="4" w:space="0"/>
            </w:tcBorders>
            <w:vAlign w:val="center"/>
          </w:tcPr>
          <w:p w14:paraId="3B2D7703">
            <w:pPr>
              <w:spacing w:line="360" w:lineRule="auto"/>
              <w:jc w:val="center"/>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30分</w:t>
            </w:r>
          </w:p>
        </w:tc>
      </w:tr>
      <w:tr w14:paraId="2970D4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30" w:type="dxa"/>
            <w:tcBorders>
              <w:top w:val="single" w:color="auto" w:sz="4" w:space="0"/>
            </w:tcBorders>
            <w:vAlign w:val="center"/>
          </w:tcPr>
          <w:p w14:paraId="2A6C0E01">
            <w:pPr>
              <w:spacing w:line="360" w:lineRule="auto"/>
              <w:jc w:val="center"/>
              <w:rPr>
                <w:rFonts w:hint="eastAsia" w:ascii="宋体" w:hAnsi="宋体" w:eastAsia="宋体" w:cs="宋体"/>
                <w:b/>
                <w:bCs w:val="0"/>
                <w:color w:val="000000" w:themeColor="text1"/>
                <w:sz w:val="21"/>
                <w:szCs w:val="21"/>
                <w:highlight w:val="none"/>
                <w14:textFill>
                  <w14:solidFill>
                    <w14:schemeClr w14:val="tx1"/>
                  </w14:solidFill>
                </w14:textFill>
              </w:rPr>
            </w:pPr>
            <w:r>
              <w:rPr>
                <w:rFonts w:hint="eastAsia" w:ascii="宋体" w:hAnsi="宋体" w:eastAsia="宋体" w:cs="宋体"/>
                <w:b/>
                <w:bCs w:val="0"/>
                <w:color w:val="000000" w:themeColor="text1"/>
                <w:sz w:val="21"/>
                <w:szCs w:val="21"/>
                <w:highlight w:val="none"/>
                <w14:textFill>
                  <w14:solidFill>
                    <w14:schemeClr w14:val="tx1"/>
                  </w14:solidFill>
                </w14:textFill>
              </w:rPr>
              <w:t>2</w:t>
            </w:r>
          </w:p>
        </w:tc>
        <w:tc>
          <w:tcPr>
            <w:tcW w:w="893" w:type="dxa"/>
            <w:tcBorders>
              <w:top w:val="single" w:color="auto" w:sz="4" w:space="0"/>
            </w:tcBorders>
            <w:vAlign w:val="center"/>
          </w:tcPr>
          <w:p w14:paraId="3F2419FC">
            <w:pPr>
              <w:spacing w:line="360" w:lineRule="auto"/>
              <w:jc w:val="center"/>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企业业绩</w:t>
            </w:r>
          </w:p>
        </w:tc>
        <w:tc>
          <w:tcPr>
            <w:tcW w:w="6110" w:type="dxa"/>
            <w:tcBorders>
              <w:top w:val="single" w:color="auto" w:sz="4" w:space="0"/>
              <w:bottom w:val="single" w:color="auto" w:sz="4" w:space="0"/>
            </w:tcBorders>
            <w:vAlign w:val="center"/>
          </w:tcPr>
          <w:p w14:paraId="064012F3">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供应商自202</w:t>
            </w:r>
            <w:r>
              <w:rPr>
                <w:rFonts w:hint="eastAsia" w:ascii="宋体" w:hAnsi="宋体" w:cs="宋体"/>
                <w:color w:val="000000" w:themeColor="text1"/>
                <w:sz w:val="21"/>
                <w:szCs w:val="21"/>
                <w:highlight w:val="none"/>
                <w:lang w:val="en-US" w:eastAsia="zh-CN"/>
                <w14:textFill>
                  <w14:solidFill>
                    <w14:schemeClr w14:val="tx1"/>
                  </w14:solidFill>
                </w14:textFill>
              </w:rPr>
              <w:t>3</w:t>
            </w:r>
            <w:r>
              <w:rPr>
                <w:rFonts w:hint="eastAsia" w:ascii="宋体" w:hAnsi="宋体" w:eastAsia="宋体" w:cs="宋体"/>
                <w:color w:val="000000" w:themeColor="text1"/>
                <w:sz w:val="21"/>
                <w:szCs w:val="21"/>
                <w:highlight w:val="none"/>
                <w14:textFill>
                  <w14:solidFill>
                    <w14:schemeClr w14:val="tx1"/>
                  </w14:solidFill>
                </w14:textFill>
              </w:rPr>
              <w:t>年</w:t>
            </w:r>
            <w:r>
              <w:rPr>
                <w:rFonts w:hint="eastAsia" w:ascii="宋体" w:hAnsi="宋体" w:eastAsia="宋体" w:cs="宋体"/>
                <w:color w:val="000000" w:themeColor="text1"/>
                <w:sz w:val="21"/>
                <w:szCs w:val="21"/>
                <w:highlight w:val="non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14:textFill>
                  <w14:solidFill>
                    <w14:schemeClr w14:val="tx1"/>
                  </w14:solidFill>
                </w14:textFill>
              </w:rPr>
              <w:t>月1日（含）以来承担过类似项目业绩的得</w:t>
            </w:r>
            <w:r>
              <w:rPr>
                <w:rFonts w:hint="eastAsia" w:ascii="宋体" w:hAnsi="宋体" w:cs="宋体"/>
                <w:color w:val="000000" w:themeColor="text1"/>
                <w:sz w:val="21"/>
                <w:szCs w:val="21"/>
                <w:highlight w:val="none"/>
                <w:lang w:val="en-US" w:eastAsia="zh-CN"/>
                <w14:textFill>
                  <w14:solidFill>
                    <w14:schemeClr w14:val="tx1"/>
                  </w14:solidFill>
                </w14:textFill>
              </w:rPr>
              <w:t>3</w:t>
            </w:r>
            <w:r>
              <w:rPr>
                <w:rFonts w:hint="eastAsia" w:ascii="宋体" w:hAnsi="宋体" w:eastAsia="宋体" w:cs="宋体"/>
                <w:color w:val="000000" w:themeColor="text1"/>
                <w:sz w:val="21"/>
                <w:szCs w:val="21"/>
                <w:highlight w:val="none"/>
                <w14:textFill>
                  <w14:solidFill>
                    <w14:schemeClr w14:val="tx1"/>
                  </w14:solidFill>
                </w14:textFill>
              </w:rPr>
              <w:t>分/个，最多得</w:t>
            </w:r>
            <w:r>
              <w:rPr>
                <w:rFonts w:hint="eastAsia" w:ascii="宋体" w:hAnsi="宋体" w:cs="宋体"/>
                <w:color w:val="000000" w:themeColor="text1"/>
                <w:sz w:val="21"/>
                <w:szCs w:val="21"/>
                <w:highlight w:val="none"/>
                <w:lang w:val="en-US" w:eastAsia="zh-CN"/>
                <w14:textFill>
                  <w14:solidFill>
                    <w14:schemeClr w14:val="tx1"/>
                  </w14:solidFill>
                </w14:textFill>
              </w:rPr>
              <w:t>9</w:t>
            </w:r>
            <w:r>
              <w:rPr>
                <w:rFonts w:hint="eastAsia" w:ascii="宋体" w:hAnsi="宋体" w:eastAsia="宋体" w:cs="宋体"/>
                <w:color w:val="000000" w:themeColor="text1"/>
                <w:sz w:val="21"/>
                <w:szCs w:val="21"/>
                <w:highlight w:val="none"/>
                <w14:textFill>
                  <w14:solidFill>
                    <w14:schemeClr w14:val="tx1"/>
                  </w14:solidFill>
                </w14:textFill>
              </w:rPr>
              <w:t>分。（须提供中标通知书（直接发包项目可不提供中标通知书，但须提供加盖行业主管部门签章的直接发包登记表或发包人出具的加盖单位公章的直接发包证明）、合同、竣工验收证明的复印件加盖供应商公章编入响应文件中，三者缺一不可，时间以竣工验收证明材料中的竣工验收时间为准；提供的证明材料必须反映出相关数据和内容，否则视为未提供。</w:t>
            </w:r>
            <w:r>
              <w:rPr>
                <w:rFonts w:ascii="宋体" w:hAnsi="宋体"/>
                <w:color w:val="000000" w:themeColor="text1"/>
                <w:szCs w:val="21"/>
                <w:highlight w:val="none"/>
                <w14:textFill>
                  <w14:solidFill>
                    <w14:schemeClr w14:val="tx1"/>
                  </w14:solidFill>
                </w14:textFill>
              </w:rPr>
              <w:t>企业业绩和项目</w:t>
            </w:r>
            <w:r>
              <w:rPr>
                <w:rFonts w:hint="eastAsia" w:ascii="宋体" w:hAnsi="宋体"/>
                <w:color w:val="000000" w:themeColor="text1"/>
                <w:szCs w:val="21"/>
                <w:highlight w:val="none"/>
                <w:lang w:eastAsia="zh-CN"/>
                <w14:textFill>
                  <w14:solidFill>
                    <w14:schemeClr w14:val="tx1"/>
                  </w14:solidFill>
                </w14:textFill>
              </w:rPr>
              <w:t>负责人</w:t>
            </w:r>
            <w:r>
              <w:rPr>
                <w:rFonts w:ascii="宋体" w:hAnsi="宋体"/>
                <w:color w:val="000000" w:themeColor="text1"/>
                <w:szCs w:val="21"/>
                <w:highlight w:val="none"/>
                <w14:textFill>
                  <w14:solidFill>
                    <w14:schemeClr w14:val="tx1"/>
                  </w14:solidFill>
                </w14:textFill>
              </w:rPr>
              <w:t>业绩不可兼得</w:t>
            </w:r>
            <w:r>
              <w:rPr>
                <w:rFonts w:hint="eastAsia" w:ascii="宋体" w:hAnsi="宋体"/>
                <w:color w:val="000000" w:themeColor="text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w:t>
            </w:r>
          </w:p>
        </w:tc>
        <w:tc>
          <w:tcPr>
            <w:tcW w:w="889" w:type="dxa"/>
            <w:tcBorders>
              <w:top w:val="single" w:color="auto" w:sz="4" w:space="0"/>
              <w:bottom w:val="single" w:color="auto" w:sz="4" w:space="0"/>
            </w:tcBorders>
            <w:vAlign w:val="center"/>
          </w:tcPr>
          <w:p w14:paraId="62ED46D8">
            <w:pPr>
              <w:spacing w:line="360" w:lineRule="auto"/>
              <w:jc w:val="center"/>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9</w:t>
            </w:r>
            <w:r>
              <w:rPr>
                <w:rFonts w:hint="eastAsia" w:ascii="宋体" w:hAnsi="宋体" w:eastAsia="宋体" w:cs="宋体"/>
                <w:bCs/>
                <w:color w:val="000000" w:themeColor="text1"/>
                <w:sz w:val="21"/>
                <w:szCs w:val="21"/>
                <w:highlight w:val="none"/>
                <w14:textFill>
                  <w14:solidFill>
                    <w14:schemeClr w14:val="tx1"/>
                  </w14:solidFill>
                </w14:textFill>
              </w:rPr>
              <w:t>分</w:t>
            </w:r>
          </w:p>
        </w:tc>
      </w:tr>
      <w:tr w14:paraId="6ADDA3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30" w:type="dxa"/>
            <w:tcBorders>
              <w:top w:val="single" w:color="auto" w:sz="4" w:space="0"/>
            </w:tcBorders>
            <w:vAlign w:val="center"/>
          </w:tcPr>
          <w:p w14:paraId="10CA6E53">
            <w:pPr>
              <w:spacing w:line="360" w:lineRule="auto"/>
              <w:jc w:val="cente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pPr>
            <w:r>
              <w:rPr>
                <w:rFonts w:hint="eastAsia" w:ascii="宋体" w:hAnsi="宋体" w:cs="宋体"/>
                <w:b/>
                <w:bCs w:val="0"/>
                <w:color w:val="000000" w:themeColor="text1"/>
                <w:sz w:val="21"/>
                <w:szCs w:val="21"/>
                <w:highlight w:val="none"/>
                <w:lang w:val="en-US" w:eastAsia="zh-CN"/>
                <w14:textFill>
                  <w14:solidFill>
                    <w14:schemeClr w14:val="tx1"/>
                  </w14:solidFill>
                </w14:textFill>
              </w:rPr>
              <w:t>3</w:t>
            </w:r>
          </w:p>
        </w:tc>
        <w:tc>
          <w:tcPr>
            <w:tcW w:w="893" w:type="dxa"/>
            <w:tcBorders>
              <w:top w:val="single" w:color="auto" w:sz="4" w:space="0"/>
            </w:tcBorders>
            <w:vAlign w:val="center"/>
          </w:tcPr>
          <w:p w14:paraId="178A1718">
            <w:pPr>
              <w:spacing w:line="360" w:lineRule="auto"/>
              <w:jc w:val="center"/>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cs="宋体"/>
                <w:bCs/>
                <w:color w:val="000000" w:themeColor="text1"/>
                <w:sz w:val="21"/>
                <w:szCs w:val="21"/>
                <w:highlight w:val="none"/>
                <w:lang w:eastAsia="zh-CN"/>
                <w14:textFill>
                  <w14:solidFill>
                    <w14:schemeClr w14:val="tx1"/>
                  </w14:solidFill>
                </w14:textFill>
              </w:rPr>
              <w:t>项目负责人业绩</w:t>
            </w:r>
          </w:p>
        </w:tc>
        <w:tc>
          <w:tcPr>
            <w:tcW w:w="6110" w:type="dxa"/>
            <w:tcBorders>
              <w:top w:val="single" w:color="auto" w:sz="4" w:space="0"/>
              <w:bottom w:val="single" w:color="auto" w:sz="4" w:space="0"/>
            </w:tcBorders>
            <w:vAlign w:val="center"/>
          </w:tcPr>
          <w:p w14:paraId="0AF1F4F8">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项目负责人</w:t>
            </w:r>
            <w:r>
              <w:rPr>
                <w:rFonts w:hint="eastAsia" w:ascii="宋体" w:hAnsi="宋体" w:eastAsia="宋体" w:cs="宋体"/>
                <w:color w:val="000000" w:themeColor="text1"/>
                <w:sz w:val="21"/>
                <w:szCs w:val="21"/>
                <w:highlight w:val="none"/>
                <w14:textFill>
                  <w14:solidFill>
                    <w14:schemeClr w14:val="tx1"/>
                  </w14:solidFill>
                </w14:textFill>
              </w:rPr>
              <w:t>自202</w:t>
            </w:r>
            <w:r>
              <w:rPr>
                <w:rFonts w:hint="eastAsia" w:ascii="宋体" w:hAnsi="宋体" w:cs="宋体"/>
                <w:color w:val="000000" w:themeColor="text1"/>
                <w:sz w:val="21"/>
                <w:szCs w:val="21"/>
                <w:highlight w:val="none"/>
                <w:lang w:val="en-US" w:eastAsia="zh-CN"/>
                <w14:textFill>
                  <w14:solidFill>
                    <w14:schemeClr w14:val="tx1"/>
                  </w14:solidFill>
                </w14:textFill>
              </w:rPr>
              <w:t>3</w:t>
            </w:r>
            <w:r>
              <w:rPr>
                <w:rFonts w:hint="eastAsia" w:ascii="宋体" w:hAnsi="宋体" w:eastAsia="宋体" w:cs="宋体"/>
                <w:color w:val="000000" w:themeColor="text1"/>
                <w:sz w:val="21"/>
                <w:szCs w:val="21"/>
                <w:highlight w:val="none"/>
                <w14:textFill>
                  <w14:solidFill>
                    <w14:schemeClr w14:val="tx1"/>
                  </w14:solidFill>
                </w14:textFill>
              </w:rPr>
              <w:t>年</w:t>
            </w:r>
            <w:r>
              <w:rPr>
                <w:rFonts w:hint="eastAsia" w:ascii="宋体" w:hAnsi="宋体" w:eastAsia="宋体" w:cs="宋体"/>
                <w:color w:val="000000" w:themeColor="text1"/>
                <w:sz w:val="21"/>
                <w:szCs w:val="21"/>
                <w:highlight w:val="non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14:textFill>
                  <w14:solidFill>
                    <w14:schemeClr w14:val="tx1"/>
                  </w14:solidFill>
                </w14:textFill>
              </w:rPr>
              <w:t>月1日（含）以来承担过类似项目业绩的得</w:t>
            </w:r>
            <w:r>
              <w:rPr>
                <w:rFonts w:hint="eastAsia" w:ascii="宋体" w:hAnsi="宋体" w:cs="宋体"/>
                <w:color w:val="000000" w:themeColor="text1"/>
                <w:sz w:val="21"/>
                <w:szCs w:val="21"/>
                <w:highlight w:val="none"/>
                <w:lang w:val="en-US" w:eastAsia="zh-CN"/>
                <w14:textFill>
                  <w14:solidFill>
                    <w14:schemeClr w14:val="tx1"/>
                  </w14:solidFill>
                </w14:textFill>
              </w:rPr>
              <w:t>3</w:t>
            </w:r>
            <w:r>
              <w:rPr>
                <w:rFonts w:hint="eastAsia" w:ascii="宋体" w:hAnsi="宋体" w:eastAsia="宋体" w:cs="宋体"/>
                <w:color w:val="000000" w:themeColor="text1"/>
                <w:sz w:val="21"/>
                <w:szCs w:val="21"/>
                <w:highlight w:val="none"/>
                <w14:textFill>
                  <w14:solidFill>
                    <w14:schemeClr w14:val="tx1"/>
                  </w14:solidFill>
                </w14:textFill>
              </w:rPr>
              <w:t>分</w:t>
            </w:r>
            <w:r>
              <w:rPr>
                <w:rFonts w:hint="eastAsia"/>
                <w:lang w:val="en-US" w:eastAsia="zh-CN"/>
              </w:rPr>
              <w:t>/个</w:t>
            </w:r>
            <w:r>
              <w:rPr>
                <w:rFonts w:hint="eastAsia" w:ascii="宋体" w:hAnsi="宋体" w:eastAsia="宋体" w:cs="宋体"/>
                <w:color w:val="000000" w:themeColor="text1"/>
                <w:sz w:val="21"/>
                <w:szCs w:val="21"/>
                <w:highlight w:val="none"/>
                <w:lang w:eastAsia="zh-CN"/>
                <w14:textFill>
                  <w14:solidFill>
                    <w14:schemeClr w14:val="tx1"/>
                  </w14:solidFill>
                </w14:textFill>
              </w:rPr>
              <w:t>，满分</w:t>
            </w:r>
            <w:r>
              <w:rPr>
                <w:rFonts w:hint="eastAsia" w:ascii="宋体" w:hAnsi="宋体" w:eastAsia="宋体" w:cs="宋体"/>
                <w:color w:val="000000" w:themeColor="text1"/>
                <w:sz w:val="21"/>
                <w:szCs w:val="21"/>
                <w:highlight w:val="none"/>
                <w:lang w:val="en-US" w:eastAsia="zh-CN"/>
                <w14:textFill>
                  <w14:solidFill>
                    <w14:schemeClr w14:val="tx1"/>
                  </w14:solidFill>
                </w14:textFill>
              </w:rPr>
              <w:t>3</w:t>
            </w:r>
            <w:r>
              <w:rPr>
                <w:rFonts w:hint="eastAsia" w:ascii="宋体" w:hAnsi="宋体" w:eastAsia="宋体" w:cs="宋体"/>
                <w:color w:val="000000" w:themeColor="text1"/>
                <w:sz w:val="21"/>
                <w:szCs w:val="21"/>
                <w:highlight w:val="none"/>
                <w14:textFill>
                  <w14:solidFill>
                    <w14:schemeClr w14:val="tx1"/>
                  </w14:solidFill>
                </w14:textFill>
              </w:rPr>
              <w:t>分。（须提供中标通知书（直接发包项目可不提供中标通知书，但须提供加盖行业主管部门签章的直接发包登记表或发包人出具的加盖单位公章的直接发包证明）、合同、竣工验收证明的复印件加盖供应商公章编入响应文件中，三者缺一不可，时间以竣工验收证明材料中的竣工验收时间为准；提供的证明材料必须反映出相关数据和内容，否则视为未提供。</w:t>
            </w:r>
            <w:r>
              <w:rPr>
                <w:rFonts w:ascii="宋体" w:hAnsi="宋体"/>
                <w:color w:val="000000" w:themeColor="text1"/>
                <w:szCs w:val="21"/>
                <w:highlight w:val="none"/>
                <w14:textFill>
                  <w14:solidFill>
                    <w14:schemeClr w14:val="tx1"/>
                  </w14:solidFill>
                </w14:textFill>
              </w:rPr>
              <w:t>企业业绩和项目</w:t>
            </w:r>
            <w:r>
              <w:rPr>
                <w:rFonts w:hint="eastAsia" w:ascii="宋体" w:hAnsi="宋体"/>
                <w:color w:val="000000" w:themeColor="text1"/>
                <w:szCs w:val="21"/>
                <w:highlight w:val="none"/>
                <w:lang w:eastAsia="zh-CN"/>
                <w14:textFill>
                  <w14:solidFill>
                    <w14:schemeClr w14:val="tx1"/>
                  </w14:solidFill>
                </w14:textFill>
              </w:rPr>
              <w:t>负责人</w:t>
            </w:r>
            <w:r>
              <w:rPr>
                <w:rFonts w:ascii="宋体" w:hAnsi="宋体"/>
                <w:color w:val="000000" w:themeColor="text1"/>
                <w:szCs w:val="21"/>
                <w:highlight w:val="none"/>
                <w14:textFill>
                  <w14:solidFill>
                    <w14:schemeClr w14:val="tx1"/>
                  </w14:solidFill>
                </w14:textFill>
              </w:rPr>
              <w:t>业绩不可兼得</w:t>
            </w:r>
            <w:r>
              <w:rPr>
                <w:rFonts w:hint="eastAsia" w:ascii="宋体" w:hAnsi="宋体"/>
                <w:color w:val="000000" w:themeColor="text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w:t>
            </w:r>
          </w:p>
        </w:tc>
        <w:tc>
          <w:tcPr>
            <w:tcW w:w="889" w:type="dxa"/>
            <w:tcBorders>
              <w:top w:val="single" w:color="auto" w:sz="4" w:space="0"/>
              <w:bottom w:val="single" w:color="auto" w:sz="4" w:space="0"/>
            </w:tcBorders>
            <w:vAlign w:val="center"/>
          </w:tcPr>
          <w:p w14:paraId="47880908">
            <w:pPr>
              <w:spacing w:line="360" w:lineRule="auto"/>
              <w:jc w:val="center"/>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3分</w:t>
            </w:r>
          </w:p>
        </w:tc>
      </w:tr>
      <w:tr w14:paraId="3DCBCA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30" w:type="dxa"/>
            <w:tcBorders>
              <w:top w:val="single" w:color="auto" w:sz="4" w:space="0"/>
            </w:tcBorders>
            <w:vAlign w:val="center"/>
          </w:tcPr>
          <w:p w14:paraId="69204ED8">
            <w:pPr>
              <w:spacing w:line="360" w:lineRule="auto"/>
              <w:jc w:val="center"/>
              <w:rPr>
                <w:rFonts w:hint="eastAsia" w:ascii="宋体" w:hAnsi="宋体" w:eastAsia="宋体" w:cs="宋体"/>
                <w:b/>
                <w:bCs w:val="0"/>
                <w:color w:val="000000" w:themeColor="text1"/>
                <w:sz w:val="21"/>
                <w:szCs w:val="21"/>
                <w:highlight w:val="none"/>
                <w:lang w:eastAsia="zh-CN"/>
                <w14:textFill>
                  <w14:solidFill>
                    <w14:schemeClr w14:val="tx1"/>
                  </w14:solidFill>
                </w14:textFill>
              </w:rPr>
            </w:pPr>
            <w:r>
              <w:rPr>
                <w:rFonts w:hint="eastAsia" w:ascii="宋体" w:hAnsi="宋体" w:cs="宋体"/>
                <w:b/>
                <w:bCs w:val="0"/>
                <w:color w:val="000000" w:themeColor="text1"/>
                <w:sz w:val="21"/>
                <w:szCs w:val="21"/>
                <w:highlight w:val="none"/>
                <w:lang w:val="en-US" w:eastAsia="zh-CN"/>
                <w14:textFill>
                  <w14:solidFill>
                    <w14:schemeClr w14:val="tx1"/>
                  </w14:solidFill>
                </w14:textFill>
              </w:rPr>
              <w:t>4</w:t>
            </w:r>
          </w:p>
        </w:tc>
        <w:tc>
          <w:tcPr>
            <w:tcW w:w="893" w:type="dxa"/>
            <w:tcBorders>
              <w:top w:val="single" w:color="auto" w:sz="4" w:space="0"/>
            </w:tcBorders>
            <w:vAlign w:val="center"/>
          </w:tcPr>
          <w:p w14:paraId="3934FAFE">
            <w:pPr>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项目组成员</w:t>
            </w:r>
          </w:p>
        </w:tc>
        <w:tc>
          <w:tcPr>
            <w:tcW w:w="6110" w:type="dxa"/>
            <w:tcBorders>
              <w:top w:val="single" w:color="auto" w:sz="4" w:space="0"/>
              <w:bottom w:val="single" w:color="auto" w:sz="4" w:space="0"/>
            </w:tcBorders>
            <w:vAlign w:val="center"/>
          </w:tcPr>
          <w:p w14:paraId="43C1BEA7">
            <w:pPr>
              <w:numPr>
                <w:ilvl w:val="0"/>
                <w:numId w:val="2"/>
              </w:num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除项目负责人外</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cs="宋体"/>
                <w:color w:val="000000" w:themeColor="text1"/>
                <w:szCs w:val="21"/>
                <w:highlight w:val="none"/>
                <w14:textFill>
                  <w14:solidFill>
                    <w14:schemeClr w14:val="tx1"/>
                  </w14:solidFill>
                </w14:textFill>
              </w:rPr>
              <w:t>项目团队不得少于</w:t>
            </w:r>
            <w:r>
              <w:rPr>
                <w:rFonts w:hint="eastAsia" w:ascii="宋体" w:hAnsi="宋体" w:cs="宋体"/>
                <w:color w:val="000000" w:themeColor="text1"/>
                <w:szCs w:val="21"/>
                <w:highlight w:val="none"/>
                <w:lang w:val="en-US" w:eastAsia="zh-CN"/>
                <w14:textFill>
                  <w14:solidFill>
                    <w14:schemeClr w14:val="tx1"/>
                  </w14:solidFill>
                </w14:textFill>
              </w:rPr>
              <w:t>4</w:t>
            </w:r>
            <w:r>
              <w:rPr>
                <w:rFonts w:hint="eastAsia" w:ascii="宋体" w:hAnsi="宋体" w:cs="宋体"/>
                <w:color w:val="000000" w:themeColor="text1"/>
                <w:szCs w:val="21"/>
                <w:highlight w:val="none"/>
                <w14:textFill>
                  <w14:solidFill>
                    <w14:schemeClr w14:val="tx1"/>
                  </w14:solidFill>
                </w14:textFill>
              </w:rPr>
              <w:t>人</w:t>
            </w:r>
            <w:r>
              <w:rPr>
                <w:rFonts w:hint="eastAsia" w:ascii="宋体" w:hAnsi="宋体" w:cs="宋体"/>
                <w:color w:val="000000" w:themeColor="text1"/>
                <w:szCs w:val="21"/>
                <w:highlight w:val="none"/>
                <w:lang w:val="en-US" w:eastAsia="zh-CN"/>
                <w14:textFill>
                  <w14:solidFill>
                    <w14:schemeClr w14:val="tx1"/>
                  </w14:solidFill>
                </w14:textFill>
              </w:rPr>
              <w:t>,在此基础上</w:t>
            </w:r>
            <w:r>
              <w:rPr>
                <w:rFonts w:hint="eastAsia" w:ascii="宋体" w:hAnsi="宋体" w:cs="宋体"/>
                <w:color w:val="000000" w:themeColor="text1"/>
                <w:szCs w:val="21"/>
                <w:highlight w:val="none"/>
                <w14:textFill>
                  <w14:solidFill>
                    <w14:schemeClr w14:val="tx1"/>
                  </w14:solidFill>
                </w14:textFill>
              </w:rPr>
              <w:t>，每多1人，得</w:t>
            </w:r>
            <w:r>
              <w:rPr>
                <w:rFonts w:hint="eastAsia" w:ascii="宋体" w:hAnsi="宋体" w:eastAsia="宋体" w:cs="宋体"/>
                <w:color w:val="000000" w:themeColor="text1"/>
                <w:szCs w:val="21"/>
                <w:highlight w:val="none"/>
                <w:lang w:val="en-US" w:eastAsia="zh-CN"/>
                <w14:textFill>
                  <w14:solidFill>
                    <w14:schemeClr w14:val="tx1"/>
                  </w14:solidFill>
                </w14:textFill>
              </w:rPr>
              <w:t>2</w:t>
            </w:r>
            <w:r>
              <w:rPr>
                <w:rFonts w:hint="eastAsia" w:ascii="宋体" w:hAnsi="宋体" w:cs="宋体"/>
                <w:color w:val="000000" w:themeColor="text1"/>
                <w:szCs w:val="21"/>
                <w:highlight w:val="none"/>
                <w14:textFill>
                  <w14:solidFill>
                    <w14:schemeClr w14:val="tx1"/>
                  </w14:solidFill>
                </w14:textFill>
              </w:rPr>
              <w:t>分，最多得</w:t>
            </w:r>
            <w:r>
              <w:rPr>
                <w:rFonts w:hint="eastAsia" w:ascii="宋体" w:hAnsi="宋体" w:eastAsia="宋体" w:cs="宋体"/>
                <w:color w:val="000000" w:themeColor="text1"/>
                <w:szCs w:val="21"/>
                <w:highlight w:val="none"/>
                <w:lang w:val="en-US" w:eastAsia="zh-CN"/>
                <w14:textFill>
                  <w14:solidFill>
                    <w14:schemeClr w14:val="tx1"/>
                  </w14:solidFill>
                </w14:textFill>
              </w:rPr>
              <w:t>6</w:t>
            </w:r>
            <w:r>
              <w:rPr>
                <w:rFonts w:hint="eastAsia" w:ascii="宋体" w:hAnsi="宋体" w:cs="宋体"/>
                <w:color w:val="000000" w:themeColor="text1"/>
                <w:szCs w:val="21"/>
                <w:highlight w:val="none"/>
                <w14:textFill>
                  <w14:solidFill>
                    <w14:schemeClr w14:val="tx1"/>
                  </w14:solidFill>
                </w14:textFill>
              </w:rPr>
              <w:t>分；</w:t>
            </w:r>
            <w:r>
              <w:rPr>
                <w:rFonts w:hint="eastAsia" w:ascii="宋体" w:hAnsi="宋体" w:eastAsia="宋体" w:cs="宋体"/>
                <w:color w:val="000000" w:themeColor="text1"/>
                <w:sz w:val="21"/>
                <w:szCs w:val="21"/>
                <w:highlight w:val="none"/>
                <w14:textFill>
                  <w14:solidFill>
                    <w14:schemeClr w14:val="tx1"/>
                  </w14:solidFill>
                </w14:textFill>
              </w:rPr>
              <w:t>供应商必须提供社保机构出具投标供应商近半年</w:t>
            </w:r>
            <w:r>
              <w:rPr>
                <w:rFonts w:hint="eastAsia" w:ascii="宋体" w:hAnsi="宋体" w:eastAsia="宋体" w:cs="宋体"/>
                <w:color w:val="000000" w:themeColor="text1"/>
                <w:sz w:val="21"/>
                <w:szCs w:val="21"/>
                <w:highlight w:val="none"/>
                <w:lang w:val="en-US"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202</w:t>
            </w:r>
            <w:r>
              <w:rPr>
                <w:rFonts w:hint="eastAsia" w:ascii="宋体" w:hAnsi="宋体" w:eastAsia="宋体" w:cs="宋体"/>
                <w:color w:val="000000" w:themeColor="text1"/>
                <w:sz w:val="21"/>
                <w:szCs w:val="21"/>
                <w:highlight w:val="none"/>
                <w:lang w:val="en-US" w:eastAsia="zh-CN"/>
                <w14:textFill>
                  <w14:solidFill>
                    <w14:schemeClr w14:val="tx1"/>
                  </w14:solidFill>
                </w14:textFill>
              </w:rPr>
              <w:t>5</w:t>
            </w:r>
            <w:r>
              <w:rPr>
                <w:rFonts w:hint="eastAsia" w:ascii="宋体" w:hAnsi="宋体" w:eastAsia="宋体" w:cs="宋体"/>
                <w:color w:val="000000" w:themeColor="text1"/>
                <w:sz w:val="21"/>
                <w:szCs w:val="21"/>
                <w:highlight w:val="none"/>
                <w14:textFill>
                  <w14:solidFill>
                    <w14:schemeClr w14:val="tx1"/>
                  </w14:solidFill>
                </w14:textFill>
              </w:rPr>
              <w:t>年</w:t>
            </w:r>
            <w:r>
              <w:rPr>
                <w:rFonts w:hint="eastAsia" w:ascii="宋体" w:hAnsi="宋体" w:cs="宋体"/>
                <w:color w:val="000000" w:themeColor="text1"/>
                <w:sz w:val="21"/>
                <w:szCs w:val="21"/>
                <w:highlight w:val="none"/>
                <w:lang w:val="en-US" w:eastAsia="zh-CN"/>
                <w14:textFill>
                  <w14:solidFill>
                    <w14:schemeClr w14:val="tx1"/>
                  </w14:solidFill>
                </w14:textFill>
              </w:rPr>
              <w:t>7</w:t>
            </w:r>
            <w:r>
              <w:rPr>
                <w:rFonts w:hint="eastAsia" w:ascii="宋体" w:hAnsi="宋体" w:eastAsia="宋体" w:cs="宋体"/>
                <w:color w:val="000000" w:themeColor="text1"/>
                <w:sz w:val="21"/>
                <w:szCs w:val="21"/>
                <w:highlight w:val="none"/>
                <w14:textFill>
                  <w14:solidFill>
                    <w14:schemeClr w14:val="tx1"/>
                  </w14:solidFill>
                </w14:textFill>
              </w:rPr>
              <w:t>月-2025年</w:t>
            </w:r>
            <w:r>
              <w:rPr>
                <w:rFonts w:hint="eastAsia" w:ascii="宋体" w:hAnsi="宋体" w:cs="宋体"/>
                <w:color w:val="000000" w:themeColor="text1"/>
                <w:sz w:val="21"/>
                <w:szCs w:val="21"/>
                <w:highlight w:val="none"/>
                <w:lang w:val="en-US" w:eastAsia="zh-CN"/>
                <w14:textFill>
                  <w14:solidFill>
                    <w14:schemeClr w14:val="tx1"/>
                  </w14:solidFill>
                </w14:textFill>
              </w:rPr>
              <w:t>12</w:t>
            </w:r>
            <w:r>
              <w:rPr>
                <w:rFonts w:hint="eastAsia" w:ascii="宋体" w:hAnsi="宋体" w:eastAsia="宋体" w:cs="宋体"/>
                <w:color w:val="000000" w:themeColor="text1"/>
                <w:sz w:val="21"/>
                <w:szCs w:val="21"/>
                <w:highlight w:val="none"/>
                <w14:textFill>
                  <w14:solidFill>
                    <w14:schemeClr w14:val="tx1"/>
                  </w14:solidFill>
                </w14:textFill>
              </w:rPr>
              <w:t>月</w:t>
            </w:r>
            <w:r>
              <w:rPr>
                <w:rFonts w:hint="eastAsia" w:ascii="宋体" w:hAnsi="宋体" w:eastAsia="宋体" w:cs="宋体"/>
                <w:color w:val="000000" w:themeColor="text1"/>
                <w:sz w:val="21"/>
                <w:szCs w:val="21"/>
                <w:highlight w:val="none"/>
                <w:lang w:val="en-US"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任意一个月为其缴纳社保的证明材料并加盖社保中心章或社保中心参保缴费证明电子专用章；若其属企业退休人员、现役军人等客观原因无法提供社保证明，必须出具相关证明材料，否则一律按未提供社保证明材料处理。提供社保缴纳证明复印件加盖投标供应商公章。</w:t>
            </w:r>
          </w:p>
          <w:p w14:paraId="4EAF1C68">
            <w:pPr>
              <w:numPr>
                <w:ilvl w:val="0"/>
                <w:numId w:val="2"/>
              </w:num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除项目负责人外，项目组成员中具有注册建造师证建筑工程二级(含)以上得</w:t>
            </w:r>
            <w:r>
              <w:rPr>
                <w:rFonts w:hint="eastAsia" w:ascii="宋体" w:hAnsi="宋体" w:cs="宋体"/>
                <w:color w:val="000000" w:themeColor="text1"/>
                <w:sz w:val="21"/>
                <w:szCs w:val="21"/>
                <w:highlight w:val="none"/>
                <w:lang w:val="en-US" w:eastAsia="zh-CN"/>
                <w14:textFill>
                  <w14:solidFill>
                    <w14:schemeClr w14:val="tx1"/>
                  </w14:solidFill>
                </w14:textFill>
              </w:rPr>
              <w:t>2</w:t>
            </w:r>
            <w:r>
              <w:rPr>
                <w:rFonts w:hint="eastAsia" w:ascii="宋体" w:hAnsi="宋体" w:eastAsia="宋体" w:cs="宋体"/>
                <w:color w:val="000000" w:themeColor="text1"/>
                <w:sz w:val="21"/>
                <w:szCs w:val="21"/>
                <w:highlight w:val="none"/>
                <w14:textFill>
                  <w14:solidFill>
                    <w14:schemeClr w14:val="tx1"/>
                  </w14:solidFill>
                </w14:textFill>
              </w:rPr>
              <w:t>分/人，满分</w:t>
            </w:r>
            <w:r>
              <w:rPr>
                <w:rFonts w:hint="eastAsia" w:ascii="宋体" w:hAnsi="宋体" w:cs="宋体"/>
                <w:color w:val="000000" w:themeColor="text1"/>
                <w:sz w:val="21"/>
                <w:szCs w:val="21"/>
                <w:highlight w:val="none"/>
                <w:lang w:val="en-US" w:eastAsia="zh-CN"/>
                <w14:textFill>
                  <w14:solidFill>
                    <w14:schemeClr w14:val="tx1"/>
                  </w14:solidFill>
                </w14:textFill>
              </w:rPr>
              <w:t>2</w:t>
            </w:r>
            <w:r>
              <w:rPr>
                <w:rFonts w:hint="eastAsia" w:ascii="宋体" w:hAnsi="宋体" w:eastAsia="宋体" w:cs="宋体"/>
                <w:color w:val="000000" w:themeColor="text1"/>
                <w:sz w:val="21"/>
                <w:szCs w:val="21"/>
                <w:highlight w:val="none"/>
                <w14:textFill>
                  <w14:solidFill>
                    <w14:schemeClr w14:val="tx1"/>
                  </w14:solidFill>
                </w14:textFill>
              </w:rPr>
              <w:t>分。供应商必须提供社保机构出具投标供应商近半年</w:t>
            </w:r>
            <w:r>
              <w:rPr>
                <w:rFonts w:hint="eastAsia" w:ascii="宋体" w:hAnsi="宋体" w:eastAsia="宋体" w:cs="宋体"/>
                <w:color w:val="000000" w:themeColor="text1"/>
                <w:sz w:val="21"/>
                <w:szCs w:val="21"/>
                <w:highlight w:val="none"/>
                <w:lang w:val="en-US"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202</w:t>
            </w:r>
            <w:r>
              <w:rPr>
                <w:rFonts w:hint="eastAsia" w:ascii="宋体" w:hAnsi="宋体" w:eastAsia="宋体" w:cs="宋体"/>
                <w:color w:val="000000" w:themeColor="text1"/>
                <w:sz w:val="21"/>
                <w:szCs w:val="21"/>
                <w:highlight w:val="none"/>
                <w:lang w:val="en-US" w:eastAsia="zh-CN"/>
                <w14:textFill>
                  <w14:solidFill>
                    <w14:schemeClr w14:val="tx1"/>
                  </w14:solidFill>
                </w14:textFill>
              </w:rPr>
              <w:t>5</w:t>
            </w:r>
            <w:r>
              <w:rPr>
                <w:rFonts w:hint="eastAsia" w:ascii="宋体" w:hAnsi="宋体" w:eastAsia="宋体" w:cs="宋体"/>
                <w:color w:val="000000" w:themeColor="text1"/>
                <w:sz w:val="21"/>
                <w:szCs w:val="21"/>
                <w:highlight w:val="none"/>
                <w14:textFill>
                  <w14:solidFill>
                    <w14:schemeClr w14:val="tx1"/>
                  </w14:solidFill>
                </w14:textFill>
              </w:rPr>
              <w:t>年</w:t>
            </w:r>
            <w:r>
              <w:rPr>
                <w:rFonts w:hint="eastAsia" w:ascii="宋体" w:hAnsi="宋体" w:cs="宋体"/>
                <w:color w:val="000000" w:themeColor="text1"/>
                <w:sz w:val="21"/>
                <w:szCs w:val="21"/>
                <w:highlight w:val="none"/>
                <w:lang w:val="en-US" w:eastAsia="zh-CN"/>
                <w14:textFill>
                  <w14:solidFill>
                    <w14:schemeClr w14:val="tx1"/>
                  </w14:solidFill>
                </w14:textFill>
              </w:rPr>
              <w:t>7</w:t>
            </w:r>
            <w:r>
              <w:rPr>
                <w:rFonts w:hint="eastAsia" w:ascii="宋体" w:hAnsi="宋体" w:eastAsia="宋体" w:cs="宋体"/>
                <w:color w:val="000000" w:themeColor="text1"/>
                <w:sz w:val="21"/>
                <w:szCs w:val="21"/>
                <w:highlight w:val="none"/>
                <w14:textFill>
                  <w14:solidFill>
                    <w14:schemeClr w14:val="tx1"/>
                  </w14:solidFill>
                </w14:textFill>
              </w:rPr>
              <w:t>月-2025年</w:t>
            </w:r>
            <w:r>
              <w:rPr>
                <w:rFonts w:hint="eastAsia" w:ascii="宋体" w:hAnsi="宋体" w:cs="宋体"/>
                <w:color w:val="000000" w:themeColor="text1"/>
                <w:sz w:val="21"/>
                <w:szCs w:val="21"/>
                <w:highlight w:val="none"/>
                <w:lang w:val="en-US" w:eastAsia="zh-CN"/>
                <w14:textFill>
                  <w14:solidFill>
                    <w14:schemeClr w14:val="tx1"/>
                  </w14:solidFill>
                </w14:textFill>
              </w:rPr>
              <w:t>12</w:t>
            </w:r>
            <w:r>
              <w:rPr>
                <w:rFonts w:hint="eastAsia" w:ascii="宋体" w:hAnsi="宋体" w:eastAsia="宋体" w:cs="宋体"/>
                <w:color w:val="000000" w:themeColor="text1"/>
                <w:sz w:val="21"/>
                <w:szCs w:val="21"/>
                <w:highlight w:val="none"/>
                <w14:textFill>
                  <w14:solidFill>
                    <w14:schemeClr w14:val="tx1"/>
                  </w14:solidFill>
                </w14:textFill>
              </w:rPr>
              <w:t>月</w:t>
            </w:r>
            <w:r>
              <w:rPr>
                <w:rFonts w:hint="eastAsia" w:ascii="宋体" w:hAnsi="宋体" w:eastAsia="宋体" w:cs="宋体"/>
                <w:color w:val="000000" w:themeColor="text1"/>
                <w:sz w:val="21"/>
                <w:szCs w:val="21"/>
                <w:highlight w:val="none"/>
                <w:lang w:val="en-US"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任意一个月为其缴纳社保的证明材料并加盖社保中心章或社保中心参保缴费证明电子专用章；若其属企业退休人员、现役军人等客观原因无法提供社保证明，必须出具相关证明材料，否则一律按未提供社保证明材料处理。提供注册证书复印件及社保缴纳证明复印件加盖投标供应商公章。</w:t>
            </w:r>
          </w:p>
        </w:tc>
        <w:tc>
          <w:tcPr>
            <w:tcW w:w="889" w:type="dxa"/>
            <w:tcBorders>
              <w:top w:val="single" w:color="auto" w:sz="4" w:space="0"/>
            </w:tcBorders>
            <w:vAlign w:val="center"/>
          </w:tcPr>
          <w:p w14:paraId="330519B9">
            <w:pPr>
              <w:ind w:firstLine="210" w:firstLineChars="100"/>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8</w:t>
            </w:r>
            <w:r>
              <w:rPr>
                <w:rFonts w:hint="eastAsia" w:ascii="宋体" w:hAnsi="宋体" w:eastAsia="宋体" w:cs="宋体"/>
                <w:bCs/>
                <w:color w:val="000000" w:themeColor="text1"/>
                <w:sz w:val="21"/>
                <w:szCs w:val="21"/>
                <w:highlight w:val="none"/>
                <w14:textFill>
                  <w14:solidFill>
                    <w14:schemeClr w14:val="tx1"/>
                  </w14:solidFill>
                </w14:textFill>
              </w:rPr>
              <w:t>分</w:t>
            </w:r>
          </w:p>
        </w:tc>
      </w:tr>
      <w:tr w14:paraId="2D57AB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30" w:type="dxa"/>
            <w:vAlign w:val="center"/>
          </w:tcPr>
          <w:p w14:paraId="30E1EAE4">
            <w:pPr>
              <w:spacing w:line="360" w:lineRule="auto"/>
              <w:jc w:val="center"/>
              <w:rPr>
                <w:rFonts w:hint="eastAsia" w:ascii="宋体" w:hAnsi="宋体" w:eastAsia="宋体" w:cs="宋体"/>
                <w:b/>
                <w:bCs w:val="0"/>
                <w:color w:val="000000" w:themeColor="text1"/>
                <w:sz w:val="21"/>
                <w:szCs w:val="21"/>
                <w:highlight w:val="none"/>
                <w14:textFill>
                  <w14:solidFill>
                    <w14:schemeClr w14:val="tx1"/>
                  </w14:solidFill>
                </w14:textFill>
              </w:rPr>
            </w:pPr>
            <w:r>
              <w:rPr>
                <w:rFonts w:hint="eastAsia" w:ascii="宋体" w:hAnsi="宋体" w:eastAsia="宋体" w:cs="宋体"/>
                <w:b/>
                <w:bCs w:val="0"/>
                <w:color w:val="000000" w:themeColor="text1"/>
                <w:sz w:val="21"/>
                <w:szCs w:val="21"/>
                <w:highlight w:val="none"/>
                <w14:textFill>
                  <w14:solidFill>
                    <w14:schemeClr w14:val="tx1"/>
                  </w14:solidFill>
                </w14:textFill>
              </w:rPr>
              <w:t>5</w:t>
            </w:r>
          </w:p>
        </w:tc>
        <w:tc>
          <w:tcPr>
            <w:tcW w:w="7892" w:type="dxa"/>
            <w:gridSpan w:val="3"/>
            <w:vAlign w:val="center"/>
          </w:tcPr>
          <w:p w14:paraId="60DC4076">
            <w:pPr>
              <w:spacing w:line="360" w:lineRule="auto"/>
              <w:jc w:val="center"/>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施工组织方案</w:t>
            </w:r>
          </w:p>
        </w:tc>
      </w:tr>
      <w:tr w14:paraId="463E66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63" w:hRule="atLeast"/>
          <w:jc w:val="center"/>
        </w:trPr>
        <w:tc>
          <w:tcPr>
            <w:tcW w:w="630" w:type="dxa"/>
            <w:vAlign w:val="center"/>
          </w:tcPr>
          <w:p w14:paraId="54CB60CC">
            <w:pPr>
              <w:spacing w:line="360" w:lineRule="auto"/>
              <w:jc w:val="center"/>
              <w:rPr>
                <w:rFonts w:hint="eastAsia" w:ascii="宋体" w:hAnsi="宋体" w:eastAsia="宋体" w:cs="宋体"/>
                <w:b/>
                <w:bCs w:val="0"/>
                <w:color w:val="000000" w:themeColor="text1"/>
                <w:sz w:val="21"/>
                <w:szCs w:val="21"/>
                <w:highlight w:val="none"/>
                <w14:textFill>
                  <w14:solidFill>
                    <w14:schemeClr w14:val="tx1"/>
                  </w14:solidFill>
                </w14:textFill>
              </w:rPr>
            </w:pPr>
            <w:r>
              <w:rPr>
                <w:rFonts w:hint="eastAsia" w:ascii="宋体" w:hAnsi="宋体" w:eastAsia="宋体" w:cs="宋体"/>
                <w:b/>
                <w:bCs w:val="0"/>
                <w:color w:val="000000" w:themeColor="text1"/>
                <w:sz w:val="21"/>
                <w:szCs w:val="21"/>
                <w:highlight w:val="none"/>
                <w14:textFill>
                  <w14:solidFill>
                    <w14:schemeClr w14:val="tx1"/>
                  </w14:solidFill>
                </w14:textFill>
              </w:rPr>
              <w:t>5.1</w:t>
            </w:r>
          </w:p>
        </w:tc>
        <w:tc>
          <w:tcPr>
            <w:tcW w:w="893" w:type="dxa"/>
            <w:vAlign w:val="center"/>
          </w:tcPr>
          <w:p w14:paraId="7BBB794F">
            <w:pPr>
              <w:shd w:val="clear"/>
              <w:spacing w:line="360" w:lineRule="auto"/>
              <w:ind w:firstLine="0" w:firstLineChars="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项目实施总体方案</w:t>
            </w:r>
          </w:p>
          <w:p w14:paraId="5C0D772C">
            <w:pP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p>
        </w:tc>
        <w:tc>
          <w:tcPr>
            <w:tcW w:w="6110" w:type="dxa"/>
            <w:tcBorders>
              <w:top w:val="single" w:color="auto" w:sz="4" w:space="0"/>
              <w:bottom w:val="single" w:color="auto" w:sz="4" w:space="0"/>
            </w:tcBorders>
            <w:shd w:val="clear" w:color="auto" w:fill="auto"/>
            <w:vAlign w:val="center"/>
          </w:tcPr>
          <w:p w14:paraId="449D14A9">
            <w:pPr>
              <w:shd w:val="clear"/>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评委根据供应商提供的项目实施总体方案表述的清晰性、全面性、前瞻性、合理性、科学性、可行性及针对性等进行评分：</w:t>
            </w:r>
          </w:p>
          <w:p w14:paraId="61F7C2E4">
            <w:pPr>
              <w:shd w:val="clear"/>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实施总体方案表述非常清晰、非常全面、非常科学合理，前瞻性、可行性及针对性非常强的得</w:t>
            </w:r>
            <w:r>
              <w:rPr>
                <w:rFonts w:hint="eastAsia" w:ascii="宋体" w:hAnsi="宋体"/>
                <w:color w:val="000000" w:themeColor="text1"/>
                <w:szCs w:val="21"/>
                <w:highlight w:val="none"/>
                <w:lang w:val="en-US" w:eastAsia="zh-CN"/>
                <w14:textFill>
                  <w14:solidFill>
                    <w14:schemeClr w14:val="tx1"/>
                  </w14:solidFill>
                </w14:textFill>
              </w:rPr>
              <w:t>10</w:t>
            </w:r>
            <w:r>
              <w:rPr>
                <w:rFonts w:hint="eastAsia" w:ascii="宋体" w:hAnsi="宋体"/>
                <w:color w:val="000000" w:themeColor="text1"/>
                <w:szCs w:val="21"/>
                <w:highlight w:val="none"/>
                <w14:textFill>
                  <w14:solidFill>
                    <w14:schemeClr w14:val="tx1"/>
                  </w14:solidFill>
                </w14:textFill>
              </w:rPr>
              <w:t>分；</w:t>
            </w:r>
          </w:p>
          <w:p w14:paraId="64017DAA">
            <w:pPr>
              <w:shd w:val="clear"/>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实施总体方案表述较清晰、较全面、较科学合理，前瞻性、可行性及针对性较强的得</w:t>
            </w:r>
            <w:r>
              <w:rPr>
                <w:rFonts w:hint="eastAsia" w:ascii="宋体" w:hAnsi="宋体"/>
                <w:color w:val="000000" w:themeColor="text1"/>
                <w:szCs w:val="21"/>
                <w:highlight w:val="none"/>
                <w:lang w:val="en-US" w:eastAsia="zh-CN"/>
                <w14:textFill>
                  <w14:solidFill>
                    <w14:schemeClr w14:val="tx1"/>
                  </w14:solidFill>
                </w14:textFill>
              </w:rPr>
              <w:t>7</w:t>
            </w:r>
            <w:r>
              <w:rPr>
                <w:rFonts w:hint="eastAsia" w:ascii="宋体" w:hAnsi="宋体"/>
                <w:color w:val="000000" w:themeColor="text1"/>
                <w:szCs w:val="21"/>
                <w:highlight w:val="none"/>
                <w14:textFill>
                  <w14:solidFill>
                    <w14:schemeClr w14:val="tx1"/>
                  </w14:solidFill>
                </w14:textFill>
              </w:rPr>
              <w:t>分；</w:t>
            </w:r>
          </w:p>
          <w:p w14:paraId="13B50FBD">
            <w:pPr>
              <w:shd w:val="clear"/>
              <w:spacing w:line="360" w:lineRule="auto"/>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实施总体方案表述一般，满足项目基本需求的得</w:t>
            </w:r>
            <w:r>
              <w:rPr>
                <w:rFonts w:hint="eastAsia" w:ascii="宋体" w:hAnsi="宋体"/>
                <w:color w:val="000000" w:themeColor="text1"/>
                <w:szCs w:val="21"/>
                <w:highlight w:val="none"/>
                <w:lang w:val="en-US" w:eastAsia="zh-CN"/>
                <w14:textFill>
                  <w14:solidFill>
                    <w14:schemeClr w14:val="tx1"/>
                  </w14:solidFill>
                </w14:textFill>
              </w:rPr>
              <w:t>4</w:t>
            </w:r>
            <w:r>
              <w:rPr>
                <w:rFonts w:hint="eastAsia" w:ascii="宋体" w:hAnsi="宋体"/>
                <w:color w:val="000000" w:themeColor="text1"/>
                <w:szCs w:val="21"/>
                <w:highlight w:val="none"/>
                <w14:textFill>
                  <w14:solidFill>
                    <w14:schemeClr w14:val="tx1"/>
                  </w14:solidFill>
                </w14:textFill>
              </w:rPr>
              <w:t>分；</w:t>
            </w:r>
          </w:p>
          <w:p w14:paraId="335C2D3B">
            <w:pPr>
              <w:shd w:val="clear"/>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实施总体方案表述</w:t>
            </w:r>
            <w:r>
              <w:rPr>
                <w:rFonts w:hint="eastAsia" w:ascii="宋体" w:hAnsi="宋体"/>
                <w:color w:val="000000" w:themeColor="text1"/>
                <w:szCs w:val="21"/>
                <w:highlight w:val="none"/>
                <w:lang w:eastAsia="zh-CN"/>
                <w14:textFill>
                  <w14:solidFill>
                    <w14:schemeClr w14:val="tx1"/>
                  </w14:solidFill>
                </w14:textFill>
              </w:rPr>
              <w:t>较差</w:t>
            </w:r>
            <w:r>
              <w:rPr>
                <w:rFonts w:hint="eastAsia"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lang w:eastAsia="zh-CN"/>
                <w14:textFill>
                  <w14:solidFill>
                    <w14:schemeClr w14:val="tx1"/>
                  </w14:solidFill>
                </w14:textFill>
              </w:rPr>
              <w:t>无法</w:t>
            </w:r>
            <w:r>
              <w:rPr>
                <w:rFonts w:hint="eastAsia" w:ascii="宋体" w:hAnsi="宋体"/>
                <w:color w:val="000000" w:themeColor="text1"/>
                <w:szCs w:val="21"/>
                <w:highlight w:val="none"/>
                <w14:textFill>
                  <w14:solidFill>
                    <w14:schemeClr w14:val="tx1"/>
                  </w14:solidFill>
                </w14:textFill>
              </w:rPr>
              <w:t>满足项目基本需求的得</w:t>
            </w:r>
            <w:r>
              <w:rPr>
                <w:rFonts w:hint="eastAsia" w:ascii="宋体" w:hAnsi="宋体"/>
                <w:color w:val="000000" w:themeColor="text1"/>
                <w:szCs w:val="21"/>
                <w:highlight w:val="none"/>
                <w:lang w:val="en-US" w:eastAsia="zh-CN"/>
                <w14:textFill>
                  <w14:solidFill>
                    <w14:schemeClr w14:val="tx1"/>
                  </w14:solidFill>
                </w14:textFill>
              </w:rPr>
              <w:t>1</w:t>
            </w:r>
            <w:r>
              <w:rPr>
                <w:rFonts w:hint="eastAsia" w:ascii="宋体" w:hAnsi="宋体"/>
                <w:color w:val="000000" w:themeColor="text1"/>
                <w:szCs w:val="21"/>
                <w:highlight w:val="none"/>
                <w14:textFill>
                  <w14:solidFill>
                    <w14:schemeClr w14:val="tx1"/>
                  </w14:solidFill>
                </w14:textFill>
              </w:rPr>
              <w:t>分；</w:t>
            </w:r>
          </w:p>
          <w:p w14:paraId="56D7913A">
            <w:pPr>
              <w:shd w:val="clear"/>
              <w:spacing w:line="360" w:lineRule="auto"/>
              <w:ind w:firstLine="420" w:firstLineChars="200"/>
              <w:jc w:val="left"/>
              <w:rPr>
                <w:rFonts w:hint="eastAsia" w:ascii="宋体" w:hAnsi="宋体"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未提供不得分。</w:t>
            </w:r>
          </w:p>
        </w:tc>
        <w:tc>
          <w:tcPr>
            <w:tcW w:w="889" w:type="dxa"/>
            <w:tcBorders>
              <w:top w:val="single" w:color="auto" w:sz="4" w:space="0"/>
              <w:bottom w:val="single" w:color="auto" w:sz="4" w:space="0"/>
            </w:tcBorders>
            <w:vAlign w:val="center"/>
          </w:tcPr>
          <w:p w14:paraId="554867A1">
            <w:pPr>
              <w:spacing w:line="360" w:lineRule="auto"/>
              <w:jc w:val="center"/>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10</w:t>
            </w:r>
            <w:r>
              <w:rPr>
                <w:rFonts w:hint="eastAsia" w:ascii="宋体" w:hAnsi="宋体" w:eastAsia="宋体" w:cs="宋体"/>
                <w:bCs/>
                <w:color w:val="000000" w:themeColor="text1"/>
                <w:sz w:val="21"/>
                <w:szCs w:val="21"/>
                <w:highlight w:val="none"/>
                <w14:textFill>
                  <w14:solidFill>
                    <w14:schemeClr w14:val="tx1"/>
                  </w14:solidFill>
                </w14:textFill>
              </w:rPr>
              <w:t>分</w:t>
            </w:r>
          </w:p>
        </w:tc>
      </w:tr>
      <w:tr w14:paraId="3AF356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630" w:type="dxa"/>
            <w:shd w:val="clear" w:color="auto" w:fill="auto"/>
            <w:vAlign w:val="center"/>
          </w:tcPr>
          <w:p w14:paraId="0ADA2AA8">
            <w:pPr>
              <w:spacing w:line="360" w:lineRule="auto"/>
              <w:jc w:val="center"/>
              <w:rPr>
                <w:rFonts w:hint="eastAsia" w:ascii="宋体" w:hAnsi="宋体" w:eastAsia="宋体" w:cs="宋体"/>
                <w:b/>
                <w:bCs w:val="0"/>
                <w:color w:val="000000" w:themeColor="text1"/>
                <w:sz w:val="21"/>
                <w:szCs w:val="21"/>
                <w:highlight w:val="none"/>
                <w14:textFill>
                  <w14:solidFill>
                    <w14:schemeClr w14:val="tx1"/>
                  </w14:solidFill>
                </w14:textFill>
              </w:rPr>
            </w:pPr>
            <w:r>
              <w:rPr>
                <w:rFonts w:hint="eastAsia" w:ascii="宋体" w:hAnsi="宋体" w:eastAsia="宋体" w:cs="宋体"/>
                <w:b/>
                <w:bCs w:val="0"/>
                <w:color w:val="000000" w:themeColor="text1"/>
                <w:sz w:val="21"/>
                <w:szCs w:val="21"/>
                <w:highlight w:val="none"/>
                <w14:textFill>
                  <w14:solidFill>
                    <w14:schemeClr w14:val="tx1"/>
                  </w14:solidFill>
                </w14:textFill>
              </w:rPr>
              <w:t>5.2</w:t>
            </w:r>
          </w:p>
        </w:tc>
        <w:tc>
          <w:tcPr>
            <w:tcW w:w="893" w:type="dxa"/>
            <w:shd w:val="clear" w:color="auto" w:fill="auto"/>
            <w:vAlign w:val="center"/>
          </w:tcPr>
          <w:p w14:paraId="0F983A92">
            <w:pPr>
              <w:shd w:val="clear"/>
              <w:spacing w:line="360" w:lineRule="auto"/>
              <w:ind w:firstLine="0" w:firstLineChars="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安全文明施工保障措施方案</w:t>
            </w:r>
          </w:p>
          <w:p w14:paraId="59AADE5C">
            <w:pP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p>
        </w:tc>
        <w:tc>
          <w:tcPr>
            <w:tcW w:w="6110" w:type="dxa"/>
            <w:tcBorders>
              <w:top w:val="single" w:color="auto" w:sz="4" w:space="0"/>
              <w:bottom w:val="single" w:color="auto" w:sz="4" w:space="0"/>
            </w:tcBorders>
            <w:shd w:val="clear" w:color="auto" w:fill="auto"/>
            <w:vAlign w:val="center"/>
          </w:tcPr>
          <w:p w14:paraId="4FC62E0A">
            <w:pPr>
              <w:shd w:val="clear"/>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评委根据供应商提供的安全文明施工保障措施方案的规范性、全面性、合理性、针对性、具体性、可靠性及操作规程科学性等进行评分：</w:t>
            </w:r>
          </w:p>
          <w:p w14:paraId="409E0056">
            <w:pPr>
              <w:shd w:val="clear"/>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安全文明施工保障措施方案表述非常规范、非常全面、非常合理、非常可靠、科学性及针对性非常强的得</w:t>
            </w:r>
            <w:r>
              <w:rPr>
                <w:rFonts w:hint="eastAsia" w:ascii="宋体" w:hAnsi="宋体"/>
                <w:color w:val="000000" w:themeColor="text1"/>
                <w:szCs w:val="21"/>
                <w:highlight w:val="none"/>
                <w:lang w:val="en-US" w:eastAsia="zh-CN"/>
                <w14:textFill>
                  <w14:solidFill>
                    <w14:schemeClr w14:val="tx1"/>
                  </w14:solidFill>
                </w14:textFill>
              </w:rPr>
              <w:t>10</w:t>
            </w:r>
            <w:r>
              <w:rPr>
                <w:rFonts w:hint="eastAsia" w:ascii="宋体" w:hAnsi="宋体"/>
                <w:color w:val="000000" w:themeColor="text1"/>
                <w:szCs w:val="21"/>
                <w:highlight w:val="none"/>
                <w14:textFill>
                  <w14:solidFill>
                    <w14:schemeClr w14:val="tx1"/>
                  </w14:solidFill>
                </w14:textFill>
              </w:rPr>
              <w:t>分；</w:t>
            </w:r>
          </w:p>
          <w:p w14:paraId="299996EB">
            <w:pPr>
              <w:shd w:val="clear"/>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安全文明施工保障措施方案表述规范、全面、合理、可靠、科学性及针对性强的得</w:t>
            </w:r>
            <w:r>
              <w:rPr>
                <w:rFonts w:hint="eastAsia" w:ascii="宋体" w:hAnsi="宋体"/>
                <w:color w:val="000000" w:themeColor="text1"/>
                <w:szCs w:val="21"/>
                <w:highlight w:val="none"/>
                <w:lang w:val="en-US" w:eastAsia="zh-CN"/>
                <w14:textFill>
                  <w14:solidFill>
                    <w14:schemeClr w14:val="tx1"/>
                  </w14:solidFill>
                </w14:textFill>
              </w:rPr>
              <w:t>7</w:t>
            </w:r>
            <w:r>
              <w:rPr>
                <w:rFonts w:hint="eastAsia" w:ascii="宋体" w:hAnsi="宋体"/>
                <w:color w:val="000000" w:themeColor="text1"/>
                <w:szCs w:val="21"/>
                <w:highlight w:val="none"/>
                <w14:textFill>
                  <w14:solidFill>
                    <w14:schemeClr w14:val="tx1"/>
                  </w14:solidFill>
                </w14:textFill>
              </w:rPr>
              <w:t>分；</w:t>
            </w:r>
          </w:p>
          <w:p w14:paraId="328F0C03">
            <w:pPr>
              <w:shd w:val="clear"/>
              <w:spacing w:line="360" w:lineRule="auto"/>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安全文明施工保障措施方案表述一般、满足项目基本需求的得</w:t>
            </w:r>
            <w:r>
              <w:rPr>
                <w:rFonts w:hint="eastAsia" w:ascii="宋体" w:hAnsi="宋体"/>
                <w:color w:val="000000" w:themeColor="text1"/>
                <w:szCs w:val="21"/>
                <w:highlight w:val="none"/>
                <w:lang w:val="en-US" w:eastAsia="zh-CN"/>
                <w14:textFill>
                  <w14:solidFill>
                    <w14:schemeClr w14:val="tx1"/>
                  </w14:solidFill>
                </w14:textFill>
              </w:rPr>
              <w:t>4</w:t>
            </w:r>
            <w:r>
              <w:rPr>
                <w:rFonts w:hint="eastAsia" w:ascii="宋体" w:hAnsi="宋体"/>
                <w:color w:val="000000" w:themeColor="text1"/>
                <w:szCs w:val="21"/>
                <w:highlight w:val="none"/>
                <w14:textFill>
                  <w14:solidFill>
                    <w14:schemeClr w14:val="tx1"/>
                  </w14:solidFill>
                </w14:textFill>
              </w:rPr>
              <w:t>分；</w:t>
            </w:r>
          </w:p>
          <w:p w14:paraId="42C7BF29">
            <w:pPr>
              <w:shd w:val="clear"/>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安全文明施工保障措施方案表述</w:t>
            </w:r>
            <w:r>
              <w:rPr>
                <w:rFonts w:hint="eastAsia" w:ascii="宋体" w:hAnsi="宋体"/>
                <w:color w:val="000000" w:themeColor="text1"/>
                <w:szCs w:val="21"/>
                <w:highlight w:val="none"/>
                <w:lang w:eastAsia="zh-CN"/>
                <w14:textFill>
                  <w14:solidFill>
                    <w14:schemeClr w14:val="tx1"/>
                  </w14:solidFill>
                </w14:textFill>
              </w:rPr>
              <w:t>较差</w:t>
            </w:r>
            <w:r>
              <w:rPr>
                <w:rFonts w:hint="eastAsia"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lang w:eastAsia="zh-CN"/>
                <w14:textFill>
                  <w14:solidFill>
                    <w14:schemeClr w14:val="tx1"/>
                  </w14:solidFill>
                </w14:textFill>
              </w:rPr>
              <w:t>无法</w:t>
            </w:r>
            <w:r>
              <w:rPr>
                <w:rFonts w:hint="eastAsia" w:ascii="宋体" w:hAnsi="宋体"/>
                <w:color w:val="000000" w:themeColor="text1"/>
                <w:szCs w:val="21"/>
                <w:highlight w:val="none"/>
                <w14:textFill>
                  <w14:solidFill>
                    <w14:schemeClr w14:val="tx1"/>
                  </w14:solidFill>
                </w14:textFill>
              </w:rPr>
              <w:t>满足项目基本需求的得</w:t>
            </w:r>
            <w:r>
              <w:rPr>
                <w:rFonts w:hint="eastAsia" w:ascii="宋体" w:hAnsi="宋体"/>
                <w:color w:val="000000" w:themeColor="text1"/>
                <w:szCs w:val="21"/>
                <w:highlight w:val="none"/>
                <w:lang w:val="en-US" w:eastAsia="zh-CN"/>
                <w14:textFill>
                  <w14:solidFill>
                    <w14:schemeClr w14:val="tx1"/>
                  </w14:solidFill>
                </w14:textFill>
              </w:rPr>
              <w:t>1</w:t>
            </w:r>
            <w:r>
              <w:rPr>
                <w:rFonts w:hint="eastAsia" w:ascii="宋体" w:hAnsi="宋体"/>
                <w:color w:val="000000" w:themeColor="text1"/>
                <w:szCs w:val="21"/>
                <w:highlight w:val="none"/>
                <w14:textFill>
                  <w14:solidFill>
                    <w14:schemeClr w14:val="tx1"/>
                  </w14:solidFill>
                </w14:textFill>
              </w:rPr>
              <w:t>分；</w:t>
            </w:r>
          </w:p>
          <w:p w14:paraId="5F16058C">
            <w:pPr>
              <w:pStyle w:val="15"/>
              <w:shd w:val="clear"/>
              <w:ind w:left="0" w:leftChars="0" w:firstLine="420" w:firstLineChars="200"/>
              <w:rPr>
                <w:rFonts w:hint="eastAsia" w:ascii="宋体" w:hAnsi="宋体" w:eastAsia="宋体" w:cs="Times New Roman"/>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未提供不得分。</w:t>
            </w:r>
          </w:p>
        </w:tc>
        <w:tc>
          <w:tcPr>
            <w:tcW w:w="889" w:type="dxa"/>
            <w:tcBorders>
              <w:top w:val="single" w:color="auto" w:sz="4" w:space="0"/>
              <w:bottom w:val="single" w:color="auto" w:sz="4" w:space="0"/>
            </w:tcBorders>
            <w:shd w:val="clear" w:color="auto" w:fill="auto"/>
            <w:vAlign w:val="center"/>
          </w:tcPr>
          <w:p w14:paraId="18A70669">
            <w:pPr>
              <w:spacing w:line="360" w:lineRule="auto"/>
              <w:jc w:val="center"/>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10</w:t>
            </w:r>
            <w:r>
              <w:rPr>
                <w:rFonts w:hint="eastAsia" w:ascii="宋体" w:hAnsi="宋体" w:eastAsia="宋体" w:cs="宋体"/>
                <w:bCs/>
                <w:color w:val="000000" w:themeColor="text1"/>
                <w:sz w:val="21"/>
                <w:szCs w:val="21"/>
                <w:highlight w:val="none"/>
                <w14:textFill>
                  <w14:solidFill>
                    <w14:schemeClr w14:val="tx1"/>
                  </w14:solidFill>
                </w14:textFill>
              </w:rPr>
              <w:t>分</w:t>
            </w:r>
          </w:p>
        </w:tc>
      </w:tr>
      <w:tr w14:paraId="698C70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2" w:hRule="atLeast"/>
          <w:jc w:val="center"/>
        </w:trPr>
        <w:tc>
          <w:tcPr>
            <w:tcW w:w="630" w:type="dxa"/>
            <w:vAlign w:val="center"/>
          </w:tcPr>
          <w:p w14:paraId="5D6B874E">
            <w:pPr>
              <w:spacing w:line="360" w:lineRule="auto"/>
              <w:jc w:val="center"/>
              <w:rPr>
                <w:rFonts w:hint="eastAsia" w:ascii="宋体" w:hAnsi="宋体" w:eastAsia="宋体" w:cs="宋体"/>
                <w:b/>
                <w:bCs w:val="0"/>
                <w:color w:val="000000" w:themeColor="text1"/>
                <w:sz w:val="21"/>
                <w:szCs w:val="21"/>
                <w:highlight w:val="none"/>
                <w:lang w:eastAsia="zh-CN"/>
                <w14:textFill>
                  <w14:solidFill>
                    <w14:schemeClr w14:val="tx1"/>
                  </w14:solidFill>
                </w14:textFill>
              </w:rPr>
            </w:pPr>
            <w:r>
              <w:rPr>
                <w:rFonts w:hint="eastAsia" w:ascii="宋体" w:hAnsi="宋体" w:eastAsia="宋体" w:cs="宋体"/>
                <w:b/>
                <w:bCs w:val="0"/>
                <w:color w:val="000000" w:themeColor="text1"/>
                <w:sz w:val="21"/>
                <w:szCs w:val="21"/>
                <w:highlight w:val="none"/>
                <w14:textFill>
                  <w14:solidFill>
                    <w14:schemeClr w14:val="tx1"/>
                  </w14:solidFill>
                </w14:textFill>
              </w:rPr>
              <w:t>5.</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3</w:t>
            </w:r>
          </w:p>
        </w:tc>
        <w:tc>
          <w:tcPr>
            <w:tcW w:w="893" w:type="dxa"/>
            <w:vAlign w:val="center"/>
          </w:tcPr>
          <w:p w14:paraId="6D3482EF">
            <w:pPr>
              <w:shd w:val="clear"/>
              <w:spacing w:line="360" w:lineRule="auto"/>
              <w:ind w:firstLine="0" w:firstLineChars="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重点、难点及合理化建议</w:t>
            </w:r>
          </w:p>
          <w:p w14:paraId="0C1A6EA5">
            <w:pP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p>
        </w:tc>
        <w:tc>
          <w:tcPr>
            <w:tcW w:w="6110" w:type="dxa"/>
            <w:tcBorders>
              <w:top w:val="single" w:color="auto" w:sz="4" w:space="0"/>
              <w:bottom w:val="single" w:color="auto" w:sz="4" w:space="0"/>
            </w:tcBorders>
            <w:shd w:val="clear" w:color="auto" w:fill="auto"/>
            <w:vAlign w:val="center"/>
          </w:tcPr>
          <w:p w14:paraId="2F151211">
            <w:pPr>
              <w:shd w:val="clear"/>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评委根据供应商针对本项目关键施工技术的重点、难点的分析及针对性合理化建议（措施）的科学性、可行性、全面性及有效性等进行评分：</w:t>
            </w:r>
          </w:p>
          <w:p w14:paraId="21941B9B">
            <w:pPr>
              <w:shd w:val="clear"/>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针对本项目关键施工技术的重点、难点的分析及针对性合理化建议（措施）表述非常全面、非常科学合理，可行性和针对性非常强的得</w:t>
            </w:r>
            <w:r>
              <w:rPr>
                <w:rFonts w:hint="eastAsia" w:ascii="宋体" w:hAnsi="宋体"/>
                <w:color w:val="000000" w:themeColor="text1"/>
                <w:szCs w:val="21"/>
                <w:highlight w:val="none"/>
                <w:lang w:val="en-US" w:eastAsia="zh-CN"/>
                <w14:textFill>
                  <w14:solidFill>
                    <w14:schemeClr w14:val="tx1"/>
                  </w14:solidFill>
                </w14:textFill>
              </w:rPr>
              <w:t>10</w:t>
            </w:r>
            <w:r>
              <w:rPr>
                <w:rFonts w:hint="eastAsia" w:ascii="宋体" w:hAnsi="宋体"/>
                <w:color w:val="000000" w:themeColor="text1"/>
                <w:szCs w:val="21"/>
                <w:highlight w:val="none"/>
                <w14:textFill>
                  <w14:solidFill>
                    <w14:schemeClr w14:val="tx1"/>
                  </w14:solidFill>
                </w14:textFill>
              </w:rPr>
              <w:t>分；</w:t>
            </w:r>
          </w:p>
          <w:p w14:paraId="7CE83013">
            <w:pPr>
              <w:shd w:val="clear"/>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针对本项目关键施工技术的重点、难点的分析及针对性合理化建议（措施）表述较全面、较科学合理，可行性和针对性较强的得</w:t>
            </w:r>
            <w:r>
              <w:rPr>
                <w:rFonts w:hint="eastAsia" w:ascii="宋体" w:hAnsi="宋体"/>
                <w:color w:val="000000" w:themeColor="text1"/>
                <w:szCs w:val="21"/>
                <w:highlight w:val="none"/>
                <w:lang w:val="en-US" w:eastAsia="zh-CN"/>
                <w14:textFill>
                  <w14:solidFill>
                    <w14:schemeClr w14:val="tx1"/>
                  </w14:solidFill>
                </w14:textFill>
              </w:rPr>
              <w:t>7</w:t>
            </w:r>
            <w:r>
              <w:rPr>
                <w:rFonts w:hint="eastAsia" w:ascii="宋体" w:hAnsi="宋体"/>
                <w:color w:val="000000" w:themeColor="text1"/>
                <w:szCs w:val="21"/>
                <w:highlight w:val="none"/>
                <w14:textFill>
                  <w14:solidFill>
                    <w14:schemeClr w14:val="tx1"/>
                  </w14:solidFill>
                </w14:textFill>
              </w:rPr>
              <w:t>分；</w:t>
            </w:r>
          </w:p>
          <w:p w14:paraId="6891B3C8">
            <w:pPr>
              <w:shd w:val="clear"/>
              <w:spacing w:line="360" w:lineRule="auto"/>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针对本项目关键施工技术的重点、难点的分析及针对性合理化建议（措施）表述一般，满足项目基本需求的得</w:t>
            </w:r>
            <w:r>
              <w:rPr>
                <w:rFonts w:hint="eastAsia" w:ascii="宋体" w:hAnsi="宋体"/>
                <w:color w:val="000000" w:themeColor="text1"/>
                <w:szCs w:val="21"/>
                <w:highlight w:val="none"/>
                <w:lang w:val="en-US" w:eastAsia="zh-CN"/>
                <w14:textFill>
                  <w14:solidFill>
                    <w14:schemeClr w14:val="tx1"/>
                  </w14:solidFill>
                </w14:textFill>
              </w:rPr>
              <w:t>4</w:t>
            </w:r>
            <w:r>
              <w:rPr>
                <w:rFonts w:hint="eastAsia" w:ascii="宋体" w:hAnsi="宋体"/>
                <w:color w:val="000000" w:themeColor="text1"/>
                <w:szCs w:val="21"/>
                <w:highlight w:val="none"/>
                <w14:textFill>
                  <w14:solidFill>
                    <w14:schemeClr w14:val="tx1"/>
                  </w14:solidFill>
                </w14:textFill>
              </w:rPr>
              <w:t>分；</w:t>
            </w:r>
          </w:p>
          <w:p w14:paraId="4B382582">
            <w:pPr>
              <w:shd w:val="clear"/>
              <w:spacing w:line="360" w:lineRule="auto"/>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针对本项目关键施工技术的重点、难点的分析及针对性合理化建议（措施）表述</w:t>
            </w:r>
            <w:r>
              <w:rPr>
                <w:rFonts w:hint="eastAsia" w:ascii="宋体" w:hAnsi="宋体"/>
                <w:color w:val="000000" w:themeColor="text1"/>
                <w:szCs w:val="21"/>
                <w:highlight w:val="none"/>
                <w:lang w:eastAsia="zh-CN"/>
                <w14:textFill>
                  <w14:solidFill>
                    <w14:schemeClr w14:val="tx1"/>
                  </w14:solidFill>
                </w14:textFill>
              </w:rPr>
              <w:t>较差</w:t>
            </w:r>
            <w:r>
              <w:rPr>
                <w:rFonts w:hint="eastAsia"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lang w:eastAsia="zh-CN"/>
                <w14:textFill>
                  <w14:solidFill>
                    <w14:schemeClr w14:val="tx1"/>
                  </w14:solidFill>
                </w14:textFill>
              </w:rPr>
              <w:t>无法满足</w:t>
            </w:r>
            <w:r>
              <w:rPr>
                <w:rFonts w:hint="eastAsia" w:ascii="宋体" w:hAnsi="宋体"/>
                <w:color w:val="000000" w:themeColor="text1"/>
                <w:szCs w:val="21"/>
                <w:highlight w:val="none"/>
                <w14:textFill>
                  <w14:solidFill>
                    <w14:schemeClr w14:val="tx1"/>
                  </w14:solidFill>
                </w14:textFill>
              </w:rPr>
              <w:t>项目基本需求的得</w:t>
            </w:r>
            <w:r>
              <w:rPr>
                <w:rFonts w:hint="eastAsia" w:ascii="宋体" w:hAnsi="宋体"/>
                <w:color w:val="000000" w:themeColor="text1"/>
                <w:szCs w:val="21"/>
                <w:highlight w:val="none"/>
                <w:lang w:val="en-US" w:eastAsia="zh-CN"/>
                <w14:textFill>
                  <w14:solidFill>
                    <w14:schemeClr w14:val="tx1"/>
                  </w14:solidFill>
                </w14:textFill>
              </w:rPr>
              <w:t>1</w:t>
            </w:r>
            <w:r>
              <w:rPr>
                <w:rFonts w:hint="eastAsia" w:ascii="宋体" w:hAnsi="宋体"/>
                <w:color w:val="000000" w:themeColor="text1"/>
                <w:szCs w:val="21"/>
                <w:highlight w:val="none"/>
                <w14:textFill>
                  <w14:solidFill>
                    <w14:schemeClr w14:val="tx1"/>
                  </w14:solidFill>
                </w14:textFill>
              </w:rPr>
              <w:t>分</w:t>
            </w:r>
          </w:p>
          <w:p w14:paraId="621B35F0">
            <w:pPr>
              <w:shd w:val="clear"/>
              <w:spacing w:line="360" w:lineRule="auto"/>
              <w:ind w:firstLine="420" w:firstLineChars="200"/>
              <w:jc w:val="left"/>
              <w:rPr>
                <w:rFonts w:hint="eastAsia" w:ascii="宋体" w:hAnsi="宋体" w:eastAsia="宋体" w:cs="Times New Roman"/>
                <w:color w:val="000000" w:themeColor="text1"/>
                <w:kern w:val="2"/>
                <w:sz w:val="21"/>
                <w:szCs w:val="21"/>
                <w:highlight w:val="none"/>
                <w:lang w:val="en-US" w:eastAsia="zh-CN" w:bidi="ar-SA"/>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未提供不得分。</w:t>
            </w:r>
          </w:p>
        </w:tc>
        <w:tc>
          <w:tcPr>
            <w:tcW w:w="889" w:type="dxa"/>
            <w:tcBorders>
              <w:top w:val="single" w:color="auto" w:sz="4" w:space="0"/>
              <w:bottom w:val="single" w:color="auto" w:sz="4" w:space="0"/>
            </w:tcBorders>
            <w:vAlign w:val="center"/>
          </w:tcPr>
          <w:p w14:paraId="2D85039E">
            <w:pPr>
              <w:spacing w:line="360" w:lineRule="auto"/>
              <w:jc w:val="center"/>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10</w:t>
            </w:r>
            <w:r>
              <w:rPr>
                <w:rFonts w:hint="eastAsia" w:ascii="宋体" w:hAnsi="宋体" w:eastAsia="宋体" w:cs="宋体"/>
                <w:bCs/>
                <w:color w:val="000000" w:themeColor="text1"/>
                <w:sz w:val="21"/>
                <w:szCs w:val="21"/>
                <w:highlight w:val="none"/>
                <w14:textFill>
                  <w14:solidFill>
                    <w14:schemeClr w14:val="tx1"/>
                  </w14:solidFill>
                </w14:textFill>
              </w:rPr>
              <w:t>分</w:t>
            </w:r>
          </w:p>
        </w:tc>
      </w:tr>
      <w:tr w14:paraId="633749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2" w:hRule="atLeast"/>
          <w:jc w:val="center"/>
        </w:trPr>
        <w:tc>
          <w:tcPr>
            <w:tcW w:w="630" w:type="dxa"/>
            <w:vAlign w:val="center"/>
          </w:tcPr>
          <w:p w14:paraId="15A8A385">
            <w:pPr>
              <w:spacing w:line="360" w:lineRule="auto"/>
              <w:jc w:val="center"/>
              <w:rPr>
                <w:rFonts w:hint="eastAsia" w:ascii="宋体" w:hAnsi="宋体" w:eastAsia="宋体" w:cs="宋体"/>
                <w:b/>
                <w:bCs w:val="0"/>
                <w:color w:val="000000" w:themeColor="text1"/>
                <w:sz w:val="21"/>
                <w:szCs w:val="21"/>
                <w:highlight w:val="none"/>
                <w:lang w:eastAsia="zh-CN"/>
                <w14:textFill>
                  <w14:solidFill>
                    <w14:schemeClr w14:val="tx1"/>
                  </w14:solidFill>
                </w14:textFill>
              </w:rPr>
            </w:pPr>
            <w:r>
              <w:rPr>
                <w:rFonts w:hint="eastAsia" w:ascii="宋体" w:hAnsi="宋体" w:eastAsia="宋体" w:cs="宋体"/>
                <w:b/>
                <w:bCs w:val="0"/>
                <w:color w:val="000000" w:themeColor="text1"/>
                <w:sz w:val="21"/>
                <w:szCs w:val="21"/>
                <w:highlight w:val="none"/>
                <w14:textFill>
                  <w14:solidFill>
                    <w14:schemeClr w14:val="tx1"/>
                  </w14:solidFill>
                </w14:textFill>
              </w:rPr>
              <w:t>5.</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4</w:t>
            </w:r>
          </w:p>
        </w:tc>
        <w:tc>
          <w:tcPr>
            <w:tcW w:w="893" w:type="dxa"/>
            <w:vAlign w:val="center"/>
          </w:tcPr>
          <w:p w14:paraId="6791E998">
            <w:pPr>
              <w:shd w:val="clear"/>
              <w:spacing w:line="360" w:lineRule="auto"/>
              <w:jc w:val="lef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应急任务处理预案</w:t>
            </w:r>
          </w:p>
          <w:p w14:paraId="321F6ABB">
            <w:pPr>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p>
        </w:tc>
        <w:tc>
          <w:tcPr>
            <w:tcW w:w="6110" w:type="dxa"/>
            <w:tcBorders>
              <w:top w:val="single" w:color="auto" w:sz="4" w:space="0"/>
              <w:bottom w:val="single" w:color="auto" w:sz="4" w:space="0"/>
            </w:tcBorders>
            <w:shd w:val="clear" w:color="auto" w:fill="auto"/>
            <w:vAlign w:val="center"/>
          </w:tcPr>
          <w:p w14:paraId="3897E6CD">
            <w:pPr>
              <w:shd w:val="clear"/>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突发事件应急处理预案完备健全，对本项目针对性强，具有实际可操作性的，得</w:t>
            </w:r>
            <w:r>
              <w:rPr>
                <w:rFonts w:hint="eastAsia" w:ascii="宋体" w:hAnsi="宋体"/>
                <w:color w:val="000000" w:themeColor="text1"/>
                <w:szCs w:val="21"/>
                <w:highlight w:val="none"/>
                <w:lang w:val="en-US" w:eastAsia="zh-CN"/>
                <w14:textFill>
                  <w14:solidFill>
                    <w14:schemeClr w14:val="tx1"/>
                  </w14:solidFill>
                </w14:textFill>
              </w:rPr>
              <w:t>10</w:t>
            </w:r>
            <w:r>
              <w:rPr>
                <w:rFonts w:ascii="宋体" w:hAnsi="宋体"/>
                <w:color w:val="000000" w:themeColor="text1"/>
                <w:szCs w:val="21"/>
                <w:highlight w:val="none"/>
                <w14:textFill>
                  <w14:solidFill>
                    <w14:schemeClr w14:val="tx1"/>
                  </w14:solidFill>
                </w14:textFill>
              </w:rPr>
              <w:t>分；</w:t>
            </w:r>
          </w:p>
          <w:p w14:paraId="475C4FF4">
            <w:pPr>
              <w:shd w:val="clear"/>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突发事件应急处理预案较完备，对本项目针对性较强，具有可操作性的，得</w:t>
            </w:r>
            <w:r>
              <w:rPr>
                <w:rFonts w:hint="eastAsia" w:ascii="宋体" w:hAnsi="宋体"/>
                <w:color w:val="000000" w:themeColor="text1"/>
                <w:szCs w:val="21"/>
                <w:highlight w:val="none"/>
                <w:lang w:val="en-US" w:eastAsia="zh-CN"/>
                <w14:textFill>
                  <w14:solidFill>
                    <w14:schemeClr w14:val="tx1"/>
                  </w14:solidFill>
                </w14:textFill>
              </w:rPr>
              <w:t>7</w:t>
            </w:r>
            <w:r>
              <w:rPr>
                <w:rFonts w:ascii="宋体" w:hAnsi="宋体"/>
                <w:color w:val="000000" w:themeColor="text1"/>
                <w:szCs w:val="21"/>
                <w:highlight w:val="none"/>
                <w14:textFill>
                  <w14:solidFill>
                    <w14:schemeClr w14:val="tx1"/>
                  </w14:solidFill>
                </w14:textFill>
              </w:rPr>
              <w:t>分；</w:t>
            </w:r>
          </w:p>
          <w:p w14:paraId="60CEBD2C">
            <w:pPr>
              <w:shd w:val="clear"/>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预案完备</w:t>
            </w:r>
            <w:r>
              <w:rPr>
                <w:rFonts w:hint="eastAsia" w:ascii="宋体" w:hAnsi="宋体"/>
                <w:color w:val="000000" w:themeColor="text1"/>
                <w:szCs w:val="21"/>
                <w:highlight w:val="none"/>
                <w:lang w:eastAsia="zh-CN"/>
                <w14:textFill>
                  <w14:solidFill>
                    <w14:schemeClr w14:val="tx1"/>
                  </w14:solidFill>
                </w14:textFill>
              </w:rPr>
              <w:t>性一般</w:t>
            </w:r>
            <w:r>
              <w:rPr>
                <w:rFonts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lang w:eastAsia="zh-CN"/>
                <w14:textFill>
                  <w14:solidFill>
                    <w14:schemeClr w14:val="tx1"/>
                  </w14:solidFill>
                </w14:textFill>
              </w:rPr>
              <w:t>有所疏漏</w:t>
            </w:r>
            <w:r>
              <w:rPr>
                <w:rFonts w:ascii="宋体" w:hAnsi="宋体"/>
                <w:color w:val="000000" w:themeColor="text1"/>
                <w:szCs w:val="21"/>
                <w:highlight w:val="none"/>
                <w14:textFill>
                  <w14:solidFill>
                    <w14:schemeClr w14:val="tx1"/>
                  </w14:solidFill>
                </w14:textFill>
              </w:rPr>
              <w:t>，对本项目针对性</w:t>
            </w:r>
            <w:r>
              <w:rPr>
                <w:rFonts w:hint="eastAsia" w:ascii="宋体" w:hAnsi="宋体"/>
                <w:color w:val="000000" w:themeColor="text1"/>
                <w:szCs w:val="21"/>
                <w:highlight w:val="none"/>
                <w:lang w:eastAsia="zh-CN"/>
                <w14:textFill>
                  <w14:solidFill>
                    <w14:schemeClr w14:val="tx1"/>
                  </w14:solidFill>
                </w14:textFill>
              </w:rPr>
              <w:t>一般</w:t>
            </w:r>
            <w:r>
              <w:rPr>
                <w:rFonts w:ascii="宋体" w:hAnsi="宋体"/>
                <w:color w:val="000000" w:themeColor="text1"/>
                <w:szCs w:val="21"/>
                <w:highlight w:val="none"/>
                <w14:textFill>
                  <w14:solidFill>
                    <w14:schemeClr w14:val="tx1"/>
                  </w14:solidFill>
                </w14:textFill>
              </w:rPr>
              <w:t>，不具有实际可操作性的，得</w:t>
            </w:r>
            <w:r>
              <w:rPr>
                <w:rFonts w:hint="eastAsia" w:ascii="宋体" w:hAnsi="宋体"/>
                <w:color w:val="000000" w:themeColor="text1"/>
                <w:szCs w:val="21"/>
                <w:highlight w:val="none"/>
                <w:lang w:val="en-US" w:eastAsia="zh-CN"/>
                <w14:textFill>
                  <w14:solidFill>
                    <w14:schemeClr w14:val="tx1"/>
                  </w14:solidFill>
                </w14:textFill>
              </w:rPr>
              <w:t>4</w:t>
            </w:r>
            <w:r>
              <w:rPr>
                <w:rFonts w:ascii="宋体" w:hAnsi="宋体"/>
                <w:color w:val="000000" w:themeColor="text1"/>
                <w:szCs w:val="21"/>
                <w:highlight w:val="none"/>
                <w14:textFill>
                  <w14:solidFill>
                    <w14:schemeClr w14:val="tx1"/>
                  </w14:solidFill>
                </w14:textFill>
              </w:rPr>
              <w:t>分；</w:t>
            </w:r>
          </w:p>
          <w:p w14:paraId="51ED6C94">
            <w:pPr>
              <w:shd w:val="clear"/>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预案不完备、不健全，对本项目针对性不强，不具有实际可操作性的，得</w:t>
            </w:r>
            <w:r>
              <w:rPr>
                <w:rFonts w:hint="eastAsia" w:ascii="宋体" w:hAnsi="宋体"/>
                <w:color w:val="000000" w:themeColor="text1"/>
                <w:szCs w:val="21"/>
                <w:highlight w:val="none"/>
                <w:lang w:val="en-US" w:eastAsia="zh-CN"/>
                <w14:textFill>
                  <w14:solidFill>
                    <w14:schemeClr w14:val="tx1"/>
                  </w14:solidFill>
                </w14:textFill>
              </w:rPr>
              <w:t>1</w:t>
            </w:r>
            <w:r>
              <w:rPr>
                <w:rFonts w:ascii="宋体" w:hAnsi="宋体"/>
                <w:color w:val="000000" w:themeColor="text1"/>
                <w:szCs w:val="21"/>
                <w:highlight w:val="none"/>
                <w14:textFill>
                  <w14:solidFill>
                    <w14:schemeClr w14:val="tx1"/>
                  </w14:solidFill>
                </w14:textFill>
              </w:rPr>
              <w:t>分；</w:t>
            </w:r>
          </w:p>
          <w:p w14:paraId="67F751AA">
            <w:pPr>
              <w:shd w:val="clear"/>
              <w:spacing w:line="360" w:lineRule="auto"/>
              <w:ind w:firstLine="420" w:firstLineChars="200"/>
              <w:jc w:val="left"/>
              <w:rPr>
                <w:rFonts w:hint="eastAsia" w:ascii="宋体" w:hAnsi="宋体" w:eastAsia="宋体" w:cs="Times New Roman"/>
                <w:color w:val="000000" w:themeColor="text1"/>
                <w:kern w:val="2"/>
                <w:sz w:val="21"/>
                <w:szCs w:val="21"/>
                <w:highlight w:val="none"/>
                <w:lang w:val="en-US" w:eastAsia="zh-CN" w:bidi="ar-SA"/>
                <w14:textFill>
                  <w14:solidFill>
                    <w14:schemeClr w14:val="tx1"/>
                  </w14:solidFill>
                </w14:textFill>
              </w:rPr>
            </w:pPr>
            <w:r>
              <w:rPr>
                <w:rFonts w:ascii="宋体" w:hAnsi="宋体"/>
                <w:color w:val="000000" w:themeColor="text1"/>
                <w:szCs w:val="21"/>
                <w:highlight w:val="none"/>
                <w14:textFill>
                  <w14:solidFill>
                    <w14:schemeClr w14:val="tx1"/>
                  </w14:solidFill>
                </w14:textFill>
              </w:rPr>
              <w:t>没有突发事件应急处理预案的不得分。</w:t>
            </w:r>
          </w:p>
        </w:tc>
        <w:tc>
          <w:tcPr>
            <w:tcW w:w="889" w:type="dxa"/>
            <w:tcBorders>
              <w:top w:val="single" w:color="auto" w:sz="4" w:space="0"/>
              <w:bottom w:val="single" w:color="auto" w:sz="4" w:space="0"/>
            </w:tcBorders>
            <w:vAlign w:val="center"/>
          </w:tcPr>
          <w:p w14:paraId="734511DD">
            <w:pPr>
              <w:tabs>
                <w:tab w:val="left" w:pos="420"/>
              </w:tabs>
              <w:spacing w:line="360" w:lineRule="auto"/>
              <w:jc w:val="center"/>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10</w:t>
            </w:r>
            <w:r>
              <w:rPr>
                <w:rFonts w:hint="eastAsia" w:ascii="宋体" w:hAnsi="宋体" w:eastAsia="宋体" w:cs="宋体"/>
                <w:bCs/>
                <w:color w:val="000000" w:themeColor="text1"/>
                <w:sz w:val="21"/>
                <w:szCs w:val="21"/>
                <w:highlight w:val="none"/>
                <w14:textFill>
                  <w14:solidFill>
                    <w14:schemeClr w14:val="tx1"/>
                  </w14:solidFill>
                </w14:textFill>
              </w:rPr>
              <w:t>分</w:t>
            </w:r>
          </w:p>
        </w:tc>
      </w:tr>
      <w:tr w14:paraId="712C12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2" w:hRule="atLeast"/>
          <w:jc w:val="center"/>
        </w:trPr>
        <w:tc>
          <w:tcPr>
            <w:tcW w:w="630" w:type="dxa"/>
            <w:vAlign w:val="center"/>
          </w:tcPr>
          <w:p w14:paraId="61993CCB">
            <w:pPr>
              <w:spacing w:line="360" w:lineRule="auto"/>
              <w:jc w:val="center"/>
              <w:rPr>
                <w:rFonts w:hint="eastAsia" w:ascii="宋体" w:hAnsi="宋体" w:eastAsia="宋体" w:cs="宋体"/>
                <w:b/>
                <w:bCs w:val="0"/>
                <w:color w:val="000000" w:themeColor="text1"/>
                <w:sz w:val="21"/>
                <w:szCs w:val="21"/>
                <w:highlight w:val="none"/>
                <w:lang w:eastAsia="zh-CN"/>
                <w14:textFill>
                  <w14:solidFill>
                    <w14:schemeClr w14:val="tx1"/>
                  </w14:solidFill>
                </w14:textFill>
              </w:rPr>
            </w:pPr>
            <w:r>
              <w:rPr>
                <w:rFonts w:hint="eastAsia" w:ascii="宋体" w:hAnsi="宋体" w:eastAsia="宋体" w:cs="宋体"/>
                <w:b/>
                <w:bCs w:val="0"/>
                <w:color w:val="000000" w:themeColor="text1"/>
                <w:sz w:val="21"/>
                <w:szCs w:val="21"/>
                <w:highlight w:val="none"/>
                <w14:textFill>
                  <w14:solidFill>
                    <w14:schemeClr w14:val="tx1"/>
                  </w14:solidFill>
                </w14:textFill>
              </w:rPr>
              <w:t>5.</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5</w:t>
            </w:r>
          </w:p>
        </w:tc>
        <w:tc>
          <w:tcPr>
            <w:tcW w:w="893" w:type="dxa"/>
            <w:vAlign w:val="center"/>
          </w:tcPr>
          <w:p w14:paraId="0974EBD9">
            <w:pPr>
              <w:spacing w:line="360" w:lineRule="auto"/>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服务承诺</w:t>
            </w:r>
            <w:r>
              <w:rPr>
                <w:rFonts w:hint="eastAsia" w:ascii="宋体" w:hAnsi="宋体"/>
                <w:color w:val="000000" w:themeColor="text1"/>
                <w:szCs w:val="21"/>
                <w:highlight w:val="none"/>
                <w:lang w:eastAsia="zh-CN"/>
                <w14:textFill>
                  <w14:solidFill>
                    <w14:schemeClr w14:val="tx1"/>
                  </w14:solidFill>
                </w14:textFill>
              </w:rPr>
              <w:t>方案</w:t>
            </w:r>
          </w:p>
        </w:tc>
        <w:tc>
          <w:tcPr>
            <w:tcW w:w="6110" w:type="dxa"/>
            <w:tcBorders>
              <w:top w:val="single" w:color="auto" w:sz="4" w:space="0"/>
              <w:bottom w:val="single" w:color="auto" w:sz="4" w:space="0"/>
            </w:tcBorders>
            <w:shd w:val="clear" w:color="auto" w:fill="auto"/>
            <w:vAlign w:val="center"/>
          </w:tcPr>
          <w:p w14:paraId="0AC3062F">
            <w:pPr>
              <w:shd w:val="clear"/>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评委根据供应商所提供的服务承诺进行综合评分，</w:t>
            </w:r>
            <w:r>
              <w:rPr>
                <w:rFonts w:ascii="宋体" w:hAnsi="宋体"/>
                <w:color w:val="000000" w:themeColor="text1"/>
                <w:szCs w:val="21"/>
                <w:highlight w:val="none"/>
                <w14:textFill>
                  <w14:solidFill>
                    <w14:schemeClr w14:val="tx1"/>
                  </w14:solidFill>
                </w14:textFill>
              </w:rPr>
              <w:t>包括但不限于对限额内工程项目的及时响应度、施工现场工期保证措施、质量保证措施、保证环保检测合格措施、对民工工资与材料款发放措施等。</w:t>
            </w:r>
          </w:p>
          <w:p w14:paraId="33A74D10">
            <w:pPr>
              <w:shd w:val="clear"/>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供应商提供的</w:t>
            </w:r>
            <w:r>
              <w:rPr>
                <w:rFonts w:ascii="宋体" w:hAnsi="宋体"/>
                <w:color w:val="000000" w:themeColor="text1"/>
                <w:szCs w:val="21"/>
                <w:highlight w:val="none"/>
                <w14:textFill>
                  <w14:solidFill>
                    <w14:schemeClr w14:val="tx1"/>
                  </w14:solidFill>
                </w14:textFill>
              </w:rPr>
              <w:t>服务承诺内容</w:t>
            </w:r>
            <w:r>
              <w:rPr>
                <w:rFonts w:hint="eastAsia" w:ascii="宋体" w:hAnsi="宋体"/>
                <w:color w:val="000000" w:themeColor="text1"/>
                <w:szCs w:val="21"/>
                <w:highlight w:val="none"/>
                <w14:textFill>
                  <w14:solidFill>
                    <w14:schemeClr w14:val="tx1"/>
                  </w14:solidFill>
                </w14:textFill>
              </w:rPr>
              <w:t>非常全面、非常科学合理、</w:t>
            </w:r>
            <w:r>
              <w:rPr>
                <w:rFonts w:ascii="宋体" w:hAnsi="宋体"/>
                <w:color w:val="000000" w:themeColor="text1"/>
                <w:szCs w:val="21"/>
                <w:highlight w:val="none"/>
                <w14:textFill>
                  <w14:solidFill>
                    <w14:schemeClr w14:val="tx1"/>
                  </w14:solidFill>
                </w14:textFill>
              </w:rPr>
              <w:t>保障得力、切实可行的得</w:t>
            </w:r>
            <w:r>
              <w:rPr>
                <w:rFonts w:hint="eastAsia" w:ascii="宋体" w:hAnsi="宋体"/>
                <w:color w:val="000000" w:themeColor="text1"/>
                <w:szCs w:val="21"/>
                <w:highlight w:val="none"/>
                <w:lang w:val="en-US" w:eastAsia="zh-CN"/>
                <w14:textFill>
                  <w14:solidFill>
                    <w14:schemeClr w14:val="tx1"/>
                  </w14:solidFill>
                </w14:textFill>
              </w:rPr>
              <w:t>10</w:t>
            </w:r>
            <w:r>
              <w:rPr>
                <w:rFonts w:ascii="宋体" w:hAnsi="宋体"/>
                <w:color w:val="000000" w:themeColor="text1"/>
                <w:szCs w:val="21"/>
                <w:highlight w:val="none"/>
                <w14:textFill>
                  <w14:solidFill>
                    <w14:schemeClr w14:val="tx1"/>
                  </w14:solidFill>
                </w14:textFill>
              </w:rPr>
              <w:t>分；</w:t>
            </w:r>
          </w:p>
          <w:p w14:paraId="5820BC29">
            <w:pPr>
              <w:shd w:val="clear"/>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供应商提供的</w:t>
            </w:r>
            <w:r>
              <w:rPr>
                <w:rFonts w:ascii="宋体" w:hAnsi="宋体"/>
                <w:color w:val="000000" w:themeColor="text1"/>
                <w:szCs w:val="21"/>
                <w:highlight w:val="none"/>
                <w14:textFill>
                  <w14:solidFill>
                    <w14:schemeClr w14:val="tx1"/>
                  </w14:solidFill>
                </w14:textFill>
              </w:rPr>
              <w:t>服务承诺内容</w:t>
            </w:r>
            <w:r>
              <w:rPr>
                <w:rFonts w:hint="eastAsia" w:ascii="宋体" w:hAnsi="宋体"/>
                <w:color w:val="000000" w:themeColor="text1"/>
                <w:szCs w:val="21"/>
                <w:highlight w:val="none"/>
                <w14:textFill>
                  <w14:solidFill>
                    <w14:schemeClr w14:val="tx1"/>
                  </w14:solidFill>
                </w14:textFill>
              </w:rPr>
              <w:t>较全面、较科学合理、可操作性较强的</w:t>
            </w:r>
            <w:r>
              <w:rPr>
                <w:rFonts w:ascii="宋体" w:hAnsi="宋体"/>
                <w:color w:val="000000" w:themeColor="text1"/>
                <w:szCs w:val="21"/>
                <w:highlight w:val="none"/>
                <w14:textFill>
                  <w14:solidFill>
                    <w14:schemeClr w14:val="tx1"/>
                  </w14:solidFill>
                </w14:textFill>
              </w:rPr>
              <w:t>得</w:t>
            </w:r>
            <w:r>
              <w:rPr>
                <w:rFonts w:hint="eastAsia" w:ascii="宋体" w:hAnsi="宋体"/>
                <w:color w:val="000000" w:themeColor="text1"/>
                <w:szCs w:val="21"/>
                <w:highlight w:val="none"/>
                <w:lang w:val="en-US" w:eastAsia="zh-CN"/>
                <w14:textFill>
                  <w14:solidFill>
                    <w14:schemeClr w14:val="tx1"/>
                  </w14:solidFill>
                </w14:textFill>
              </w:rPr>
              <w:t>7</w:t>
            </w:r>
            <w:r>
              <w:rPr>
                <w:rFonts w:ascii="宋体" w:hAnsi="宋体"/>
                <w:color w:val="000000" w:themeColor="text1"/>
                <w:szCs w:val="21"/>
                <w:highlight w:val="none"/>
                <w14:textFill>
                  <w14:solidFill>
                    <w14:schemeClr w14:val="tx1"/>
                  </w14:solidFill>
                </w14:textFill>
              </w:rPr>
              <w:t>分；</w:t>
            </w:r>
          </w:p>
          <w:p w14:paraId="0E07C6A8">
            <w:pPr>
              <w:shd w:val="clear"/>
              <w:spacing w:line="360" w:lineRule="auto"/>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供应商提供的</w:t>
            </w:r>
            <w:r>
              <w:rPr>
                <w:rFonts w:ascii="宋体" w:hAnsi="宋体"/>
                <w:color w:val="000000" w:themeColor="text1"/>
                <w:szCs w:val="21"/>
                <w:highlight w:val="none"/>
                <w14:textFill>
                  <w14:solidFill>
                    <w14:schemeClr w14:val="tx1"/>
                  </w14:solidFill>
                </w14:textFill>
              </w:rPr>
              <w:t>服务承诺内容</w:t>
            </w:r>
            <w:r>
              <w:rPr>
                <w:rFonts w:hint="eastAsia" w:ascii="宋体" w:hAnsi="宋体"/>
                <w:color w:val="000000" w:themeColor="text1"/>
                <w:szCs w:val="21"/>
                <w:highlight w:val="none"/>
                <w14:textFill>
                  <w14:solidFill>
                    <w14:schemeClr w14:val="tx1"/>
                  </w14:solidFill>
                </w14:textFill>
              </w:rPr>
              <w:t>一般、科学合理性及可操作性一般、满足项目基本需求的得</w:t>
            </w:r>
            <w:r>
              <w:rPr>
                <w:rFonts w:hint="eastAsia" w:ascii="宋体" w:hAnsi="宋体"/>
                <w:color w:val="000000" w:themeColor="text1"/>
                <w:szCs w:val="21"/>
                <w:highlight w:val="none"/>
                <w:lang w:val="en-US" w:eastAsia="zh-CN"/>
                <w14:textFill>
                  <w14:solidFill>
                    <w14:schemeClr w14:val="tx1"/>
                  </w14:solidFill>
                </w14:textFill>
              </w:rPr>
              <w:t>4</w:t>
            </w:r>
            <w:r>
              <w:rPr>
                <w:rFonts w:hint="eastAsia" w:ascii="宋体" w:hAnsi="宋体"/>
                <w:color w:val="000000" w:themeColor="text1"/>
                <w:szCs w:val="21"/>
                <w:highlight w:val="none"/>
                <w14:textFill>
                  <w14:solidFill>
                    <w14:schemeClr w14:val="tx1"/>
                  </w14:solidFill>
                </w14:textFill>
              </w:rPr>
              <w:t>分；</w:t>
            </w:r>
          </w:p>
          <w:p w14:paraId="13ACA1FB">
            <w:pPr>
              <w:shd w:val="clear"/>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供应商提供的</w:t>
            </w:r>
            <w:r>
              <w:rPr>
                <w:rFonts w:ascii="宋体" w:hAnsi="宋体"/>
                <w:color w:val="000000" w:themeColor="text1"/>
                <w:szCs w:val="21"/>
                <w:highlight w:val="none"/>
                <w14:textFill>
                  <w14:solidFill>
                    <w14:schemeClr w14:val="tx1"/>
                  </w14:solidFill>
                </w14:textFill>
              </w:rPr>
              <w:t>服务承诺内容</w:t>
            </w:r>
            <w:r>
              <w:rPr>
                <w:rFonts w:hint="eastAsia" w:ascii="宋体" w:hAnsi="宋体"/>
                <w:color w:val="000000" w:themeColor="text1"/>
                <w:szCs w:val="21"/>
                <w:highlight w:val="none"/>
                <w:lang w:eastAsia="zh-CN"/>
                <w14:textFill>
                  <w14:solidFill>
                    <w14:schemeClr w14:val="tx1"/>
                  </w14:solidFill>
                </w14:textFill>
              </w:rPr>
              <w:t>较差</w:t>
            </w:r>
            <w:r>
              <w:rPr>
                <w:rFonts w:hint="eastAsia" w:ascii="宋体" w:hAnsi="宋体"/>
                <w:color w:val="000000" w:themeColor="text1"/>
                <w:szCs w:val="21"/>
                <w:highlight w:val="none"/>
                <w14:textFill>
                  <w14:solidFill>
                    <w14:schemeClr w14:val="tx1"/>
                  </w14:solidFill>
                </w14:textFill>
              </w:rPr>
              <w:t>、科学合理性及可操作性</w:t>
            </w:r>
            <w:r>
              <w:rPr>
                <w:rFonts w:hint="eastAsia" w:ascii="宋体" w:hAnsi="宋体"/>
                <w:color w:val="000000" w:themeColor="text1"/>
                <w:szCs w:val="21"/>
                <w:highlight w:val="none"/>
                <w:lang w:eastAsia="zh-CN"/>
                <w14:textFill>
                  <w14:solidFill>
                    <w14:schemeClr w14:val="tx1"/>
                  </w14:solidFill>
                </w14:textFill>
              </w:rPr>
              <w:t>较差</w:t>
            </w:r>
            <w:r>
              <w:rPr>
                <w:rFonts w:hint="eastAsia"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lang w:eastAsia="zh-CN"/>
                <w14:textFill>
                  <w14:solidFill>
                    <w14:schemeClr w14:val="tx1"/>
                  </w14:solidFill>
                </w14:textFill>
              </w:rPr>
              <w:t>无法</w:t>
            </w:r>
            <w:r>
              <w:rPr>
                <w:rFonts w:hint="eastAsia" w:ascii="宋体" w:hAnsi="宋体"/>
                <w:color w:val="000000" w:themeColor="text1"/>
                <w:szCs w:val="21"/>
                <w:highlight w:val="none"/>
                <w14:textFill>
                  <w14:solidFill>
                    <w14:schemeClr w14:val="tx1"/>
                  </w14:solidFill>
                </w14:textFill>
              </w:rPr>
              <w:t>满足项目基本需求的得</w:t>
            </w:r>
            <w:r>
              <w:rPr>
                <w:rFonts w:hint="eastAsia" w:ascii="宋体" w:hAnsi="宋体"/>
                <w:color w:val="000000" w:themeColor="text1"/>
                <w:szCs w:val="21"/>
                <w:highlight w:val="none"/>
                <w:lang w:val="en-US" w:eastAsia="zh-CN"/>
                <w14:textFill>
                  <w14:solidFill>
                    <w14:schemeClr w14:val="tx1"/>
                  </w14:solidFill>
                </w14:textFill>
              </w:rPr>
              <w:t>1</w:t>
            </w:r>
            <w:r>
              <w:rPr>
                <w:rFonts w:hint="eastAsia" w:ascii="宋体" w:hAnsi="宋体"/>
                <w:color w:val="000000" w:themeColor="text1"/>
                <w:szCs w:val="21"/>
                <w:highlight w:val="none"/>
                <w14:textFill>
                  <w14:solidFill>
                    <w14:schemeClr w14:val="tx1"/>
                  </w14:solidFill>
                </w14:textFill>
              </w:rPr>
              <w:t>分；</w:t>
            </w:r>
          </w:p>
          <w:p w14:paraId="1A34EC61">
            <w:pPr>
              <w:pStyle w:val="15"/>
              <w:shd w:val="clear"/>
              <w:ind w:left="0" w:leftChars="0" w:firstLine="420" w:firstLineChars="200"/>
              <w:rPr>
                <w:rFonts w:hint="eastAsia" w:ascii="Arial" w:hAnsi="Arial" w:eastAsia="仿宋_GB2312" w:cs="Times New Roman"/>
                <w:color w:val="000000" w:themeColor="text1"/>
                <w:kern w:val="0"/>
                <w:sz w:val="32"/>
                <w:highlight w:val="none"/>
                <w:lang w:val="en-US" w:eastAsia="zh-CN" w:bidi="ar-SA"/>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未提供不得分。</w:t>
            </w:r>
          </w:p>
        </w:tc>
        <w:tc>
          <w:tcPr>
            <w:tcW w:w="889" w:type="dxa"/>
            <w:tcBorders>
              <w:top w:val="single" w:color="auto" w:sz="4" w:space="0"/>
              <w:bottom w:val="single" w:color="auto" w:sz="4" w:space="0"/>
            </w:tcBorders>
            <w:vAlign w:val="center"/>
          </w:tcPr>
          <w:p w14:paraId="35FFFE83">
            <w:pPr>
              <w:tabs>
                <w:tab w:val="left" w:pos="420"/>
              </w:tabs>
              <w:spacing w:line="360" w:lineRule="auto"/>
              <w:jc w:val="center"/>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10</w:t>
            </w:r>
            <w:r>
              <w:rPr>
                <w:rFonts w:hint="eastAsia" w:ascii="宋体" w:hAnsi="宋体" w:eastAsia="宋体" w:cs="宋体"/>
                <w:bCs/>
                <w:color w:val="000000" w:themeColor="text1"/>
                <w:sz w:val="21"/>
                <w:szCs w:val="21"/>
                <w:highlight w:val="none"/>
                <w14:textFill>
                  <w14:solidFill>
                    <w14:schemeClr w14:val="tx1"/>
                  </w14:solidFill>
                </w14:textFill>
              </w:rPr>
              <w:t>分</w:t>
            </w:r>
          </w:p>
        </w:tc>
      </w:tr>
      <w:tr w14:paraId="666F2F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2" w:hRule="atLeast"/>
          <w:jc w:val="center"/>
        </w:trPr>
        <w:tc>
          <w:tcPr>
            <w:tcW w:w="630" w:type="dxa"/>
            <w:vAlign w:val="center"/>
          </w:tcPr>
          <w:p w14:paraId="462518FB">
            <w:pPr>
              <w:spacing w:line="360" w:lineRule="auto"/>
              <w:jc w:val="center"/>
              <w:rPr>
                <w:rFonts w:hint="eastAsia" w:ascii="宋体" w:hAnsi="宋体" w:eastAsia="宋体" w:cs="宋体"/>
                <w:b/>
                <w:bCs w:val="0"/>
                <w:color w:val="000000" w:themeColor="text1"/>
                <w:sz w:val="21"/>
                <w:szCs w:val="21"/>
                <w:highlight w:val="none"/>
                <w14:textFill>
                  <w14:solidFill>
                    <w14:schemeClr w14:val="tx1"/>
                  </w14:solidFill>
                </w14:textFill>
              </w:rPr>
            </w:pPr>
          </w:p>
        </w:tc>
        <w:tc>
          <w:tcPr>
            <w:tcW w:w="893" w:type="dxa"/>
            <w:vAlign w:val="center"/>
          </w:tcPr>
          <w:p w14:paraId="40003622">
            <w:pPr>
              <w:spacing w:line="360" w:lineRule="auto"/>
              <w:rPr>
                <w:rFonts w:hint="eastAsia" w:ascii="宋体" w:hAnsi="宋体"/>
                <w:color w:val="000000" w:themeColor="text1"/>
                <w:szCs w:val="21"/>
                <w:highlight w:val="none"/>
                <w14:textFill>
                  <w14:solidFill>
                    <w14:schemeClr w14:val="tx1"/>
                  </w14:solidFill>
                </w14:textFill>
              </w:rPr>
            </w:pPr>
          </w:p>
        </w:tc>
        <w:tc>
          <w:tcPr>
            <w:tcW w:w="6110" w:type="dxa"/>
            <w:tcBorders>
              <w:top w:val="single" w:color="auto" w:sz="4" w:space="0"/>
              <w:bottom w:val="single" w:color="auto" w:sz="4" w:space="0"/>
            </w:tcBorders>
            <w:shd w:val="clear" w:color="auto" w:fill="auto"/>
            <w:vAlign w:val="center"/>
          </w:tcPr>
          <w:p w14:paraId="70995C9E">
            <w:pPr>
              <w:pStyle w:val="15"/>
              <w:shd w:val="clear"/>
              <w:ind w:left="0" w:leftChars="0" w:firstLine="420" w:firstLineChars="200"/>
              <w:rPr>
                <w:rFonts w:hint="eastAsia" w:ascii="宋体" w:hAnsi="宋体" w:eastAsia="宋体"/>
                <w:color w:val="000000" w:themeColor="text1"/>
                <w:sz w:val="21"/>
                <w:szCs w:val="21"/>
                <w:highlight w:val="none"/>
                <w14:textFill>
                  <w14:solidFill>
                    <w14:schemeClr w14:val="tx1"/>
                  </w14:solidFill>
                </w14:textFill>
              </w:rPr>
            </w:pPr>
          </w:p>
        </w:tc>
        <w:tc>
          <w:tcPr>
            <w:tcW w:w="889" w:type="dxa"/>
            <w:tcBorders>
              <w:top w:val="single" w:color="auto" w:sz="4" w:space="0"/>
              <w:bottom w:val="single" w:color="auto" w:sz="4" w:space="0"/>
            </w:tcBorders>
            <w:vAlign w:val="center"/>
          </w:tcPr>
          <w:p w14:paraId="2801D619">
            <w:pPr>
              <w:tabs>
                <w:tab w:val="left" w:pos="420"/>
              </w:tabs>
              <w:spacing w:line="360" w:lineRule="auto"/>
              <w:jc w:val="center"/>
              <w:rPr>
                <w:rFonts w:hint="default" w:ascii="宋体" w:hAnsi="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100</w:t>
            </w:r>
          </w:p>
        </w:tc>
      </w:tr>
    </w:tbl>
    <w:p w14:paraId="773122C3">
      <w:pPr>
        <w:shd w:val="clear"/>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说明：</w:t>
      </w:r>
    </w:p>
    <w:p w14:paraId="6C3BECD3">
      <w:pPr>
        <w:widowControl/>
        <w:shd w:val="clear"/>
        <w:ind w:firstLine="431" w:firstLineChars="196"/>
        <w:jc w:val="left"/>
        <w:rPr>
          <w:rFonts w:ascii="宋体" w:hAnsi="宋体" w:cs="宋体"/>
          <w:color w:val="000000" w:themeColor="text1"/>
          <w:kern w:val="0"/>
          <w:sz w:val="22"/>
          <w:szCs w:val="22"/>
          <w:highlight w:val="none"/>
          <w14:textFill>
            <w14:solidFill>
              <w14:schemeClr w14:val="tx1"/>
            </w14:solidFill>
          </w14:textFill>
        </w:rPr>
      </w:pPr>
      <w:r>
        <w:rPr>
          <w:rFonts w:hint="eastAsia" w:ascii="宋体" w:hAnsi="宋体" w:cs="宋体"/>
          <w:color w:val="000000" w:themeColor="text1"/>
          <w:kern w:val="0"/>
          <w:sz w:val="22"/>
          <w:szCs w:val="22"/>
          <w:highlight w:val="none"/>
          <w14:textFill>
            <w14:solidFill>
              <w14:schemeClr w14:val="tx1"/>
            </w14:solidFill>
          </w14:textFill>
        </w:rPr>
        <w:t>一、小微企业的价格扣除</w:t>
      </w:r>
    </w:p>
    <w:p w14:paraId="5A807081">
      <w:pPr>
        <w:widowControl/>
        <w:shd w:val="clear"/>
        <w:ind w:firstLine="431" w:firstLineChars="196"/>
        <w:jc w:val="left"/>
        <w:rPr>
          <w:rFonts w:ascii="宋体" w:hAnsi="宋体" w:cs="宋体"/>
          <w:color w:val="000000" w:themeColor="text1"/>
          <w:kern w:val="0"/>
          <w:sz w:val="22"/>
          <w:szCs w:val="22"/>
          <w:highlight w:val="none"/>
          <w14:textFill>
            <w14:solidFill>
              <w14:schemeClr w14:val="tx1"/>
            </w14:solidFill>
          </w14:textFill>
        </w:rPr>
      </w:pPr>
      <w:r>
        <w:rPr>
          <w:rFonts w:hint="eastAsia" w:ascii="宋体" w:hAnsi="宋体" w:cs="宋体"/>
          <w:color w:val="000000" w:themeColor="text1"/>
          <w:kern w:val="0"/>
          <w:sz w:val="22"/>
          <w:szCs w:val="22"/>
          <w:highlight w:val="none"/>
          <w14:textFill>
            <w14:solidFill>
              <w14:schemeClr w14:val="tx1"/>
            </w14:solidFill>
          </w14:textFill>
        </w:rPr>
        <w:t>1.对于未预留份额专门面向中小企业采购的采购项目或预留份额项目中的非预留部分采购包，给予小微企业报价5%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5%的价格扣除。</w:t>
      </w:r>
    </w:p>
    <w:p w14:paraId="17F2EAE2">
      <w:pPr>
        <w:widowControl/>
        <w:shd w:val="clear"/>
        <w:ind w:firstLine="431" w:firstLineChars="196"/>
        <w:jc w:val="left"/>
        <w:rPr>
          <w:rFonts w:ascii="宋体" w:hAnsi="宋体" w:cs="宋体"/>
          <w:color w:val="000000" w:themeColor="text1"/>
          <w:kern w:val="0"/>
          <w:sz w:val="22"/>
          <w:szCs w:val="22"/>
          <w:highlight w:val="none"/>
          <w14:textFill>
            <w14:solidFill>
              <w14:schemeClr w14:val="tx1"/>
            </w14:solidFill>
          </w14:textFill>
        </w:rPr>
      </w:pPr>
      <w:r>
        <w:rPr>
          <w:rFonts w:hint="eastAsia" w:ascii="宋体" w:hAnsi="宋体" w:cs="宋体"/>
          <w:color w:val="000000" w:themeColor="text1"/>
          <w:kern w:val="0"/>
          <w:sz w:val="22"/>
          <w:szCs w:val="22"/>
          <w:highlight w:val="none"/>
          <w14:textFill>
            <w14:solidFill>
              <w14:schemeClr w14:val="tx1"/>
            </w14:solidFill>
          </w14:textFill>
        </w:rPr>
        <w:t>2.价格扣除比例或者价格分加分比例对小型企业和微型企业同等对待，不作区分。</w:t>
      </w:r>
    </w:p>
    <w:p w14:paraId="68FFC04F">
      <w:pPr>
        <w:widowControl/>
        <w:shd w:val="clear"/>
        <w:ind w:firstLine="431" w:firstLineChars="196"/>
        <w:jc w:val="left"/>
        <w:rPr>
          <w:rFonts w:ascii="宋体" w:hAnsi="宋体" w:cs="宋体"/>
          <w:color w:val="000000" w:themeColor="text1"/>
          <w:kern w:val="0"/>
          <w:sz w:val="22"/>
          <w:szCs w:val="22"/>
          <w:highlight w:val="none"/>
          <w14:textFill>
            <w14:solidFill>
              <w14:schemeClr w14:val="tx1"/>
            </w14:solidFill>
          </w14:textFill>
        </w:rPr>
      </w:pPr>
      <w:r>
        <w:rPr>
          <w:rFonts w:hint="eastAsia" w:ascii="宋体" w:hAnsi="宋体" w:cs="宋体"/>
          <w:color w:val="000000" w:themeColor="text1"/>
          <w:kern w:val="0"/>
          <w:sz w:val="22"/>
          <w:szCs w:val="22"/>
          <w:highlight w:val="none"/>
          <w14:textFill>
            <w14:solidFill>
              <w14:schemeClr w14:val="tx1"/>
            </w14:solidFill>
          </w14:textFill>
        </w:rPr>
        <w:t>二、监狱和戒毒企业的价格扣除</w:t>
      </w:r>
    </w:p>
    <w:p w14:paraId="4DE4511B">
      <w:pPr>
        <w:widowControl/>
        <w:shd w:val="clear"/>
        <w:ind w:firstLine="431" w:firstLineChars="196"/>
        <w:jc w:val="left"/>
        <w:rPr>
          <w:rFonts w:ascii="宋体" w:hAnsi="宋体" w:cs="宋体"/>
          <w:color w:val="000000" w:themeColor="text1"/>
          <w:kern w:val="0"/>
          <w:sz w:val="22"/>
          <w:szCs w:val="22"/>
          <w:highlight w:val="none"/>
          <w14:textFill>
            <w14:solidFill>
              <w14:schemeClr w14:val="tx1"/>
            </w14:solidFill>
          </w14:textFill>
        </w:rPr>
      </w:pPr>
      <w:r>
        <w:rPr>
          <w:rFonts w:hint="eastAsia" w:ascii="宋体" w:hAnsi="宋体" w:cs="宋体"/>
          <w:color w:val="000000" w:themeColor="text1"/>
          <w:kern w:val="0"/>
          <w:sz w:val="22"/>
          <w:szCs w:val="22"/>
          <w:highlight w:val="none"/>
          <w14:textFill>
            <w14:solidFill>
              <w14:schemeClr w14:val="tx1"/>
            </w14:solidFill>
          </w14:textFill>
        </w:rPr>
        <w:t>1.本项目对监狱和戒毒企业（简称监狱企业）视同小型、微型企业，享受相同的价格扣除优惠政策。</w:t>
      </w:r>
    </w:p>
    <w:p w14:paraId="13D65E60">
      <w:pPr>
        <w:widowControl/>
        <w:shd w:val="clear"/>
        <w:ind w:firstLine="431" w:firstLineChars="196"/>
        <w:jc w:val="left"/>
        <w:rPr>
          <w:rFonts w:ascii="宋体" w:hAnsi="宋体" w:cs="宋体"/>
          <w:color w:val="000000" w:themeColor="text1"/>
          <w:kern w:val="0"/>
          <w:sz w:val="22"/>
          <w:szCs w:val="22"/>
          <w:highlight w:val="none"/>
          <w14:textFill>
            <w14:solidFill>
              <w14:schemeClr w14:val="tx1"/>
            </w14:solidFill>
          </w14:textFill>
        </w:rPr>
      </w:pPr>
      <w:r>
        <w:rPr>
          <w:rFonts w:hint="eastAsia" w:ascii="宋体" w:hAnsi="宋体" w:cs="宋体"/>
          <w:color w:val="000000" w:themeColor="text1"/>
          <w:kern w:val="0"/>
          <w:sz w:val="22"/>
          <w:szCs w:val="22"/>
          <w:highlight w:val="none"/>
          <w14:textFill>
            <w14:solidFill>
              <w14:schemeClr w14:val="tx1"/>
            </w14:solidFill>
          </w14:textFill>
        </w:rPr>
        <w:t>2.监狱企业需提供由省级以上监狱管理局、戒毒管理局（含新疆生产建设兵团）出具的属于监狱企业的证明文件。</w:t>
      </w:r>
    </w:p>
    <w:p w14:paraId="43D897A9">
      <w:pPr>
        <w:widowControl/>
        <w:shd w:val="clear"/>
        <w:ind w:firstLine="431" w:firstLineChars="196"/>
        <w:jc w:val="left"/>
        <w:rPr>
          <w:rFonts w:ascii="宋体" w:hAnsi="宋体" w:cs="宋体"/>
          <w:color w:val="000000" w:themeColor="text1"/>
          <w:kern w:val="0"/>
          <w:sz w:val="22"/>
          <w:szCs w:val="22"/>
          <w:highlight w:val="none"/>
          <w14:textFill>
            <w14:solidFill>
              <w14:schemeClr w14:val="tx1"/>
            </w14:solidFill>
          </w14:textFill>
        </w:rPr>
      </w:pPr>
      <w:r>
        <w:rPr>
          <w:rFonts w:hint="eastAsia" w:ascii="宋体" w:hAnsi="宋体" w:cs="宋体"/>
          <w:color w:val="000000" w:themeColor="text1"/>
          <w:kern w:val="0"/>
          <w:sz w:val="22"/>
          <w:szCs w:val="22"/>
          <w:highlight w:val="none"/>
          <w14:textFill>
            <w14:solidFill>
              <w14:schemeClr w14:val="tx1"/>
            </w14:solidFill>
          </w14:textFill>
        </w:rPr>
        <w:t>3.监狱企业标准请参照《关于政府采购支持监狱企业发展有关问题的通知》（财库〔2014〕68号）。</w:t>
      </w:r>
    </w:p>
    <w:p w14:paraId="612DD10C">
      <w:pPr>
        <w:widowControl/>
        <w:shd w:val="clear"/>
        <w:ind w:firstLine="431" w:firstLineChars="196"/>
        <w:jc w:val="left"/>
        <w:rPr>
          <w:rFonts w:ascii="宋体" w:hAnsi="宋体" w:cs="宋体"/>
          <w:color w:val="000000" w:themeColor="text1"/>
          <w:kern w:val="0"/>
          <w:sz w:val="22"/>
          <w:szCs w:val="22"/>
          <w:highlight w:val="none"/>
          <w14:textFill>
            <w14:solidFill>
              <w14:schemeClr w14:val="tx1"/>
            </w14:solidFill>
          </w14:textFill>
        </w:rPr>
      </w:pPr>
      <w:r>
        <w:rPr>
          <w:rFonts w:hint="eastAsia" w:ascii="宋体" w:hAnsi="宋体" w:cs="宋体"/>
          <w:color w:val="000000" w:themeColor="text1"/>
          <w:kern w:val="0"/>
          <w:sz w:val="22"/>
          <w:szCs w:val="22"/>
          <w:highlight w:val="none"/>
          <w14:textFill>
            <w14:solidFill>
              <w14:schemeClr w14:val="tx1"/>
            </w14:solidFill>
          </w14:textFill>
        </w:rPr>
        <w:t>三、残疾人福利性单位的价格扣除</w:t>
      </w:r>
    </w:p>
    <w:p w14:paraId="39853EB0">
      <w:pPr>
        <w:widowControl/>
        <w:shd w:val="clear"/>
        <w:ind w:firstLine="431" w:firstLineChars="196"/>
        <w:jc w:val="left"/>
        <w:rPr>
          <w:rFonts w:ascii="宋体" w:hAnsi="宋体" w:cs="宋体"/>
          <w:color w:val="000000" w:themeColor="text1"/>
          <w:kern w:val="0"/>
          <w:sz w:val="22"/>
          <w:szCs w:val="22"/>
          <w:highlight w:val="none"/>
          <w14:textFill>
            <w14:solidFill>
              <w14:schemeClr w14:val="tx1"/>
            </w14:solidFill>
          </w14:textFill>
        </w:rPr>
      </w:pPr>
      <w:r>
        <w:rPr>
          <w:rFonts w:hint="eastAsia" w:ascii="宋体" w:hAnsi="宋体" w:cs="宋体"/>
          <w:color w:val="000000" w:themeColor="text1"/>
          <w:kern w:val="0"/>
          <w:sz w:val="22"/>
          <w:szCs w:val="22"/>
          <w:highlight w:val="none"/>
          <w14:textFill>
            <w14:solidFill>
              <w14:schemeClr w14:val="tx1"/>
            </w14:solidFill>
          </w14:textFill>
        </w:rPr>
        <w:t>1.本项目对残疾人福利性单位视同小型、微型企业，享受相同的价格扣除优惠政策。</w:t>
      </w:r>
    </w:p>
    <w:p w14:paraId="7F337C84">
      <w:pPr>
        <w:widowControl/>
        <w:shd w:val="clear"/>
        <w:ind w:firstLine="431" w:firstLineChars="196"/>
        <w:jc w:val="left"/>
        <w:rPr>
          <w:rFonts w:ascii="宋体" w:hAnsi="宋体" w:cs="宋体"/>
          <w:color w:val="000000" w:themeColor="text1"/>
          <w:kern w:val="0"/>
          <w:sz w:val="22"/>
          <w:szCs w:val="22"/>
          <w:highlight w:val="none"/>
          <w14:textFill>
            <w14:solidFill>
              <w14:schemeClr w14:val="tx1"/>
            </w14:solidFill>
          </w14:textFill>
        </w:rPr>
      </w:pPr>
      <w:r>
        <w:rPr>
          <w:rFonts w:hint="eastAsia" w:ascii="宋体" w:hAnsi="宋体" w:cs="宋体"/>
          <w:color w:val="000000" w:themeColor="text1"/>
          <w:kern w:val="0"/>
          <w:sz w:val="22"/>
          <w:szCs w:val="22"/>
          <w:highlight w:val="none"/>
          <w14:textFill>
            <w14:solidFill>
              <w14:schemeClr w14:val="tx1"/>
            </w14:solidFill>
          </w14:textFill>
        </w:rPr>
        <w:t>2.残疾人福利性单位需按照采购文件的要求提供《残疾人福利性单位声明函》。</w:t>
      </w:r>
    </w:p>
    <w:p w14:paraId="36FE904C">
      <w:pPr>
        <w:widowControl/>
        <w:shd w:val="clear"/>
        <w:ind w:firstLine="431" w:firstLineChars="196"/>
        <w:jc w:val="left"/>
        <w:rPr>
          <w:rFonts w:ascii="宋体" w:hAnsi="宋体" w:cs="宋体"/>
          <w:color w:val="000000" w:themeColor="text1"/>
          <w:kern w:val="0"/>
          <w:sz w:val="22"/>
          <w:szCs w:val="22"/>
          <w:highlight w:val="none"/>
          <w14:textFill>
            <w14:solidFill>
              <w14:schemeClr w14:val="tx1"/>
            </w14:solidFill>
          </w14:textFill>
        </w:rPr>
      </w:pPr>
      <w:r>
        <w:rPr>
          <w:rFonts w:hint="eastAsia" w:ascii="宋体" w:hAnsi="宋体" w:cs="宋体"/>
          <w:color w:val="000000" w:themeColor="text1"/>
          <w:kern w:val="0"/>
          <w:sz w:val="22"/>
          <w:szCs w:val="22"/>
          <w:highlight w:val="none"/>
          <w14:textFill>
            <w14:solidFill>
              <w14:schemeClr w14:val="tx1"/>
            </w14:solidFill>
          </w14:textFill>
        </w:rPr>
        <w:t>3.残疾人福利性单位标准请参照《关于促进残疾人就业政府采购政策的通知》（财库〔2017〕141号）。</w:t>
      </w:r>
    </w:p>
    <w:p w14:paraId="292CFEBF">
      <w:pPr>
        <w:widowControl/>
        <w:shd w:val="clear"/>
        <w:ind w:firstLine="431" w:firstLineChars="196"/>
        <w:jc w:val="left"/>
        <w:rPr>
          <w:rFonts w:ascii="宋体" w:hAnsi="宋体" w:cs="宋体"/>
          <w:color w:val="000000" w:themeColor="text1"/>
          <w:kern w:val="0"/>
          <w:sz w:val="22"/>
          <w:szCs w:val="22"/>
          <w:highlight w:val="none"/>
          <w14:textFill>
            <w14:solidFill>
              <w14:schemeClr w14:val="tx1"/>
            </w14:solidFill>
          </w14:textFill>
        </w:rPr>
      </w:pPr>
      <w:r>
        <w:rPr>
          <w:rFonts w:hint="eastAsia" w:ascii="宋体" w:hAnsi="宋体" w:cs="宋体"/>
          <w:color w:val="000000" w:themeColor="text1"/>
          <w:kern w:val="0"/>
          <w:sz w:val="22"/>
          <w:szCs w:val="22"/>
          <w:highlight w:val="none"/>
          <w14:textFill>
            <w14:solidFill>
              <w14:schemeClr w14:val="tx1"/>
            </w14:solidFill>
          </w14:textFill>
        </w:rPr>
        <w:t>四、监狱企业、残疾人福利性单位属于小型、微型企业的，不重复享受政策。</w:t>
      </w:r>
    </w:p>
    <w:p w14:paraId="23FD57F8">
      <w:pPr>
        <w:widowControl/>
        <w:shd w:val="clear"/>
        <w:ind w:firstLine="431" w:firstLineChars="196"/>
        <w:jc w:val="left"/>
        <w:rPr>
          <w:rFonts w:ascii="宋体" w:hAnsi="宋体" w:cs="宋体"/>
          <w:b/>
          <w:bCs/>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2"/>
          <w:szCs w:val="22"/>
          <w:highlight w:val="none"/>
          <w14:textFill>
            <w14:solidFill>
              <w14:schemeClr w14:val="tx1"/>
            </w14:solidFill>
          </w14:textFill>
        </w:rPr>
        <w:t>五、除评分标准中另有说明外，所有认证、证明和业绩均以有效的证明文件的复印件为依据。</w:t>
      </w:r>
    </w:p>
    <w:p w14:paraId="616521CF">
      <w:pPr>
        <w:shd w:val="clear"/>
        <w:tabs>
          <w:tab w:val="left" w:pos="1050"/>
        </w:tabs>
        <w:spacing w:line="360" w:lineRule="auto"/>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lang w:val="zh-CN"/>
          <w14:textFill>
            <w14:solidFill>
              <w14:schemeClr w14:val="tx1"/>
            </w14:solidFill>
          </w14:textFill>
        </w:rPr>
        <w:br w:type="page"/>
      </w:r>
      <w:bookmarkStart w:id="81" w:name="_Toc515310945"/>
      <w:bookmarkEnd w:id="81"/>
    </w:p>
    <w:p w14:paraId="7B04714B">
      <w:pPr>
        <w:pStyle w:val="2"/>
        <w:numPr>
          <w:ilvl w:val="0"/>
          <w:numId w:val="3"/>
        </w:numPr>
        <w:shd w:val="clear"/>
        <w:spacing w:before="156" w:beforeLines="50" w:after="156" w:afterLines="50" w:line="360" w:lineRule="auto"/>
        <w:ind w:firstLine="0" w:firstLineChars="0"/>
        <w:jc w:val="center"/>
        <w:outlineLvl w:val="0"/>
        <w:rPr>
          <w:rFonts w:hint="eastAsia" w:hAnsi="黑体" w:cs="黑体"/>
          <w:b w:val="0"/>
          <w:color w:val="000000" w:themeColor="text1"/>
          <w:sz w:val="32"/>
          <w:szCs w:val="32"/>
          <w:highlight w:val="none"/>
          <w14:textFill>
            <w14:solidFill>
              <w14:schemeClr w14:val="tx1"/>
            </w14:solidFill>
          </w14:textFill>
        </w:rPr>
      </w:pPr>
      <w:bookmarkStart w:id="82" w:name="_Toc131494184"/>
      <w:r>
        <w:rPr>
          <w:rFonts w:hint="eastAsia" w:hAnsi="黑体" w:cs="黑体"/>
          <w:b w:val="0"/>
          <w:color w:val="000000" w:themeColor="text1"/>
          <w:sz w:val="32"/>
          <w:szCs w:val="32"/>
          <w:highlight w:val="none"/>
          <w14:textFill>
            <w14:solidFill>
              <w14:schemeClr w14:val="tx1"/>
            </w14:solidFill>
          </w14:textFill>
        </w:rPr>
        <w:t xml:space="preserve"> </w:t>
      </w:r>
      <w:bookmarkStart w:id="83" w:name="_Toc15963"/>
      <w:bookmarkStart w:id="84" w:name="_Toc31334"/>
      <w:bookmarkStart w:id="85" w:name="_Toc19014"/>
      <w:bookmarkStart w:id="86" w:name="_Toc32269"/>
      <w:r>
        <w:rPr>
          <w:rFonts w:hint="eastAsia" w:hAnsi="黑体" w:cs="黑体"/>
          <w:b w:val="0"/>
          <w:color w:val="000000" w:themeColor="text1"/>
          <w:sz w:val="32"/>
          <w:szCs w:val="32"/>
          <w:highlight w:val="none"/>
          <w14:textFill>
            <w14:solidFill>
              <w14:schemeClr w14:val="tx1"/>
            </w14:solidFill>
          </w14:textFill>
        </w:rPr>
        <w:t>采购项目需求</w:t>
      </w:r>
      <w:bookmarkEnd w:id="82"/>
      <w:bookmarkEnd w:id="83"/>
      <w:bookmarkEnd w:id="84"/>
      <w:bookmarkEnd w:id="85"/>
      <w:bookmarkEnd w:id="86"/>
    </w:p>
    <w:p w14:paraId="0A8D75A9">
      <w:pPr>
        <w:widowControl/>
        <w:shd w:val="clear" w:color="auto"/>
        <w:spacing w:line="360" w:lineRule="auto"/>
        <w:rPr>
          <w:rFonts w:hint="eastAsia" w:ascii="宋体" w:hAnsi="宋体" w:eastAsia="宋体"/>
          <w:bCs/>
          <w:color w:val="000000" w:themeColor="text1"/>
          <w:sz w:val="24"/>
          <w:szCs w:val="24"/>
          <w:highlight w:val="none"/>
          <w:lang w:eastAsia="zh-CN"/>
          <w14:textFill>
            <w14:solidFill>
              <w14:schemeClr w14:val="tx1"/>
            </w14:solidFill>
          </w14:textFill>
        </w:rPr>
      </w:pPr>
      <w:bookmarkStart w:id="87" w:name="OLE_LINK45"/>
      <w:r>
        <w:rPr>
          <w:rFonts w:hint="eastAsia" w:ascii="宋体" w:hAnsi="宋体"/>
          <w:b/>
          <w:bCs/>
          <w:color w:val="000000" w:themeColor="text1"/>
          <w:sz w:val="24"/>
          <w:szCs w:val="24"/>
          <w:highlight w:val="none"/>
          <w14:textFill>
            <w14:solidFill>
              <w14:schemeClr w14:val="tx1"/>
            </w14:solidFill>
          </w14:textFill>
        </w:rPr>
        <w:t>一、项目名称：</w:t>
      </w:r>
      <w:r>
        <w:rPr>
          <w:rFonts w:hint="eastAsia" w:ascii="宋体" w:hAnsi="宋体"/>
          <w:bCs/>
          <w:color w:val="000000" w:themeColor="text1"/>
          <w:sz w:val="24"/>
          <w:szCs w:val="24"/>
          <w:highlight w:val="none"/>
          <w:lang w:eastAsia="zh-CN"/>
          <w14:textFill>
            <w14:solidFill>
              <w14:schemeClr w14:val="tx1"/>
            </w14:solidFill>
          </w14:textFill>
        </w:rPr>
        <w:t>中国药科大学玄武门校区学生宿舍浴室改造项目</w:t>
      </w:r>
    </w:p>
    <w:p w14:paraId="6F566759">
      <w:pPr>
        <w:widowControl/>
        <w:shd w:val="clear" w:color="auto"/>
        <w:spacing w:line="360" w:lineRule="auto"/>
        <w:rPr>
          <w:rFonts w:ascii="宋体" w:hAnsi="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w:t>
      </w:r>
      <w:r>
        <w:rPr>
          <w:rFonts w:hint="eastAsia" w:ascii="宋体" w:hAnsi="宋体"/>
          <w:b/>
          <w:bCs/>
          <w:color w:val="000000" w:themeColor="text1"/>
          <w:sz w:val="24"/>
          <w:szCs w:val="24"/>
          <w:highlight w:val="none"/>
          <w14:textFill>
            <w14:solidFill>
              <w14:schemeClr w14:val="tx1"/>
            </w14:solidFill>
          </w14:textFill>
        </w:rPr>
        <w:t>二、项目概况</w:t>
      </w:r>
    </w:p>
    <w:p w14:paraId="5B06E93C">
      <w:pPr>
        <w:spacing w:line="348"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本项目施工内容包括但不限于玄武门校区宿舍内卫生间拆除工程、渗漏处理以及隔断、给排水管、灯具、面板、洁具、配电箱、开关插座、热水器安装、计费系统购置安装等。具体详见采购需求、招标工程量清单及图纸。</w:t>
      </w:r>
    </w:p>
    <w:p w14:paraId="04AE6EA4">
      <w:pPr>
        <w:widowControl/>
        <w:shd w:val="clear" w:color="auto"/>
        <w:spacing w:line="360" w:lineRule="auto"/>
        <w:rPr>
          <w:rFonts w:ascii="宋体" w:hAnsi="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w:t>
      </w:r>
      <w:r>
        <w:rPr>
          <w:rFonts w:hint="eastAsia" w:ascii="宋体" w:hAnsi="宋体" w:cs="宋体"/>
          <w:b/>
          <w:bCs/>
          <w:color w:val="000000" w:themeColor="text1"/>
          <w:sz w:val="24"/>
          <w:szCs w:val="24"/>
          <w:highlight w:val="none"/>
          <w:lang w:eastAsia="zh-CN"/>
          <w14:textFill>
            <w14:solidFill>
              <w14:schemeClr w14:val="tx1"/>
            </w14:solidFill>
          </w14:textFill>
        </w:rPr>
        <w:t>三</w:t>
      </w:r>
      <w:r>
        <w:rPr>
          <w:rFonts w:hint="eastAsia" w:ascii="宋体" w:hAnsi="宋体"/>
          <w:b/>
          <w:bCs/>
          <w:color w:val="000000" w:themeColor="text1"/>
          <w:sz w:val="24"/>
          <w:szCs w:val="24"/>
          <w:highlight w:val="none"/>
          <w14:textFill>
            <w14:solidFill>
              <w14:schemeClr w14:val="tx1"/>
            </w14:solidFill>
          </w14:textFill>
        </w:rPr>
        <w:t>、施工要求</w:t>
      </w:r>
    </w:p>
    <w:p w14:paraId="0AC2E33D">
      <w:pPr>
        <w:spacing w:line="360" w:lineRule="auto"/>
        <w:ind w:firstLine="240" w:firstLineChars="100"/>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（一）施工单位应设立安全生产管理机构，建立健全安全生产责任制度和教育培训制度，制定安全生产规章制度和操作规程，建立生产安全事故紧急预案。</w:t>
      </w:r>
    </w:p>
    <w:p w14:paraId="06478BBE">
      <w:pPr>
        <w:spacing w:line="360" w:lineRule="auto"/>
        <w:ind w:firstLine="240" w:firstLineChars="100"/>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二）施工单位主要负责人依法对本单位的安全生产工作全面负责，项目经理对建设工程项目的安全施工负责，落实安全生产责任制度、安全生产规章制度和操作规程，确保安全生产费用的有效使用，并根据工程的特点组织制定安全施工措施，消除安全事故隐患，及时、如实报告生产安全事故。</w:t>
      </w:r>
    </w:p>
    <w:p w14:paraId="09C4A65E">
      <w:pPr>
        <w:spacing w:line="360" w:lineRule="auto"/>
        <w:ind w:firstLine="240" w:firstLineChars="100"/>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三）建立安全生产费用预算，在工程报价中应当包含工程施工的安全作业环境及安全施工措施所需费用，要保证安全生产费用专款专用，用于施工安全防护用具及设施的采购和更新、安全施工措施的落实、安全生产条件的改善，不得挪作他用。</w:t>
      </w:r>
    </w:p>
    <w:p w14:paraId="4CC54DEB">
      <w:pPr>
        <w:spacing w:line="360" w:lineRule="auto"/>
        <w:ind w:firstLine="240" w:firstLineChars="100"/>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（四）严格按照工程建设强制性标准和安全生产操作规范进行施工作业。</w:t>
      </w:r>
    </w:p>
    <w:p w14:paraId="0D093851">
      <w:pPr>
        <w:spacing w:line="360" w:lineRule="auto"/>
        <w:ind w:firstLine="240" w:firstLineChars="100"/>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（五）要依法参加工伤社会保险，为从业人员交纳保险费。</w:t>
      </w:r>
    </w:p>
    <w:p w14:paraId="03E88FD4">
      <w:pPr>
        <w:spacing w:line="360" w:lineRule="auto"/>
        <w:ind w:firstLine="240" w:firstLineChars="100"/>
        <w:rPr>
          <w:rFonts w:hint="eastAsia" w:ascii="宋体" w:hAnsi="宋体" w:eastAsia="宋体"/>
          <w:bCs/>
          <w:color w:val="000000" w:themeColor="text1"/>
          <w:sz w:val="24"/>
          <w:szCs w:val="24"/>
          <w:highlight w:val="none"/>
          <w14:textFill>
            <w14:solidFill>
              <w14:schemeClr w14:val="tx1"/>
            </w14:solidFill>
          </w14:textFill>
        </w:rPr>
      </w:pPr>
      <w:r>
        <w:rPr>
          <w:rFonts w:hint="eastAsia" w:hAnsi="宋体" w:eastAsia="宋体"/>
          <w:bCs/>
          <w:color w:val="000000" w:themeColor="text1"/>
          <w:sz w:val="24"/>
          <w:szCs w:val="24"/>
          <w:highlight w:val="none"/>
          <w:lang w:eastAsia="zh-CN"/>
          <w14:textFill>
            <w14:solidFill>
              <w14:schemeClr w14:val="tx1"/>
            </w14:solidFill>
          </w14:textFill>
        </w:rPr>
        <w:t>（六）</w:t>
      </w:r>
      <w:r>
        <w:rPr>
          <w:rFonts w:hint="eastAsia" w:ascii="宋体" w:hAnsi="宋体" w:eastAsia="宋体"/>
          <w:bCs/>
          <w:color w:val="000000" w:themeColor="text1"/>
          <w:sz w:val="24"/>
          <w:szCs w:val="24"/>
          <w:highlight w:val="none"/>
          <w14:textFill>
            <w14:solidFill>
              <w14:schemeClr w14:val="tx1"/>
            </w14:solidFill>
          </w14:textFill>
        </w:rPr>
        <w:t>安全责任：一切与工程相关的安全责任由成交供应商负责。</w:t>
      </w:r>
    </w:p>
    <w:p w14:paraId="6A4474AE">
      <w:pPr>
        <w:spacing w:line="360" w:lineRule="auto"/>
        <w:ind w:firstLine="240" w:firstLineChars="100"/>
        <w:rPr>
          <w:rFonts w:hint="eastAsia" w:ascii="宋体" w:hAnsi="宋体" w:eastAsia="宋体"/>
          <w:bCs/>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(七）热水器收费系统需与学校现有收费系统兼容（现有系统为新中新），相关费用包含在响应报价中，供应商需综合考虑进行报价。</w:t>
      </w:r>
    </w:p>
    <w:p w14:paraId="3F110E7E">
      <w:pPr>
        <w:spacing w:line="360" w:lineRule="auto"/>
        <w:ind w:firstLine="240" w:firstLineChars="100"/>
        <w:rPr>
          <w:color w:val="000000" w:themeColor="text1"/>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lang w:eastAsia="zh-CN"/>
          <w14:textFill>
            <w14:solidFill>
              <w14:schemeClr w14:val="tx1"/>
            </w14:solidFill>
          </w14:textFill>
        </w:rPr>
        <w:t>八</w:t>
      </w:r>
      <w:r>
        <w:rPr>
          <w:rFonts w:hint="eastAsia" w:ascii="宋体" w:hAnsi="宋体" w:eastAsia="宋体"/>
          <w:bCs/>
          <w:color w:val="000000" w:themeColor="text1"/>
          <w:sz w:val="24"/>
          <w:szCs w:val="24"/>
          <w:highlight w:val="none"/>
          <w14:textFill>
            <w14:solidFill>
              <w14:schemeClr w14:val="tx1"/>
            </w14:solidFill>
          </w14:textFill>
        </w:rPr>
        <w:t>）遵守各项管理制度。</w:t>
      </w:r>
    </w:p>
    <w:p w14:paraId="04D60E9E">
      <w:pPr>
        <w:widowControl/>
        <w:shd w:val="clear" w:color="auto"/>
        <w:spacing w:line="360" w:lineRule="auto"/>
        <w:rPr>
          <w:rFonts w:ascii="宋体" w:hAnsi="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w:t>
      </w:r>
      <w:r>
        <w:rPr>
          <w:rFonts w:hint="eastAsia" w:ascii="宋体" w:hAnsi="宋体"/>
          <w:b/>
          <w:bCs/>
          <w:color w:val="000000" w:themeColor="text1"/>
          <w:sz w:val="24"/>
          <w:szCs w:val="24"/>
          <w:highlight w:val="none"/>
          <w:lang w:eastAsia="zh-CN"/>
          <w14:textFill>
            <w14:solidFill>
              <w14:schemeClr w14:val="tx1"/>
            </w14:solidFill>
          </w14:textFill>
        </w:rPr>
        <w:t>五</w:t>
      </w:r>
      <w:r>
        <w:rPr>
          <w:rFonts w:hint="eastAsia" w:ascii="宋体" w:hAnsi="宋体"/>
          <w:b/>
          <w:bCs/>
          <w:color w:val="000000" w:themeColor="text1"/>
          <w:sz w:val="24"/>
          <w:szCs w:val="24"/>
          <w:highlight w:val="none"/>
          <w14:textFill>
            <w14:solidFill>
              <w14:schemeClr w14:val="tx1"/>
            </w14:solidFill>
          </w14:textFill>
        </w:rPr>
        <w:t>、</w:t>
      </w:r>
      <w:r>
        <w:rPr>
          <w:rFonts w:ascii="宋体" w:hAnsi="宋体"/>
          <w:b/>
          <w:bCs/>
          <w:color w:val="000000" w:themeColor="text1"/>
          <w:sz w:val="24"/>
          <w:szCs w:val="24"/>
          <w:highlight w:val="none"/>
          <w14:textFill>
            <w14:solidFill>
              <w14:schemeClr w14:val="tx1"/>
            </w14:solidFill>
          </w14:textFill>
        </w:rPr>
        <w:t>验收标准</w:t>
      </w:r>
    </w:p>
    <w:p w14:paraId="22612F2A">
      <w:pPr>
        <w:pStyle w:val="47"/>
        <w:shd w:val="clear"/>
        <w:snapToGrid w:val="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符合国家质量验收标准，满足</w:t>
      </w:r>
      <w:r>
        <w:rPr>
          <w:rFonts w:hint="eastAsia" w:ascii="宋体" w:hAnsi="宋体"/>
          <w:bCs/>
          <w:color w:val="000000" w:themeColor="text1"/>
          <w:sz w:val="24"/>
          <w:szCs w:val="24"/>
          <w:highlight w:val="none"/>
          <w14:textFill>
            <w14:solidFill>
              <w14:schemeClr w14:val="tx1"/>
            </w14:solidFill>
          </w14:textFill>
        </w:rPr>
        <w:t>采购人</w:t>
      </w:r>
      <w:r>
        <w:rPr>
          <w:rFonts w:ascii="宋体" w:hAnsi="宋体"/>
          <w:bCs/>
          <w:color w:val="000000" w:themeColor="text1"/>
          <w:sz w:val="24"/>
          <w:szCs w:val="24"/>
          <w:highlight w:val="none"/>
          <w14:textFill>
            <w14:solidFill>
              <w14:schemeClr w14:val="tx1"/>
            </w14:solidFill>
          </w14:textFill>
        </w:rPr>
        <w:t>要求；</w:t>
      </w:r>
    </w:p>
    <w:p w14:paraId="4E9A3ED3">
      <w:pPr>
        <w:widowControl/>
        <w:shd w:val="clear" w:color="auto"/>
        <w:spacing w:line="360" w:lineRule="auto"/>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★七、</w:t>
      </w:r>
      <w:r>
        <w:rPr>
          <w:rFonts w:ascii="宋体" w:hAnsi="宋体"/>
          <w:b/>
          <w:bCs/>
          <w:color w:val="000000" w:themeColor="text1"/>
          <w:sz w:val="24"/>
          <w:szCs w:val="24"/>
          <w:highlight w:val="none"/>
          <w14:textFill>
            <w14:solidFill>
              <w14:schemeClr w14:val="tx1"/>
            </w14:solidFill>
          </w14:textFill>
        </w:rPr>
        <w:t>商务部分要求</w:t>
      </w:r>
    </w:p>
    <w:p w14:paraId="65190E88">
      <w:pPr>
        <w:pStyle w:val="8"/>
        <w:rPr>
          <w:rFonts w:hint="default" w:eastAsia="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（一）</w:t>
      </w:r>
      <w:r>
        <w:rPr>
          <w:rFonts w:hint="eastAsia" w:ascii="宋体" w:hAnsi="宋体" w:eastAsia="宋体" w:cs="宋体"/>
          <w:color w:val="000000" w:themeColor="text1"/>
          <w:sz w:val="24"/>
          <w:szCs w:val="24"/>
          <w:highlight w:val="none"/>
          <w14:textFill>
            <w14:solidFill>
              <w14:schemeClr w14:val="tx1"/>
            </w14:solidFill>
          </w14:textFill>
        </w:rPr>
        <w:t>工期要求：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45个日历日（其中202</w:t>
      </w:r>
      <w:r>
        <w:rPr>
          <w:rFonts w:hint="eastAsia" w:ascii="宋体" w:hAnsi="宋体" w:cs="宋体"/>
          <w:color w:val="000000" w:themeColor="text1"/>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z w:val="24"/>
          <w:szCs w:val="24"/>
          <w:highlight w:val="none"/>
          <w:lang w:val="en-US" w:eastAsia="zh-CN"/>
          <w14:textFill>
            <w14:solidFill>
              <w14:schemeClr w14:val="tx1"/>
            </w14:solidFill>
          </w14:textFill>
        </w:rPr>
        <w:t>年2月3日至2月28日假期不计）</w:t>
      </w:r>
    </w:p>
    <w:p w14:paraId="7F233728">
      <w:pPr>
        <w:pStyle w:val="47"/>
        <w:shd w:val="clear"/>
        <w:snapToGrid w:val="0"/>
        <w:spacing w:line="360" w:lineRule="auto"/>
        <w:ind w:left="0" w:leftChars="0" w:firstLine="0" w:firstLineChars="0"/>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（二）</w:t>
      </w:r>
      <w:r>
        <w:rPr>
          <w:rFonts w:ascii="宋体" w:hAnsi="宋体"/>
          <w:bCs/>
          <w:color w:val="000000" w:themeColor="text1"/>
          <w:sz w:val="24"/>
          <w:szCs w:val="24"/>
          <w:highlight w:val="none"/>
          <w:lang w:val="en-US"/>
          <w14:textFill>
            <w14:solidFill>
              <w14:schemeClr w14:val="tx1"/>
            </w14:solidFill>
          </w14:textFill>
        </w:rPr>
        <w:t>施工</w:t>
      </w:r>
      <w:r>
        <w:rPr>
          <w:rFonts w:ascii="宋体" w:hAnsi="宋体"/>
          <w:bCs/>
          <w:color w:val="000000" w:themeColor="text1"/>
          <w:sz w:val="24"/>
          <w:szCs w:val="24"/>
          <w:highlight w:val="none"/>
          <w14:textFill>
            <w14:solidFill>
              <w14:schemeClr w14:val="tx1"/>
            </w14:solidFill>
          </w14:textFill>
        </w:rPr>
        <w:t>地点</w:t>
      </w:r>
    </w:p>
    <w:p w14:paraId="19CAD4F6">
      <w:pPr>
        <w:pStyle w:val="47"/>
        <w:shd w:val="clear"/>
        <w:snapToGrid w:val="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中国药科大学</w:t>
      </w:r>
      <w:r>
        <w:rPr>
          <w:rFonts w:hint="eastAsia" w:ascii="宋体" w:hAnsi="宋体"/>
          <w:bCs/>
          <w:color w:val="000000" w:themeColor="text1"/>
          <w:sz w:val="24"/>
          <w:szCs w:val="24"/>
          <w:highlight w:val="none"/>
          <w14:textFill>
            <w14:solidFill>
              <w14:schemeClr w14:val="tx1"/>
            </w14:solidFill>
          </w14:textFill>
        </w:rPr>
        <w:t>校内</w:t>
      </w:r>
      <w:r>
        <w:rPr>
          <w:rFonts w:ascii="宋体" w:hAnsi="宋体"/>
          <w:bCs/>
          <w:color w:val="000000" w:themeColor="text1"/>
          <w:sz w:val="24"/>
          <w:szCs w:val="24"/>
          <w:highlight w:val="none"/>
          <w14:textFill>
            <w14:solidFill>
              <w14:schemeClr w14:val="tx1"/>
            </w14:solidFill>
          </w14:textFill>
        </w:rPr>
        <w:t>指定地点。</w:t>
      </w:r>
    </w:p>
    <w:p w14:paraId="340C6A53">
      <w:pPr>
        <w:pStyle w:val="47"/>
        <w:shd w:val="clear"/>
        <w:snapToGrid w:val="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14:textFill>
            <w14:solidFill>
              <w14:schemeClr w14:val="tx1"/>
            </w14:solidFill>
          </w14:textFill>
        </w:rPr>
        <w:t>三</w:t>
      </w:r>
      <w:r>
        <w:rPr>
          <w:rFonts w:ascii="宋体" w:hAnsi="宋体"/>
          <w:bCs/>
          <w:color w:val="000000" w:themeColor="text1"/>
          <w:sz w:val="24"/>
          <w:szCs w:val="24"/>
          <w:highlight w:val="none"/>
          <w14:textFill>
            <w14:solidFill>
              <w14:schemeClr w14:val="tx1"/>
            </w14:solidFill>
          </w14:textFill>
        </w:rPr>
        <w:t>）质保期及售后服务要求</w:t>
      </w:r>
    </w:p>
    <w:p w14:paraId="18514763">
      <w:pPr>
        <w:pStyle w:val="8"/>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质量保修期2年（其中电器设备质量保修期不少于6年），质量保修期自工程竣工验收合格之日起计算,具体要求详见《工程质量保修书》。</w:t>
      </w:r>
    </w:p>
    <w:p w14:paraId="5A08A507">
      <w:pPr>
        <w:pStyle w:val="47"/>
        <w:shd w:val="clear"/>
        <w:snapToGrid w:val="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lang w:eastAsia="zh-CN"/>
          <w14:textFill>
            <w14:solidFill>
              <w14:schemeClr w14:val="tx1"/>
            </w14:solidFill>
          </w14:textFill>
        </w:rPr>
        <w:t>（四）</w:t>
      </w:r>
      <w:r>
        <w:rPr>
          <w:rFonts w:hint="eastAsia" w:ascii="宋体" w:hAnsi="宋体" w:eastAsia="宋体"/>
          <w:bCs/>
          <w:color w:val="000000" w:themeColor="text1"/>
          <w:sz w:val="24"/>
          <w:szCs w:val="24"/>
          <w:highlight w:val="none"/>
          <w14:textFill>
            <w14:solidFill>
              <w14:schemeClr w14:val="tx1"/>
            </w14:solidFill>
          </w14:textFill>
        </w:rPr>
        <w:t>付款方式</w:t>
      </w:r>
    </w:p>
    <w:p w14:paraId="76C904FE">
      <w:pPr>
        <w:spacing w:line="360" w:lineRule="auto"/>
        <w:ind w:firstLine="240" w:firstLineChars="100"/>
        <w:rPr>
          <w:rFonts w:hint="eastAsia" w:ascii="宋体" w:hAnsi="宋体" w:eastAsia="宋体"/>
          <w:bCs/>
          <w:color w:val="000000" w:themeColor="text1"/>
          <w:sz w:val="24"/>
          <w:szCs w:val="24"/>
          <w:highlight w:val="none"/>
          <w:lang w:val="en-US"/>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1.</w:t>
      </w:r>
      <w:r>
        <w:rPr>
          <w:rFonts w:hint="eastAsia" w:ascii="宋体" w:hAnsi="宋体" w:eastAsia="宋体"/>
          <w:bCs/>
          <w:color w:val="000000" w:themeColor="text1"/>
          <w:sz w:val="24"/>
          <w:szCs w:val="24"/>
          <w:highlight w:val="none"/>
          <w:lang w:val="en-US" w:eastAsia="zh-CN"/>
          <w14:textFill>
            <w14:solidFill>
              <w14:schemeClr w14:val="tx1"/>
            </w14:solidFill>
          </w14:textFill>
        </w:rPr>
        <w:t>项目</w:t>
      </w:r>
      <w:r>
        <w:rPr>
          <w:rFonts w:hint="eastAsia" w:ascii="宋体" w:hAnsi="宋体" w:eastAsia="宋体"/>
          <w:bCs/>
          <w:color w:val="000000" w:themeColor="text1"/>
          <w:sz w:val="24"/>
          <w:szCs w:val="24"/>
          <w:highlight w:val="none"/>
          <w:lang w:val="en-US"/>
          <w14:textFill>
            <w14:solidFill>
              <w14:schemeClr w14:val="tx1"/>
            </w14:solidFill>
          </w14:textFill>
        </w:rPr>
        <w:t>竣工验收合格且收到付款申请后，付至合同价的70%；</w:t>
      </w:r>
    </w:p>
    <w:p w14:paraId="470D4F2A">
      <w:pPr>
        <w:spacing w:line="360" w:lineRule="auto"/>
        <w:ind w:firstLine="240" w:firstLineChars="100"/>
        <w:rPr>
          <w:rFonts w:hint="eastAsia" w:ascii="宋体" w:hAnsi="宋体" w:eastAsia="宋体"/>
          <w:bCs/>
          <w:color w:val="000000" w:themeColor="text1"/>
          <w:sz w:val="24"/>
          <w:szCs w:val="24"/>
          <w:highlight w:val="none"/>
          <w:u w:val="none"/>
          <w:lang w:val="en-US"/>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2.</w:t>
      </w:r>
      <w:r>
        <w:rPr>
          <w:rFonts w:hint="eastAsia" w:ascii="宋体" w:hAnsi="宋体" w:eastAsia="宋体"/>
          <w:bCs/>
          <w:color w:val="000000" w:themeColor="text1"/>
          <w:sz w:val="24"/>
          <w:szCs w:val="24"/>
          <w:highlight w:val="none"/>
          <w:lang w:val="en-US"/>
          <w14:textFill>
            <w14:solidFill>
              <w14:schemeClr w14:val="tx1"/>
            </w14:solidFill>
          </w14:textFill>
        </w:rPr>
        <w:t>竣工结算经审计部门审计结束，承包人分别提交水电费、违约金（如有）、质量保证金（结算审定价的3%）至发包人账户，并按照要求提交所有竣工资料后，付至工程结算审定价款的100%（承包人需开具审定价的全额发票）</w:t>
      </w:r>
      <w:r>
        <w:rPr>
          <w:rFonts w:hint="eastAsia" w:ascii="宋体" w:hAnsi="宋体" w:cs="宋体"/>
          <w:color w:val="000000" w:themeColor="text1"/>
          <w:kern w:val="0"/>
          <w:sz w:val="24"/>
          <w:szCs w:val="24"/>
          <w:highlight w:val="none"/>
          <w:u w:val="none"/>
          <w14:textFill>
            <w14:solidFill>
              <w14:schemeClr w14:val="tx1"/>
            </w14:solidFill>
          </w14:textFill>
        </w:rPr>
        <w:t>质保期满后</w:t>
      </w:r>
      <w:r>
        <w:rPr>
          <w:rFonts w:hint="eastAsia" w:ascii="宋体" w:hAnsi="宋体" w:cs="宋体"/>
          <w:color w:val="000000" w:themeColor="text1"/>
          <w:kern w:val="0"/>
          <w:sz w:val="24"/>
          <w:szCs w:val="24"/>
          <w:highlight w:val="none"/>
          <w:u w:val="none"/>
          <w:lang w:eastAsia="zh-CN"/>
          <w14:textFill>
            <w14:solidFill>
              <w14:schemeClr w14:val="tx1"/>
            </w14:solidFill>
          </w14:textFill>
        </w:rPr>
        <w:t>（即</w:t>
      </w:r>
      <w:r>
        <w:rPr>
          <w:rFonts w:hint="eastAsia" w:ascii="宋体" w:hAnsi="宋体" w:eastAsia="宋体" w:cs="宋体"/>
          <w:color w:val="000000" w:themeColor="text1"/>
          <w:sz w:val="24"/>
          <w:szCs w:val="24"/>
          <w:highlight w:val="none"/>
          <w:lang w:val="en-US" w:eastAsia="zh-CN"/>
          <w14:textFill>
            <w14:solidFill>
              <w14:schemeClr w14:val="tx1"/>
            </w14:solidFill>
          </w14:textFill>
        </w:rPr>
        <w:t>验收通过之日起2年</w:t>
      </w:r>
      <w:r>
        <w:rPr>
          <w:rFonts w:hint="eastAsia" w:ascii="宋体" w:hAnsi="宋体" w:cs="宋体"/>
          <w:color w:val="000000" w:themeColor="text1"/>
          <w:kern w:val="0"/>
          <w:sz w:val="24"/>
          <w:szCs w:val="24"/>
          <w:highlight w:val="none"/>
          <w:u w:val="none"/>
          <w:lang w:eastAsia="zh-CN"/>
          <w14:textFill>
            <w14:solidFill>
              <w14:schemeClr w14:val="tx1"/>
            </w14:solidFill>
          </w14:textFill>
        </w:rPr>
        <w:t>）</w:t>
      </w:r>
      <w:r>
        <w:rPr>
          <w:rFonts w:ascii="宋体" w:hAnsi="宋体" w:cs="宋体"/>
          <w:color w:val="000000" w:themeColor="text1"/>
          <w:kern w:val="0"/>
          <w:sz w:val="24"/>
          <w:szCs w:val="24"/>
          <w:highlight w:val="none"/>
          <w:u w:val="none"/>
          <w14:textFill>
            <w14:solidFill>
              <w14:schemeClr w14:val="tx1"/>
            </w14:solidFill>
          </w14:textFill>
        </w:rPr>
        <w:t>，无质量问题退还质保金（无息）</w:t>
      </w:r>
      <w:r>
        <w:rPr>
          <w:rFonts w:hint="eastAsia" w:ascii="宋体" w:hAnsi="宋体" w:eastAsia="宋体"/>
          <w:bCs/>
          <w:color w:val="000000" w:themeColor="text1"/>
          <w:sz w:val="24"/>
          <w:szCs w:val="24"/>
          <w:highlight w:val="none"/>
          <w:u w:val="none"/>
          <w:lang w:val="en-US"/>
          <w14:textFill>
            <w14:solidFill>
              <w14:schemeClr w14:val="tx1"/>
            </w14:solidFill>
          </w14:textFill>
        </w:rPr>
        <w:t>。</w:t>
      </w:r>
    </w:p>
    <w:p w14:paraId="06515C1A">
      <w:pPr>
        <w:spacing w:line="360" w:lineRule="auto"/>
        <w:ind w:firstLine="240" w:firstLineChars="100"/>
        <w:rPr>
          <w:rFonts w:hint="eastAsia" w:ascii="宋体" w:hAnsi="宋体" w:eastAsia="宋体"/>
          <w:bCs/>
          <w:color w:val="000000" w:themeColor="text1"/>
          <w:sz w:val="24"/>
          <w:szCs w:val="24"/>
          <w:highlight w:val="none"/>
          <w:lang w:val="en-US"/>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3.</w:t>
      </w:r>
      <w:r>
        <w:rPr>
          <w:rFonts w:hint="eastAsia" w:ascii="宋体" w:hAnsi="宋体" w:eastAsia="宋体"/>
          <w:bCs/>
          <w:color w:val="000000" w:themeColor="text1"/>
          <w:sz w:val="24"/>
          <w:szCs w:val="24"/>
          <w:highlight w:val="none"/>
          <w:lang w:val="en-US"/>
          <w14:textFill>
            <w14:solidFill>
              <w14:schemeClr w14:val="tx1"/>
            </w14:solidFill>
          </w14:textFill>
        </w:rPr>
        <w:t>所有合同外增加的工作内容施工项目，一律不得作为进度款支付的计算基数，待竣工结算审计后方可进行价款结算。</w:t>
      </w:r>
    </w:p>
    <w:p w14:paraId="2B306CD4">
      <w:pPr>
        <w:spacing w:line="360" w:lineRule="auto"/>
        <w:ind w:firstLine="240" w:firstLineChars="100"/>
        <w:rPr>
          <w:rFonts w:hint="default" w:ascii="宋体" w:hAnsi="宋体" w:eastAsia="宋体"/>
          <w:bCs/>
          <w:color w:val="000000" w:themeColor="text1"/>
          <w:sz w:val="24"/>
          <w:szCs w:val="24"/>
          <w:highlight w:val="none"/>
          <w:lang w:val="en-US" w:eastAsia="zh-CN"/>
          <w14:textFill>
            <w14:solidFill>
              <w14:schemeClr w14:val="tx1"/>
            </w14:solidFill>
          </w14:textFill>
        </w:rPr>
      </w:pPr>
      <w:r>
        <w:rPr>
          <w:rFonts w:hint="eastAsia" w:ascii="宋体" w:hAnsi="宋体" w:eastAsia="宋体"/>
          <w:bCs/>
          <w:color w:val="000000" w:themeColor="text1"/>
          <w:sz w:val="24"/>
          <w:szCs w:val="24"/>
          <w:highlight w:val="none"/>
          <w:lang w:val="en-US"/>
          <w14:textFill>
            <w14:solidFill>
              <w14:schemeClr w14:val="tx1"/>
            </w14:solidFill>
          </w14:textFill>
        </w:rPr>
        <w:t>注：如因现场条件无法挂表，则水电费按工程审定额的千分之一点五计取。水电费在审定价款支付前，由承包人直接支付至发包人指定账户。</w:t>
      </w:r>
    </w:p>
    <w:p w14:paraId="1A0B07FF">
      <w:pPr>
        <w:widowControl/>
        <w:shd w:val="clear" w:color="auto"/>
        <w:spacing w:line="360" w:lineRule="auto"/>
        <w:rPr>
          <w:rFonts w:ascii="宋体" w:hAnsi="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w:t>
      </w:r>
      <w:r>
        <w:rPr>
          <w:rFonts w:hint="eastAsia" w:ascii="宋体" w:hAnsi="宋体"/>
          <w:b/>
          <w:bCs/>
          <w:color w:val="000000" w:themeColor="text1"/>
          <w:sz w:val="24"/>
          <w:szCs w:val="24"/>
          <w:highlight w:val="none"/>
          <w14:textFill>
            <w14:solidFill>
              <w14:schemeClr w14:val="tx1"/>
            </w14:solidFill>
          </w14:textFill>
        </w:rPr>
        <w:t>八</w:t>
      </w:r>
      <w:r>
        <w:rPr>
          <w:rFonts w:ascii="宋体" w:hAnsi="宋体"/>
          <w:b/>
          <w:bCs/>
          <w:color w:val="000000" w:themeColor="text1"/>
          <w:sz w:val="24"/>
          <w:szCs w:val="24"/>
          <w:highlight w:val="none"/>
          <w14:textFill>
            <w14:solidFill>
              <w14:schemeClr w14:val="tx1"/>
            </w14:solidFill>
          </w14:textFill>
        </w:rPr>
        <w:t>、其他要求</w:t>
      </w:r>
    </w:p>
    <w:p w14:paraId="6B70DB97">
      <w:pPr>
        <w:spacing w:line="360" w:lineRule="auto"/>
        <w:ind w:firstLine="240" w:firstLineChars="100"/>
        <w:rPr>
          <w:rFonts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（一）</w:t>
      </w:r>
      <w:r>
        <w:rPr>
          <w:rFonts w:ascii="宋体" w:hAnsi="宋体" w:eastAsia="宋体"/>
          <w:bCs/>
          <w:color w:val="000000" w:themeColor="text1"/>
          <w:sz w:val="24"/>
          <w:szCs w:val="24"/>
          <w:highlight w:val="none"/>
          <w14:textFill>
            <w14:solidFill>
              <w14:schemeClr w14:val="tx1"/>
            </w14:solidFill>
          </w14:textFill>
        </w:rPr>
        <w:t>成交供应商</w:t>
      </w:r>
      <w:r>
        <w:rPr>
          <w:rFonts w:hint="eastAsia" w:ascii="宋体" w:hAnsi="宋体" w:eastAsia="宋体"/>
          <w:bCs/>
          <w:color w:val="000000" w:themeColor="text1"/>
          <w:sz w:val="24"/>
          <w:szCs w:val="24"/>
          <w:highlight w:val="none"/>
          <w14:textFill>
            <w14:solidFill>
              <w14:schemeClr w14:val="tx1"/>
            </w14:solidFill>
          </w14:textFill>
        </w:rPr>
        <w:t>所提供的施工材料必须符合国家质量检测、环境、安全等有关标准，否则即使成交，采购人有权取消合同，拒绝接受所供货物，拒绝支付款项，并承担给采购人造成的相应的损失。</w:t>
      </w:r>
    </w:p>
    <w:p w14:paraId="4CF2C97C">
      <w:pPr>
        <w:spacing w:line="360" w:lineRule="auto"/>
        <w:ind w:firstLine="240" w:firstLineChars="100"/>
        <w:rPr>
          <w:rFonts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（二）</w:t>
      </w:r>
      <w:r>
        <w:rPr>
          <w:rFonts w:ascii="宋体" w:hAnsi="宋体" w:eastAsia="宋体"/>
          <w:bCs/>
          <w:color w:val="000000" w:themeColor="text1"/>
          <w:sz w:val="24"/>
          <w:szCs w:val="24"/>
          <w:highlight w:val="none"/>
          <w14:textFill>
            <w14:solidFill>
              <w14:schemeClr w14:val="tx1"/>
            </w14:solidFill>
          </w14:textFill>
        </w:rPr>
        <w:t>成交供应商</w:t>
      </w:r>
      <w:r>
        <w:rPr>
          <w:rFonts w:hint="eastAsia" w:ascii="宋体" w:hAnsi="宋体" w:eastAsia="宋体"/>
          <w:bCs/>
          <w:color w:val="000000" w:themeColor="text1"/>
          <w:sz w:val="24"/>
          <w:szCs w:val="24"/>
          <w:highlight w:val="none"/>
          <w14:textFill>
            <w14:solidFill>
              <w14:schemeClr w14:val="tx1"/>
            </w14:solidFill>
          </w14:textFill>
        </w:rPr>
        <w:t>需提供详细的项目进度计划表，供招标人审批。</w:t>
      </w:r>
    </w:p>
    <w:p w14:paraId="3AA90ECD">
      <w:pPr>
        <w:spacing w:line="360" w:lineRule="auto"/>
        <w:ind w:firstLine="240" w:firstLineChars="100"/>
        <w:rPr>
          <w:rFonts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lang w:eastAsia="zh-CN"/>
          <w14:textFill>
            <w14:solidFill>
              <w14:schemeClr w14:val="tx1"/>
            </w14:solidFill>
          </w14:textFill>
        </w:rPr>
        <w:t>三</w:t>
      </w:r>
      <w:r>
        <w:rPr>
          <w:rFonts w:hint="eastAsia" w:ascii="宋体" w:hAnsi="宋体" w:eastAsia="宋体"/>
          <w:bCs/>
          <w:color w:val="000000" w:themeColor="text1"/>
          <w:sz w:val="24"/>
          <w:szCs w:val="24"/>
          <w:highlight w:val="none"/>
          <w14:textFill>
            <w14:solidFill>
              <w14:schemeClr w14:val="tx1"/>
            </w14:solidFill>
          </w14:textFill>
        </w:rPr>
        <w:t>）如</w:t>
      </w:r>
      <w:r>
        <w:rPr>
          <w:rFonts w:ascii="宋体" w:hAnsi="宋体" w:eastAsia="宋体"/>
          <w:bCs/>
          <w:color w:val="000000" w:themeColor="text1"/>
          <w:sz w:val="24"/>
          <w:szCs w:val="24"/>
          <w:highlight w:val="none"/>
          <w14:textFill>
            <w14:solidFill>
              <w14:schemeClr w14:val="tx1"/>
            </w14:solidFill>
          </w14:textFill>
        </w:rPr>
        <w:t>成交供应商</w:t>
      </w:r>
      <w:r>
        <w:rPr>
          <w:rFonts w:hint="eastAsia" w:ascii="宋体" w:hAnsi="宋体" w:eastAsia="宋体"/>
          <w:bCs/>
          <w:color w:val="000000" w:themeColor="text1"/>
          <w:sz w:val="24"/>
          <w:szCs w:val="24"/>
          <w:highlight w:val="none"/>
          <w14:textFill>
            <w14:solidFill>
              <w14:schemeClr w14:val="tx1"/>
            </w14:solidFill>
          </w14:textFill>
        </w:rPr>
        <w:t>在本项目施工过程中未严格履行农民工工资监控制度，对施工工人工资发放监管不力，引发欠薪事件，导致施工工人采用极端方式讨薪，造成较为恶劣的社会影响的，将提请建设主管部门对其进行处罚。</w:t>
      </w:r>
    </w:p>
    <w:p w14:paraId="0921CF66">
      <w:pPr>
        <w:spacing w:line="360" w:lineRule="auto"/>
        <w:ind w:firstLine="240" w:firstLineChars="100"/>
        <w:jc w:val="left"/>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w:t>
      </w:r>
      <w:r>
        <w:rPr>
          <w:rFonts w:hint="eastAsia" w:ascii="宋体" w:hAnsi="宋体"/>
          <w:bCs/>
          <w:color w:val="000000" w:themeColor="text1"/>
          <w:sz w:val="24"/>
          <w:szCs w:val="24"/>
          <w:highlight w:val="none"/>
          <w:lang w:eastAsia="zh-CN"/>
          <w14:textFill>
            <w14:solidFill>
              <w14:schemeClr w14:val="tx1"/>
            </w14:solidFill>
          </w14:textFill>
        </w:rPr>
        <w:t>四</w:t>
      </w:r>
      <w:r>
        <w:rPr>
          <w:rFonts w:hint="eastAsia" w:ascii="宋体" w:hAnsi="宋体" w:eastAsia="宋体"/>
          <w:bCs/>
          <w:color w:val="000000" w:themeColor="text1"/>
          <w:sz w:val="24"/>
          <w:szCs w:val="24"/>
          <w:highlight w:val="none"/>
          <w14:textFill>
            <w14:solidFill>
              <w14:schemeClr w14:val="tx1"/>
            </w14:solidFill>
          </w14:textFill>
        </w:rPr>
        <w:t>）施工人员持证上岗，如在施工过程中发生违章操作及安全事故，由此所造成的一切损失由</w:t>
      </w:r>
      <w:r>
        <w:rPr>
          <w:rFonts w:ascii="宋体" w:hAnsi="宋体" w:eastAsia="宋体"/>
          <w:bCs/>
          <w:color w:val="000000" w:themeColor="text1"/>
          <w:sz w:val="24"/>
          <w:szCs w:val="24"/>
          <w:highlight w:val="none"/>
          <w14:textFill>
            <w14:solidFill>
              <w14:schemeClr w14:val="tx1"/>
            </w14:solidFill>
          </w14:textFill>
        </w:rPr>
        <w:t>成交供应商</w:t>
      </w:r>
      <w:r>
        <w:rPr>
          <w:rFonts w:hint="eastAsia" w:ascii="宋体" w:hAnsi="宋体" w:eastAsia="宋体"/>
          <w:bCs/>
          <w:color w:val="000000" w:themeColor="text1"/>
          <w:sz w:val="24"/>
          <w:szCs w:val="24"/>
          <w:highlight w:val="none"/>
          <w14:textFill>
            <w14:solidFill>
              <w14:schemeClr w14:val="tx1"/>
            </w14:solidFill>
          </w14:textFill>
        </w:rPr>
        <w:t>承担。</w:t>
      </w:r>
    </w:p>
    <w:p w14:paraId="3BC1A896">
      <w:pPr>
        <w:widowControl/>
        <w:shd w:val="clear" w:color="auto"/>
        <w:spacing w:line="360" w:lineRule="auto"/>
        <w:rPr>
          <w:rFonts w:hint="eastAsia" w:ascii="宋体" w:hAnsi="宋体" w:eastAsia="宋体"/>
          <w:b/>
          <w:bCs/>
          <w:color w:val="000000" w:themeColor="text1"/>
          <w:sz w:val="24"/>
          <w:szCs w:val="24"/>
          <w:highlight w:val="none"/>
          <w:lang w:eastAsia="zh-CN"/>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w:t>
      </w:r>
      <w:r>
        <w:rPr>
          <w:rFonts w:hint="eastAsia" w:ascii="宋体" w:hAnsi="宋体" w:eastAsia="宋体"/>
          <w:b/>
          <w:bCs/>
          <w:color w:val="000000" w:themeColor="text1"/>
          <w:sz w:val="24"/>
          <w:szCs w:val="24"/>
          <w:highlight w:val="none"/>
          <w:lang w:eastAsia="zh-CN"/>
          <w14:textFill>
            <w14:solidFill>
              <w14:schemeClr w14:val="tx1"/>
            </w14:solidFill>
          </w14:textFill>
        </w:rPr>
        <w:t>九、报价说明</w:t>
      </w:r>
    </w:p>
    <w:p w14:paraId="44EE36F8">
      <w:pPr>
        <w:widowControl/>
        <w:spacing w:line="360" w:lineRule="auto"/>
        <w:ind w:firstLine="480" w:firstLineChars="200"/>
        <w:rPr>
          <w:rFonts w:hint="eastAsia" w:ascii="宋体" w:hAnsi="宋体" w:cs="宋体"/>
          <w:color w:val="000000" w:themeColor="text1"/>
          <w:kern w:val="0"/>
          <w:sz w:val="24"/>
          <w:szCs w:val="24"/>
          <w:highlight w:val="none"/>
          <w:lang w:val="en-US" w:eastAsia="zh-CN"/>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一）投标报价包括采购清单和图纸范围内所有工程量、物资材料的采购等一切费用，具体内容详见技术要求、清单及图纸，有不一致处以高标准为准。若清单中未说明或与上述招标范围说明不符的，均应在本次投标报价中考虑，投标报价视为完成图纸和清单所有工程内容的总价，承包人提出的工程清单漏项或者工程量有误均不作为调整合同价款的依据。工程范围包含清单和图纸所列所有内容以及为事先设计使用功能明列和隐含的工程项目。供应商应综合考虑该项目涉及到安装、材料的运输保管、材料装卸、其他项目措施费、规费、税金等费用，工程结算时不作调整。本项目按工程量清单计价模式进行计价。供应商按照采购文件附件《工程量清单》要求报价。</w:t>
      </w:r>
    </w:p>
    <w:p w14:paraId="7BC7FB76">
      <w:pPr>
        <w:widowControl/>
        <w:adjustRightInd w:val="0"/>
        <w:snapToGrid w:val="0"/>
        <w:spacing w:line="360" w:lineRule="auto"/>
        <w:ind w:firstLine="480" w:firstLineChars="200"/>
        <w:jc w:val="left"/>
        <w:rPr>
          <w:rFonts w:hint="eastAsia" w:ascii="宋体" w:hAnsi="宋体" w:cs="宋体"/>
          <w:color w:val="000000" w:themeColor="text1"/>
          <w:kern w:val="0"/>
          <w:sz w:val="24"/>
          <w:szCs w:val="24"/>
          <w:highlight w:val="none"/>
          <w:lang w:val="en-US" w:eastAsia="zh-CN"/>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（二）结算综合单价={（最后投标报价-暂列金额-专业工程暂估价）/（首轮投标报价-暂列金额-专业工程暂估价）}*首轮报价中的综合单价。</w:t>
      </w:r>
    </w:p>
    <w:p w14:paraId="5972FDC7">
      <w:pPr>
        <w:widowControl/>
        <w:adjustRightInd w:val="0"/>
        <w:snapToGrid w:val="0"/>
        <w:spacing w:line="360" w:lineRule="auto"/>
        <w:ind w:firstLine="480" w:firstLineChars="200"/>
        <w:jc w:val="left"/>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（三）</w:t>
      </w:r>
      <w:r>
        <w:rPr>
          <w:rFonts w:hint="eastAsia" w:ascii="宋体" w:hAnsi="宋体" w:eastAsia="宋体" w:cs="宋体"/>
          <w:color w:val="000000" w:themeColor="text1"/>
          <w:kern w:val="0"/>
          <w:sz w:val="24"/>
          <w:szCs w:val="24"/>
          <w:highlight w:val="none"/>
          <w14:textFill>
            <w14:solidFill>
              <w14:schemeClr w14:val="tx1"/>
            </w14:solidFill>
          </w14:textFill>
        </w:rPr>
        <w:t>本工程现场不安排临时设施等用地，在校外安排生活设施等费用供应商自行报价（该费用已由供应商在投标时综合考虑并已考虑到投标报价中）；</w:t>
      </w:r>
    </w:p>
    <w:p w14:paraId="22C8CBD7">
      <w:pPr>
        <w:widowControl/>
        <w:adjustRightInd w:val="0"/>
        <w:snapToGrid w:val="0"/>
        <w:spacing w:line="360" w:lineRule="auto"/>
        <w:ind w:firstLine="480" w:firstLineChars="200"/>
        <w:jc w:val="left"/>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（四）</w:t>
      </w:r>
      <w:r>
        <w:rPr>
          <w:rFonts w:hint="eastAsia" w:ascii="宋体" w:hAnsi="宋体" w:eastAsia="宋体" w:cs="宋体"/>
          <w:color w:val="000000" w:themeColor="text1"/>
          <w:kern w:val="0"/>
          <w:sz w:val="24"/>
          <w:szCs w:val="24"/>
          <w:highlight w:val="none"/>
          <w14:textFill>
            <w14:solidFill>
              <w14:schemeClr w14:val="tx1"/>
            </w14:solidFill>
          </w14:textFill>
        </w:rPr>
        <w:t>中标单位需做好现场及成品保护工作（包含原有设备、建筑物、道路、绿化等，该费用由供应商在投标时综合考虑并已考虑到投标报价中）；</w:t>
      </w:r>
    </w:p>
    <w:p w14:paraId="1535AC67">
      <w:pPr>
        <w:widowControl/>
        <w:adjustRightInd w:val="0"/>
        <w:snapToGrid w:val="0"/>
        <w:spacing w:line="360" w:lineRule="auto"/>
        <w:ind w:firstLine="480" w:firstLineChars="200"/>
        <w:jc w:val="left"/>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（五）</w:t>
      </w:r>
      <w:r>
        <w:rPr>
          <w:rFonts w:hint="eastAsia" w:ascii="宋体" w:hAnsi="宋体" w:eastAsia="宋体" w:cs="宋体"/>
          <w:color w:val="000000" w:themeColor="text1"/>
          <w:kern w:val="0"/>
          <w:sz w:val="24"/>
          <w:szCs w:val="24"/>
          <w:highlight w:val="none"/>
          <w14:textFill>
            <w14:solidFill>
              <w14:schemeClr w14:val="tx1"/>
            </w14:solidFill>
          </w14:textFill>
        </w:rPr>
        <w:t>拆除项目中垃圾和余土要求装袋、外运及无害化处理，供应商自行考虑报价，校园内不允许堆放任何垃圾（清单项目特征中不再重复描述），如有残值的材料必须经招标人确认后，供应商自行处理。</w:t>
      </w:r>
    </w:p>
    <w:p w14:paraId="34BFBE36">
      <w:pPr>
        <w:widowControl/>
        <w:adjustRightInd w:val="0"/>
        <w:snapToGrid w:val="0"/>
        <w:spacing w:line="360" w:lineRule="auto"/>
        <w:ind w:firstLine="480" w:firstLineChars="200"/>
        <w:jc w:val="left"/>
        <w:rPr>
          <w:rFonts w:hint="eastAsia" w:ascii="宋体" w:hAnsi="宋体" w:cs="宋体"/>
          <w:color w:val="000000" w:themeColor="text1"/>
          <w:kern w:val="0"/>
          <w:sz w:val="24"/>
          <w:szCs w:val="24"/>
          <w:highlight w:val="none"/>
          <w:lang w:val="zh-CN"/>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（六）</w:t>
      </w:r>
      <w:r>
        <w:rPr>
          <w:rFonts w:hint="eastAsia" w:ascii="宋体" w:hAnsi="宋体" w:eastAsia="宋体" w:cs="宋体"/>
          <w:color w:val="000000" w:themeColor="text1"/>
          <w:kern w:val="0"/>
          <w:sz w:val="24"/>
          <w:szCs w:val="24"/>
          <w:highlight w:val="none"/>
          <w14:textFill>
            <w14:solidFill>
              <w14:schemeClr w14:val="tx1"/>
            </w14:solidFill>
          </w14:textFill>
        </w:rPr>
        <w:t>施工期间，学校不提供食宿，自行解决。</w:t>
      </w:r>
    </w:p>
    <w:p w14:paraId="07517BDC">
      <w:pPr>
        <w:widowControl/>
        <w:adjustRightInd w:val="0"/>
        <w:snapToGrid w:val="0"/>
        <w:spacing w:line="360" w:lineRule="auto"/>
        <w:ind w:firstLine="480" w:firstLineChars="200"/>
        <w:jc w:val="left"/>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（七）</w:t>
      </w:r>
      <w:r>
        <w:rPr>
          <w:rFonts w:hint="eastAsia" w:ascii="宋体" w:hAnsi="宋体" w:eastAsia="宋体" w:cs="宋体"/>
          <w:color w:val="000000" w:themeColor="text1"/>
          <w:kern w:val="0"/>
          <w:sz w:val="24"/>
          <w:szCs w:val="24"/>
          <w:highlight w:val="none"/>
          <w14:textFill>
            <w14:solidFill>
              <w14:schemeClr w14:val="tx1"/>
            </w14:solidFill>
          </w14:textFill>
        </w:rPr>
        <w:t>对因不可抗力导致工期延误，合理顺延合同工期，对于停工期间或工期延误增加的费用承包人应考虑到投标报价中，结算时将不再调整。</w:t>
      </w:r>
    </w:p>
    <w:p w14:paraId="0477F908">
      <w:pPr>
        <w:widowControl/>
        <w:adjustRightInd w:val="0"/>
        <w:snapToGrid w:val="0"/>
        <w:spacing w:line="360" w:lineRule="auto"/>
        <w:ind w:firstLine="480" w:firstLineChars="200"/>
        <w:jc w:val="left"/>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（八）</w:t>
      </w:r>
      <w:r>
        <w:rPr>
          <w:rFonts w:hint="eastAsia" w:ascii="宋体" w:hAnsi="宋体" w:eastAsia="宋体" w:cs="宋体"/>
          <w:color w:val="000000" w:themeColor="text1"/>
          <w:kern w:val="0"/>
          <w:sz w:val="24"/>
          <w:szCs w:val="24"/>
          <w:highlight w:val="none"/>
          <w14:textFill>
            <w14:solidFill>
              <w14:schemeClr w14:val="tx1"/>
            </w14:solidFill>
          </w14:textFill>
        </w:rPr>
        <w:t>现场满足环保及政府相关要求。</w:t>
      </w:r>
    </w:p>
    <w:p w14:paraId="43C7CA41">
      <w:pPr>
        <w:widowControl/>
        <w:adjustRightInd w:val="0"/>
        <w:snapToGrid w:val="0"/>
        <w:spacing w:line="360" w:lineRule="auto"/>
        <w:ind w:firstLine="480" w:firstLineChars="200"/>
        <w:jc w:val="left"/>
        <w:rPr>
          <w:rFonts w:hint="eastAsia" w:ascii="宋体" w:hAnsi="宋体" w:eastAsia="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lang w:val="en-US" w:eastAsia="zh-CN"/>
          <w14:textFill>
            <w14:solidFill>
              <w14:schemeClr w14:val="tx1"/>
            </w14:solidFill>
          </w14:textFill>
        </w:rPr>
        <w:t>（九）</w:t>
      </w:r>
      <w:r>
        <w:rPr>
          <w:rFonts w:hint="eastAsia" w:ascii="宋体" w:hAnsi="宋体" w:eastAsia="宋体" w:cs="宋体"/>
          <w:color w:val="000000" w:themeColor="text1"/>
          <w:kern w:val="0"/>
          <w:sz w:val="24"/>
          <w:szCs w:val="24"/>
          <w:highlight w:val="none"/>
          <w14:textFill>
            <w14:solidFill>
              <w14:schemeClr w14:val="tx1"/>
            </w14:solidFill>
          </w14:textFill>
        </w:rPr>
        <w:t>承包人应充分熟悉图纸，并在合同签订后5天内提供工程量清单复核报告，未能及时提供的每延误一天处以1000元违约金，工程量清单复核报告中未能提出工程量清单偏差的项目，结算时按不利于承包人的原则处理。</w:t>
      </w:r>
    </w:p>
    <w:p w14:paraId="30C84D9D">
      <w:pPr>
        <w:shd w:val="clear"/>
        <w:spacing w:line="400" w:lineRule="exact"/>
        <w:ind w:right="-109" w:rightChars="-52"/>
        <w:rPr>
          <w:rFonts w:ascii="宋体" w:hAnsi="宋体"/>
          <w:b/>
          <w:bCs/>
          <w:color w:val="000000" w:themeColor="text1"/>
          <w:sz w:val="24"/>
          <w:szCs w:val="24"/>
          <w:highlight w:val="none"/>
          <w:lang w:val="zh-CN"/>
          <w14:textFill>
            <w14:solidFill>
              <w14:schemeClr w14:val="tx1"/>
            </w14:solidFill>
          </w14:textFill>
        </w:rPr>
      </w:pPr>
      <w:r>
        <w:rPr>
          <w:rFonts w:hint="eastAsia" w:ascii="宋体" w:hAnsi="宋体"/>
          <w:b/>
          <w:bCs/>
          <w:color w:val="000000" w:themeColor="text1"/>
          <w:sz w:val="24"/>
          <w:szCs w:val="24"/>
          <w:highlight w:val="none"/>
          <w:lang w:val="zh-CN"/>
          <w14:textFill>
            <w14:solidFill>
              <w14:schemeClr w14:val="tx1"/>
            </w14:solidFill>
          </w14:textFill>
        </w:rPr>
        <w:t>★</w:t>
      </w:r>
      <w:r>
        <w:rPr>
          <w:rFonts w:hint="eastAsia" w:ascii="宋体" w:hAnsi="宋体"/>
          <w:b/>
          <w:bCs/>
          <w:color w:val="000000" w:themeColor="text1"/>
          <w:sz w:val="24"/>
          <w:szCs w:val="24"/>
          <w:highlight w:val="none"/>
          <w:lang w:eastAsia="zh-CN"/>
          <w14:textFill>
            <w14:solidFill>
              <w14:schemeClr w14:val="tx1"/>
            </w14:solidFill>
          </w14:textFill>
        </w:rPr>
        <w:t>十</w:t>
      </w:r>
      <w:r>
        <w:rPr>
          <w:rFonts w:hint="eastAsia" w:ascii="宋体" w:hAnsi="宋体"/>
          <w:b/>
          <w:bCs/>
          <w:color w:val="000000" w:themeColor="text1"/>
          <w:sz w:val="24"/>
          <w:szCs w:val="24"/>
          <w:highlight w:val="none"/>
          <w:lang w:val="zh-CN"/>
          <w14:textFill>
            <w14:solidFill>
              <w14:schemeClr w14:val="tx1"/>
            </w14:solidFill>
          </w14:textFill>
        </w:rPr>
        <w:t>、廉政承诺书</w:t>
      </w:r>
    </w:p>
    <w:p w14:paraId="4BA747D2">
      <w:pPr>
        <w:shd w:val="clear"/>
        <w:spacing w:line="400" w:lineRule="exact"/>
        <w:ind w:right="-109" w:rightChars="-52"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供应商</w:t>
      </w:r>
      <w:r>
        <w:rPr>
          <w:rFonts w:hint="eastAsia" w:ascii="宋体" w:hAnsi="宋体" w:cs="宋体"/>
          <w:color w:val="000000" w:themeColor="text1"/>
          <w:sz w:val="24"/>
          <w:highlight w:val="none"/>
          <w14:textFill>
            <w14:solidFill>
              <w14:schemeClr w14:val="tx1"/>
            </w14:solidFill>
          </w14:textFill>
        </w:rPr>
        <w:t xml:space="preserve">须按“第六章 附件六 《投标单位廉政承诺书》”（如未按要求提供承诺书将引起投标文件无效）。 </w:t>
      </w:r>
    </w:p>
    <w:p w14:paraId="52A9B061">
      <w:pPr>
        <w:shd w:val="clear"/>
        <w:spacing w:line="400" w:lineRule="exact"/>
        <w:ind w:right="-109" w:rightChars="-52"/>
        <w:rPr>
          <w:rFonts w:ascii="宋体" w:hAnsi="宋体"/>
          <w:b/>
          <w:bCs/>
          <w:color w:val="000000" w:themeColor="text1"/>
          <w:sz w:val="24"/>
          <w:szCs w:val="24"/>
          <w:highlight w:val="none"/>
          <w:lang w:val="zh-CN"/>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★十</w:t>
      </w:r>
      <w:r>
        <w:rPr>
          <w:rFonts w:hint="eastAsia" w:ascii="宋体" w:hAnsi="宋体"/>
          <w:b/>
          <w:bCs/>
          <w:color w:val="000000" w:themeColor="text1"/>
          <w:sz w:val="24"/>
          <w:szCs w:val="24"/>
          <w:highlight w:val="none"/>
          <w:lang w:eastAsia="zh-CN"/>
          <w14:textFill>
            <w14:solidFill>
              <w14:schemeClr w14:val="tx1"/>
            </w14:solidFill>
          </w14:textFill>
        </w:rPr>
        <w:t>一</w:t>
      </w:r>
      <w:r>
        <w:rPr>
          <w:rFonts w:hint="eastAsia" w:ascii="宋体" w:hAnsi="宋体"/>
          <w:b/>
          <w:bCs/>
          <w:color w:val="000000" w:themeColor="text1"/>
          <w:sz w:val="24"/>
          <w:szCs w:val="24"/>
          <w:highlight w:val="none"/>
          <w:lang w:val="zh-CN"/>
          <w14:textFill>
            <w14:solidFill>
              <w14:schemeClr w14:val="tx1"/>
            </w14:solidFill>
          </w14:textFill>
        </w:rPr>
        <w:t>、磋商保证金</w:t>
      </w:r>
    </w:p>
    <w:p w14:paraId="2A4D5643">
      <w:pPr>
        <w:shd w:val="clear"/>
        <w:spacing w:line="400" w:lineRule="exact"/>
        <w:ind w:right="-109" w:rightChars="-52" w:firstLine="480" w:firstLineChars="200"/>
        <w:rPr>
          <w:rFonts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磋商保证金金额：人民币</w:t>
      </w:r>
      <w:r>
        <w:rPr>
          <w:rFonts w:hint="eastAsia" w:ascii="宋体" w:hAnsi="宋体"/>
          <w:color w:val="000000" w:themeColor="text1"/>
          <w:sz w:val="24"/>
          <w:szCs w:val="24"/>
          <w:highlight w:val="none"/>
          <w:lang w:val="en-US" w:eastAsia="zh-CN"/>
          <w14:textFill>
            <w14:solidFill>
              <w14:schemeClr w14:val="tx1"/>
            </w14:solidFill>
          </w14:textFill>
        </w:rPr>
        <w:t>80</w:t>
      </w:r>
      <w:r>
        <w:rPr>
          <w:rFonts w:hint="eastAsia" w:ascii="宋体" w:hAnsi="宋体"/>
          <w:color w:val="000000" w:themeColor="text1"/>
          <w:sz w:val="24"/>
          <w:szCs w:val="24"/>
          <w:highlight w:val="none"/>
          <w14:textFill>
            <w14:solidFill>
              <w14:schemeClr w14:val="tx1"/>
            </w14:solidFill>
          </w14:textFill>
        </w:rPr>
        <w:t>00</w:t>
      </w:r>
      <w:r>
        <w:rPr>
          <w:rFonts w:hint="eastAsia" w:ascii="宋体" w:hAnsi="宋体"/>
          <w:color w:val="000000" w:themeColor="text1"/>
          <w:sz w:val="24"/>
          <w:szCs w:val="24"/>
          <w:highlight w:val="none"/>
          <w:lang w:val="zh-CN"/>
          <w14:textFill>
            <w14:solidFill>
              <w14:schemeClr w14:val="tx1"/>
            </w14:solidFill>
          </w14:textFill>
        </w:rPr>
        <w:t xml:space="preserve">元（大写：捌仟元圆 ） </w:t>
      </w:r>
    </w:p>
    <w:p w14:paraId="4A7D481D">
      <w:pPr>
        <w:shd w:val="clear"/>
        <w:spacing w:line="400" w:lineRule="exact"/>
        <w:ind w:right="-109" w:rightChars="-52" w:firstLine="480" w:firstLineChars="200"/>
        <w:rPr>
          <w:rFonts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磋商保证金和服务费银行及账号： </w:t>
      </w:r>
    </w:p>
    <w:p w14:paraId="443F56AC">
      <w:pPr>
        <w:shd w:val="clear"/>
        <w:spacing w:line="400" w:lineRule="exact"/>
        <w:ind w:right="-109" w:rightChars="-52" w:firstLine="480" w:firstLineChars="200"/>
        <w:rPr>
          <w:rFonts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开户单位：南京苏宁工程咨询有限公司</w:t>
      </w:r>
    </w:p>
    <w:p w14:paraId="16DEA255">
      <w:pPr>
        <w:shd w:val="clear"/>
        <w:spacing w:line="400" w:lineRule="exact"/>
        <w:ind w:right="-109" w:rightChars="-52" w:firstLine="480" w:firstLineChars="200"/>
        <w:rPr>
          <w:rFonts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开户银行：南京银行中山东路支行 </w:t>
      </w:r>
    </w:p>
    <w:p w14:paraId="4807BA76">
      <w:pPr>
        <w:shd w:val="clear"/>
        <w:spacing w:line="400" w:lineRule="exact"/>
        <w:ind w:right="-109" w:rightChars="-52" w:firstLine="480" w:firstLineChars="200"/>
        <w:rPr>
          <w:rFonts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账号：0168200000000605 </w:t>
      </w:r>
    </w:p>
    <w:p w14:paraId="1C99A65D">
      <w:pPr>
        <w:shd w:val="clear"/>
        <w:spacing w:line="400" w:lineRule="exact"/>
        <w:ind w:right="-109" w:rightChars="-52" w:firstLine="480" w:firstLineChars="200"/>
        <w:rPr>
          <w:rFonts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汇款时需备注：SNZX-20250768保证金</w:t>
      </w:r>
    </w:p>
    <w:p w14:paraId="5D5F29F8">
      <w:pPr>
        <w:pStyle w:val="15"/>
        <w:shd w:val="clear"/>
        <w:ind w:left="0" w:firstLine="480" w:firstLineChars="200"/>
        <w:rPr>
          <w:rFonts w:ascii="宋体" w:hAnsi="宋体" w:eastAsia="宋体"/>
          <w:color w:val="000000" w:themeColor="text1"/>
          <w:kern w:val="2"/>
          <w:sz w:val="24"/>
          <w:szCs w:val="24"/>
          <w:highlight w:val="none"/>
          <w:lang w:val="zh-CN"/>
          <w14:textFill>
            <w14:solidFill>
              <w14:schemeClr w14:val="tx1"/>
            </w14:solidFill>
          </w14:textFill>
        </w:rPr>
      </w:pPr>
      <w:r>
        <w:rPr>
          <w:rFonts w:hint="eastAsia" w:ascii="宋体" w:hAnsi="宋体" w:eastAsia="宋体"/>
          <w:color w:val="000000" w:themeColor="text1"/>
          <w:kern w:val="2"/>
          <w:sz w:val="24"/>
          <w:szCs w:val="24"/>
          <w:highlight w:val="none"/>
          <w:lang w:val="zh-CN"/>
          <w14:textFill>
            <w14:solidFill>
              <w14:schemeClr w14:val="tx1"/>
            </w14:solidFill>
          </w14:textFill>
        </w:rPr>
        <w:t>磋商保证金应在投标截止时间前递交到南京苏宁工程咨询有限公司，并将磋商保证金缴纳凭证复印件编入响应文件中。</w:t>
      </w:r>
    </w:p>
    <w:bookmarkEnd w:id="87"/>
    <w:p w14:paraId="78A4D798">
      <w:pPr>
        <w:shd w:val="clear"/>
        <w:spacing w:line="360" w:lineRule="auto"/>
        <w:rPr>
          <w:rFonts w:ascii="宋体" w:hAnsi="宋体" w:cs="宋体"/>
          <w:b/>
          <w:color w:val="000000" w:themeColor="text1"/>
          <w:kern w:val="0"/>
          <w:sz w:val="24"/>
          <w:highlight w:val="none"/>
          <w14:textFill>
            <w14:solidFill>
              <w14:schemeClr w14:val="tx1"/>
            </w14:solidFill>
          </w14:textFill>
        </w:rPr>
      </w:pPr>
      <w:bookmarkStart w:id="88" w:name="_Toc122415897"/>
    </w:p>
    <w:p w14:paraId="4514D859">
      <w:pPr>
        <w:numPr>
          <w:ilvl w:val="0"/>
          <w:numId w:val="3"/>
        </w:numPr>
        <w:tabs>
          <w:tab w:val="center" w:pos="4567"/>
        </w:tabs>
        <w:spacing w:line="360" w:lineRule="auto"/>
        <w:ind w:left="0" w:leftChars="0" w:firstLine="0" w:firstLineChars="0"/>
        <w:jc w:val="center"/>
        <w:outlineLvl w:val="0"/>
        <w:rPr>
          <w:rFonts w:hint="eastAsia" w:eastAsia="黑体"/>
          <w:bCs/>
          <w:color w:val="000000" w:themeColor="text1"/>
          <w:sz w:val="36"/>
          <w:szCs w:val="36"/>
          <w:highlight w:val="none"/>
          <w14:textFill>
            <w14:solidFill>
              <w14:schemeClr w14:val="tx1"/>
            </w14:solidFill>
          </w14:textFill>
        </w:rPr>
      </w:pPr>
      <w:r>
        <w:rPr>
          <w:rFonts w:hint="eastAsia" w:eastAsia="黑体"/>
          <w:bCs/>
          <w:color w:val="000000" w:themeColor="text1"/>
          <w:sz w:val="36"/>
          <w:szCs w:val="36"/>
          <w:highlight w:val="none"/>
          <w14:textFill>
            <w14:solidFill>
              <w14:schemeClr w14:val="tx1"/>
            </w14:solidFill>
          </w14:textFill>
        </w:rPr>
        <w:br w:type="page"/>
      </w:r>
      <w:bookmarkStart w:id="89" w:name="_Toc22564"/>
      <w:bookmarkStart w:id="90" w:name="_Toc5802"/>
      <w:bookmarkStart w:id="91" w:name="_Toc16820"/>
      <w:bookmarkStart w:id="92" w:name="_Toc22567"/>
      <w:r>
        <w:rPr>
          <w:rFonts w:hint="eastAsia" w:eastAsia="黑体"/>
          <w:bCs/>
          <w:color w:val="000000" w:themeColor="text1"/>
          <w:sz w:val="36"/>
          <w:szCs w:val="36"/>
          <w:highlight w:val="none"/>
          <w14:textFill>
            <w14:solidFill>
              <w14:schemeClr w14:val="tx1"/>
            </w14:solidFill>
          </w14:textFill>
        </w:rPr>
        <w:t>合同主要条款及格式</w:t>
      </w:r>
      <w:bookmarkEnd w:id="89"/>
      <w:bookmarkEnd w:id="90"/>
      <w:bookmarkEnd w:id="91"/>
      <w:bookmarkEnd w:id="92"/>
    </w:p>
    <w:p w14:paraId="2005AF95">
      <w:pPr>
        <w:numPr>
          <w:ilvl w:val="0"/>
          <w:numId w:val="0"/>
        </w:numPr>
        <w:tabs>
          <w:tab w:val="center" w:pos="4567"/>
        </w:tabs>
        <w:spacing w:line="360" w:lineRule="auto"/>
        <w:ind w:leftChars="0"/>
        <w:jc w:val="both"/>
        <w:outlineLvl w:val="9"/>
        <w:rPr>
          <w:rFonts w:hint="eastAsia" w:eastAsia="黑体"/>
          <w:bCs/>
          <w:color w:val="000000" w:themeColor="text1"/>
          <w:sz w:val="36"/>
          <w:szCs w:val="36"/>
          <w:highlight w:val="none"/>
          <w14:textFill>
            <w14:solidFill>
              <w14:schemeClr w14:val="tx1"/>
            </w14:solidFill>
          </w14:textFill>
        </w:rPr>
      </w:pPr>
    </w:p>
    <w:p w14:paraId="22D331E4">
      <w:pPr>
        <w:keepNext/>
        <w:keepLines/>
        <w:numPr>
          <w:ilvl w:val="1"/>
          <w:numId w:val="4"/>
        </w:numPr>
        <w:spacing w:before="260" w:after="260" w:line="416" w:lineRule="auto"/>
        <w:jc w:val="center"/>
        <w:outlineLvl w:val="9"/>
        <w:rPr>
          <w:rFonts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第一部分 合同协议书</w:t>
      </w:r>
    </w:p>
    <w:p w14:paraId="200C1415">
      <w:pPr>
        <w:spacing w:line="360" w:lineRule="auto"/>
        <w:rPr>
          <w:rFonts w:ascii="宋体" w:hAnsi="宋体" w:cs="宋体"/>
          <w:b/>
          <w:color w:val="000000" w:themeColor="text1"/>
          <w:sz w:val="24"/>
          <w:highlight w:val="none"/>
          <w:u w:val="singl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发包人（全称）：</w:t>
      </w:r>
      <w:r>
        <w:rPr>
          <w:rFonts w:hint="eastAsia" w:ascii="宋体" w:hAnsi="宋体" w:cs="宋体"/>
          <w:b/>
          <w:color w:val="000000" w:themeColor="text1"/>
          <w:sz w:val="24"/>
          <w:szCs w:val="24"/>
          <w:highlight w:val="none"/>
          <w:u w:val="single"/>
          <w14:textFill>
            <w14:solidFill>
              <w14:schemeClr w14:val="tx1"/>
            </w14:solidFill>
          </w14:textFill>
        </w:rPr>
        <w:t>中国药科大学</w:t>
      </w:r>
    </w:p>
    <w:p w14:paraId="2B1C8392">
      <w:pPr>
        <w:spacing w:line="360" w:lineRule="auto"/>
        <w:rPr>
          <w:rFonts w:ascii="宋体" w:hAnsi="宋体" w:cs="宋体"/>
          <w:b/>
          <w:color w:val="000000" w:themeColor="text1"/>
          <w:sz w:val="24"/>
          <w:highlight w:val="none"/>
          <w:u w:val="singl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承包人（全称）：</w:t>
      </w:r>
      <w:r>
        <w:rPr>
          <w:rFonts w:hint="eastAsia" w:ascii="宋体" w:hAnsi="宋体" w:cs="宋体"/>
          <w:b/>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u w:val="single"/>
          <w14:textFill>
            <w14:solidFill>
              <w14:schemeClr w14:val="tx1"/>
            </w14:solidFill>
          </w14:textFill>
        </w:rPr>
        <w:t xml:space="preserve">            </w:t>
      </w:r>
    </w:p>
    <w:p w14:paraId="2F3DB80C">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根据《中华人民共和国民法典》、《中华人民共和国建筑法》及有关法律规定，遵循平等、自愿、公平和诚实信用的原则，双方就</w:t>
      </w:r>
      <w:r>
        <w:rPr>
          <w:rFonts w:hint="eastAsia" w:ascii="宋体" w:hAnsi="宋体" w:cs="宋体"/>
          <w:color w:val="000000" w:themeColor="text1"/>
          <w:sz w:val="24"/>
          <w:szCs w:val="24"/>
          <w:highlight w:val="none"/>
          <w:u w:val="single"/>
          <w:lang w:eastAsia="zh-CN"/>
          <w14:textFill>
            <w14:solidFill>
              <w14:schemeClr w14:val="tx1"/>
            </w14:solidFill>
          </w14:textFill>
        </w:rPr>
        <w:t>中国药科大学玄武门校区学生宿舍浴室改造项目</w:t>
      </w:r>
      <w:r>
        <w:rPr>
          <w:rFonts w:hint="eastAsia" w:ascii="宋体" w:hAnsi="宋体" w:cs="宋体"/>
          <w:color w:val="000000" w:themeColor="text1"/>
          <w:sz w:val="24"/>
          <w:szCs w:val="24"/>
          <w:highlight w:val="none"/>
          <w14:textFill>
            <w14:solidFill>
              <w14:schemeClr w14:val="tx1"/>
            </w14:solidFill>
          </w14:textFill>
        </w:rPr>
        <w:t>及有关事项协商一致，共同达成如下协议：</w:t>
      </w:r>
    </w:p>
    <w:p w14:paraId="59338287">
      <w:pPr>
        <w:keepNext/>
        <w:keepLines/>
        <w:numPr>
          <w:ilvl w:val="3"/>
          <w:numId w:val="4"/>
        </w:numPr>
        <w:spacing w:before="120" w:after="120" w:line="360" w:lineRule="auto"/>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一、工程概况</w:t>
      </w:r>
    </w:p>
    <w:p w14:paraId="0982C1DA">
      <w:pPr>
        <w:numPr>
          <w:ilvl w:val="0"/>
          <w:numId w:val="5"/>
        </w:numPr>
        <w:spacing w:line="360" w:lineRule="auto"/>
        <w:ind w:left="488" w:leftChars="228" w:hanging="9" w:hangingChars="4"/>
        <w:outlineLvl w:val="9"/>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工程名称：</w:t>
      </w:r>
      <w:r>
        <w:rPr>
          <w:rFonts w:hint="eastAsia" w:ascii="宋体" w:hAnsi="宋体" w:cs="宋体"/>
          <w:color w:val="000000" w:themeColor="text1"/>
          <w:sz w:val="24"/>
          <w:szCs w:val="24"/>
          <w:highlight w:val="none"/>
          <w:u w:val="single"/>
          <w:lang w:eastAsia="zh-CN"/>
          <w14:textFill>
            <w14:solidFill>
              <w14:schemeClr w14:val="tx1"/>
            </w14:solidFill>
          </w14:textFill>
        </w:rPr>
        <w:t>中国药科大学玄武门校区学生宿舍浴室改造项目</w:t>
      </w:r>
    </w:p>
    <w:p w14:paraId="5CB369C8">
      <w:pPr>
        <w:spacing w:line="360" w:lineRule="auto"/>
        <w:ind w:left="470" w:leftChars="224"/>
        <w:outlineLvl w:val="9"/>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2.工程地点：</w:t>
      </w:r>
      <w:r>
        <w:rPr>
          <w:rFonts w:hint="eastAsia" w:ascii="宋体" w:hAnsi="宋体" w:cs="宋体"/>
          <w:color w:val="000000" w:themeColor="text1"/>
          <w:sz w:val="24"/>
          <w:szCs w:val="24"/>
          <w:highlight w:val="none"/>
          <w:u w:val="single"/>
          <w14:textFill>
            <w14:solidFill>
              <w14:schemeClr w14:val="tx1"/>
            </w14:solidFill>
          </w14:textFill>
        </w:rPr>
        <w:t>中国药科大学玄武门校区</w:t>
      </w:r>
    </w:p>
    <w:p w14:paraId="32E937DD">
      <w:pPr>
        <w:spacing w:line="360" w:lineRule="auto"/>
        <w:ind w:firstLine="470" w:firstLineChars="196"/>
        <w:outlineLvl w:val="9"/>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3.资金来源：</w:t>
      </w:r>
      <w:r>
        <w:rPr>
          <w:rFonts w:hint="eastAsia" w:ascii="宋体" w:hAnsi="宋体" w:cs="宋体"/>
          <w:color w:val="000000" w:themeColor="text1"/>
          <w:sz w:val="24"/>
          <w:szCs w:val="24"/>
          <w:highlight w:val="none"/>
          <w:u w:val="single"/>
          <w14:textFill>
            <w14:solidFill>
              <w14:schemeClr w14:val="tx1"/>
            </w14:solidFill>
          </w14:textFill>
        </w:rPr>
        <w:t>财政资金       </w:t>
      </w:r>
      <w:r>
        <w:rPr>
          <w:rFonts w:hint="eastAsia" w:ascii="宋体" w:hAnsi="宋体" w:cs="宋体"/>
          <w:bCs/>
          <w:color w:val="000000" w:themeColor="text1"/>
          <w:sz w:val="24"/>
          <w:szCs w:val="24"/>
          <w:highlight w:val="none"/>
          <w14:textFill>
            <w14:solidFill>
              <w14:schemeClr w14:val="tx1"/>
            </w14:solidFill>
          </w14:textFill>
        </w:rPr>
        <w:t>。</w:t>
      </w:r>
    </w:p>
    <w:p w14:paraId="7F287839">
      <w:pPr>
        <w:spacing w:line="348" w:lineRule="auto"/>
        <w:ind w:firstLine="480" w:firstLineChars="200"/>
        <w:jc w:val="left"/>
        <w:outlineLvl w:val="9"/>
        <w:rPr>
          <w:rFonts w:ascii="宋体" w:hAnsi="宋体"/>
          <w:color w:val="000000" w:themeColor="text1"/>
          <w:szCs w:val="21"/>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4.工程内容：</w:t>
      </w:r>
      <w:r>
        <w:rPr>
          <w:rFonts w:hint="eastAsia" w:ascii="宋体" w:hAnsi="宋体" w:cs="宋体"/>
          <w:color w:val="000000" w:themeColor="text1"/>
          <w:sz w:val="24"/>
          <w:szCs w:val="24"/>
          <w:highlight w:val="none"/>
          <w14:textFill>
            <w14:solidFill>
              <w14:schemeClr w14:val="tx1"/>
            </w14:solidFill>
          </w14:textFill>
        </w:rPr>
        <w:t>本项目施工内容包括但不限于玄武门校区宿舍内卫生间拆除工程、渗漏处理以及隔断、给排水管、灯具、面板、洁具、配电箱、开关插座、热水器安装、计费系统购置安装等。具体详见采购需求、招标工程量清单及图纸。</w:t>
      </w:r>
    </w:p>
    <w:p w14:paraId="1402F6FD">
      <w:pPr>
        <w:spacing w:line="360" w:lineRule="auto"/>
        <w:ind w:firstLine="470" w:firstLineChars="196"/>
        <w:outlineLvl w:val="9"/>
        <w:rPr>
          <w:rFonts w:ascii="宋体" w:hAnsi="宋体" w:cs="宋体"/>
          <w:bCs/>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群体工程应附《承包人承揽工程项目一览表》。</w:t>
      </w:r>
    </w:p>
    <w:p w14:paraId="36F1DBF8">
      <w:pPr>
        <w:spacing w:line="360" w:lineRule="auto"/>
        <w:ind w:firstLine="470" w:firstLineChars="196"/>
        <w:outlineLvl w:val="9"/>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5.工程承包范围：</w:t>
      </w:r>
    </w:p>
    <w:p w14:paraId="661B3137">
      <w:pPr>
        <w:spacing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图纸及工程量清单范围内所有内容</w:t>
      </w:r>
      <w:r>
        <w:rPr>
          <w:rFonts w:hint="eastAsia" w:ascii="宋体" w:hAnsi="宋体" w:cs="宋体"/>
          <w:color w:val="000000" w:themeColor="text1"/>
          <w:sz w:val="24"/>
          <w:szCs w:val="24"/>
          <w:highlight w:val="none"/>
          <w14:textFill>
            <w14:solidFill>
              <w14:schemeClr w14:val="tx1"/>
            </w14:solidFill>
          </w14:textFill>
        </w:rPr>
        <w:t>。</w:t>
      </w:r>
    </w:p>
    <w:p w14:paraId="2C9761BF">
      <w:pPr>
        <w:keepNext/>
        <w:keepLines/>
        <w:numPr>
          <w:ilvl w:val="0"/>
          <w:numId w:val="6"/>
        </w:numPr>
        <w:spacing w:before="120" w:after="120" w:line="360" w:lineRule="auto"/>
        <w:outlineLvl w:val="9"/>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合同工期</w:t>
      </w:r>
    </w:p>
    <w:p w14:paraId="0138A24B">
      <w:pPr>
        <w:spacing w:line="360" w:lineRule="auto"/>
        <w:ind w:firstLine="459"/>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计划开工日期</w:t>
      </w:r>
      <w:r>
        <w:rPr>
          <w:rFonts w:hint="eastAsia"/>
          <w:color w:val="000000" w:themeColor="text1"/>
          <w:highlight w:val="none"/>
          <w:u w:val="single"/>
          <w14:textFill>
            <w14:solidFill>
              <w14:schemeClr w14:val="tx1"/>
            </w14:solidFill>
          </w14:textFill>
        </w:rPr>
        <w:t>202</w:t>
      </w:r>
      <w:r>
        <w:rPr>
          <w:rFonts w:hint="eastAsia"/>
          <w:color w:val="000000" w:themeColor="text1"/>
          <w:highlight w:val="none"/>
          <w:u w:val="single"/>
          <w:lang w:val="en-US" w:eastAsia="zh-CN"/>
          <w14:textFill>
            <w14:solidFill>
              <w14:schemeClr w14:val="tx1"/>
            </w14:solidFill>
          </w14:textFill>
        </w:rPr>
        <w:t>6</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 xml:space="preserve">年 </w:t>
      </w:r>
      <w:r>
        <w:rPr>
          <w:rFonts w:hint="eastAsia"/>
          <w:color w:val="000000" w:themeColor="text1"/>
          <w:highlight w:val="none"/>
          <w:u w:val="single"/>
          <w14:textFill>
            <w14:solidFill>
              <w14:schemeClr w14:val="tx1"/>
            </w14:solidFill>
          </w14:textFill>
        </w:rPr>
        <w:t xml:space="preserve"> </w:t>
      </w: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月</w:t>
      </w:r>
      <w:r>
        <w:rPr>
          <w:rFonts w:hint="eastAsia"/>
          <w:color w:val="000000" w:themeColor="text1"/>
          <w:highlight w:val="none"/>
          <w:u w:val="single"/>
          <w14:textFill>
            <w14:solidFill>
              <w14:schemeClr w14:val="tx1"/>
            </w14:solidFill>
          </w14:textFill>
        </w:rPr>
        <w:t xml:space="preserve"> </w:t>
      </w: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日</w:t>
      </w:r>
      <w:r>
        <w:rPr>
          <w:rFonts w:hint="eastAsia" w:ascii="宋体" w:hAnsi="宋体" w:cs="宋体"/>
          <w:color w:val="000000" w:themeColor="text1"/>
          <w:sz w:val="24"/>
          <w:szCs w:val="24"/>
          <w:highlight w:val="none"/>
          <w:u w:val="single"/>
          <w14:textFill>
            <w14:solidFill>
              <w14:schemeClr w14:val="tx1"/>
            </w14:solidFill>
          </w14:textFill>
        </w:rPr>
        <w:t>（发包人通知为准）。</w:t>
      </w:r>
    </w:p>
    <w:p w14:paraId="292BC8A3">
      <w:pPr>
        <w:keepNext/>
        <w:keepLines/>
        <w:spacing w:before="120" w:after="120"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计划竣工日期：</w:t>
      </w:r>
      <w:r>
        <w:rPr>
          <w:rFonts w:hint="eastAsia"/>
          <w:color w:val="000000" w:themeColor="text1"/>
          <w:highlight w:val="none"/>
          <w:u w:val="single"/>
          <w14:textFill>
            <w14:solidFill>
              <w14:schemeClr w14:val="tx1"/>
            </w14:solidFill>
          </w14:textFill>
        </w:rPr>
        <w:t>202</w:t>
      </w:r>
      <w:r>
        <w:rPr>
          <w:rFonts w:hint="eastAsia"/>
          <w:color w:val="000000" w:themeColor="text1"/>
          <w:highlight w:val="none"/>
          <w:u w:val="single"/>
          <w:lang w:val="en-US" w:eastAsia="zh-CN"/>
          <w14:textFill>
            <w14:solidFill>
              <w14:schemeClr w14:val="tx1"/>
            </w14:solidFill>
          </w14:textFill>
        </w:rPr>
        <w:t>6</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 xml:space="preserve">年 </w:t>
      </w:r>
      <w:r>
        <w:rPr>
          <w:rFonts w:hint="eastAsia"/>
          <w:color w:val="000000" w:themeColor="text1"/>
          <w:highlight w:val="none"/>
          <w:u w:val="single"/>
          <w14:textFill>
            <w14:solidFill>
              <w14:schemeClr w14:val="tx1"/>
            </w14:solidFill>
          </w14:textFill>
        </w:rPr>
        <w:t xml:space="preserve"> </w:t>
      </w: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月</w:t>
      </w:r>
      <w:r>
        <w:rPr>
          <w:rFonts w:hint="eastAsia"/>
          <w:color w:val="000000" w:themeColor="text1"/>
          <w:highlight w:val="none"/>
          <w:u w:val="single"/>
          <w14:textFill>
            <w14:solidFill>
              <w14:schemeClr w14:val="tx1"/>
            </w14:solidFill>
          </w14:textFill>
        </w:rPr>
        <w:t xml:space="preserve"> </w:t>
      </w: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日</w:t>
      </w:r>
      <w:r>
        <w:rPr>
          <w:rFonts w:hint="eastAsia" w:ascii="宋体" w:hAnsi="宋体" w:cs="宋体"/>
          <w:color w:val="000000" w:themeColor="text1"/>
          <w:sz w:val="24"/>
          <w:szCs w:val="24"/>
          <w:highlight w:val="none"/>
          <w14:textFill>
            <w14:solidFill>
              <w14:schemeClr w14:val="tx1"/>
            </w14:solidFill>
          </w14:textFill>
        </w:rPr>
        <w:t>。</w:t>
      </w:r>
    </w:p>
    <w:p w14:paraId="5F3ED4A7">
      <w:pPr>
        <w:spacing w:line="360" w:lineRule="auto"/>
        <w:ind w:firstLine="459"/>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工期总日历天数：</w:t>
      </w:r>
      <w:r>
        <w:rPr>
          <w:rFonts w:hint="eastAsia" w:ascii="宋体" w:hAnsi="宋体" w:cs="宋体"/>
          <w:color w:val="000000" w:themeColor="text1"/>
          <w:sz w:val="24"/>
          <w:szCs w:val="24"/>
          <w:highlight w:val="none"/>
          <w:u w:val="single"/>
          <w14:textFill>
            <w14:solidFill>
              <w14:schemeClr w14:val="tx1"/>
            </w14:solidFill>
          </w14:textFill>
        </w:rPr>
        <w:t>    </w:t>
      </w:r>
      <w:r>
        <w:rPr>
          <w:rFonts w:hint="eastAsia" w:ascii="宋体" w:hAnsi="宋体" w:cs="宋体"/>
          <w:color w:val="000000" w:themeColor="text1"/>
          <w:sz w:val="24"/>
          <w:szCs w:val="24"/>
          <w:highlight w:val="none"/>
          <w14:textFill>
            <w14:solidFill>
              <w14:schemeClr w14:val="tx1"/>
            </w14:solidFill>
          </w14:textFill>
        </w:rPr>
        <w:t>日历天，工期总日历天数与根据前述计划开竣工日期计算的工期天数不一致的，以工期总日历天数为准。</w:t>
      </w:r>
    </w:p>
    <w:p w14:paraId="31B28589">
      <w:pPr>
        <w:keepNext/>
        <w:keepLines/>
        <w:numPr>
          <w:ilvl w:val="3"/>
          <w:numId w:val="4"/>
        </w:numPr>
        <w:spacing w:before="120" w:after="120" w:line="360" w:lineRule="auto"/>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三、质量标准</w:t>
      </w:r>
    </w:p>
    <w:p w14:paraId="11A92090">
      <w:pPr>
        <w:spacing w:line="360" w:lineRule="auto"/>
        <w:ind w:firstLine="480" w:firstLineChars="200"/>
        <w:rPr>
          <w:rFonts w:ascii="宋体" w:hAnsi="宋体" w:cs="宋体"/>
          <w:bCs/>
          <w:snapToGrid w:val="0"/>
          <w:color w:val="000000" w:themeColor="text1"/>
          <w:kern w:val="0"/>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工程质量：</w:t>
      </w:r>
      <w:r>
        <w:rPr>
          <w:rFonts w:hint="eastAsia" w:ascii="宋体" w:hAnsi="宋体" w:cs="宋体"/>
          <w:color w:val="000000" w:themeColor="text1"/>
          <w:sz w:val="24"/>
          <w:szCs w:val="24"/>
          <w:highlight w:val="none"/>
          <w:u w:val="single"/>
          <w14:textFill>
            <w14:solidFill>
              <w14:schemeClr w14:val="tx1"/>
            </w14:solidFill>
          </w14:textFill>
        </w:rPr>
        <w:t>符合国家现行质量验收标准及</w:t>
      </w:r>
      <w:r>
        <w:rPr>
          <w:rFonts w:ascii="宋体" w:hAnsi="宋体" w:cs="宋体"/>
          <w:color w:val="000000" w:themeColor="text1"/>
          <w:sz w:val="24"/>
          <w:szCs w:val="24"/>
          <w:highlight w:val="none"/>
          <w:u w:val="single"/>
          <w14:textFill>
            <w14:solidFill>
              <w14:schemeClr w14:val="tx1"/>
            </w14:solidFill>
          </w14:textFill>
        </w:rPr>
        <w:t>发包人要求</w:t>
      </w:r>
    </w:p>
    <w:p w14:paraId="73558445">
      <w:pPr>
        <w:keepNext/>
        <w:keepLines/>
        <w:numPr>
          <w:ilvl w:val="3"/>
          <w:numId w:val="4"/>
        </w:numPr>
        <w:spacing w:before="120" w:after="120" w:line="360" w:lineRule="auto"/>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四、签约合同价与合同价格形式</w:t>
      </w:r>
      <w:r>
        <w:rPr>
          <w:rFonts w:hint="eastAsia" w:ascii="宋体" w:hAnsi="宋体" w:cs="宋体"/>
          <w:bCs/>
          <w:color w:val="000000" w:themeColor="text1"/>
          <w:sz w:val="24"/>
          <w:szCs w:val="24"/>
          <w:highlight w:val="none"/>
          <w14:textFill>
            <w14:solidFill>
              <w14:schemeClr w14:val="tx1"/>
            </w14:solidFill>
          </w14:textFill>
        </w:rPr>
        <w:tab/>
      </w:r>
    </w:p>
    <w:p w14:paraId="581F1B10">
      <w:pPr>
        <w:spacing w:line="360" w:lineRule="auto"/>
        <w:ind w:firstLine="470" w:firstLineChars="196"/>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1.签约合同价为：</w:t>
      </w:r>
    </w:p>
    <w:p w14:paraId="0716E70C">
      <w:pPr>
        <w:spacing w:line="360" w:lineRule="auto"/>
        <w:ind w:firstLine="600" w:firstLineChars="250"/>
        <w:rPr>
          <w:rFonts w:ascii="宋体" w:hAnsi="宋体"/>
          <w:color w:val="000000" w:themeColor="text1"/>
          <w:sz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人民币（大写）</w:t>
      </w:r>
      <w:r>
        <w:rPr>
          <w:rFonts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元)；</w:t>
      </w:r>
    </w:p>
    <w:p w14:paraId="598BA45C">
      <w:pPr>
        <w:spacing w:line="360" w:lineRule="auto"/>
        <w:ind w:firstLine="470" w:firstLineChars="196"/>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其中：</w:t>
      </w:r>
    </w:p>
    <w:p w14:paraId="2FD99B0B">
      <w:pPr>
        <w:spacing w:line="360" w:lineRule="auto"/>
        <w:ind w:firstLine="470" w:firstLineChars="196"/>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（1）安全文明施工费：</w:t>
      </w:r>
    </w:p>
    <w:p w14:paraId="117C5C57">
      <w:pPr>
        <w:spacing w:line="360" w:lineRule="auto"/>
        <w:ind w:firstLine="1080" w:firstLineChars="450"/>
        <w:rPr>
          <w:rFonts w:ascii="宋体" w:hAnsi="宋体"/>
          <w:color w:val="000000" w:themeColor="text1"/>
          <w:sz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人民币（大写）</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元)；</w:t>
      </w:r>
    </w:p>
    <w:p w14:paraId="3B67C9F2">
      <w:pPr>
        <w:spacing w:line="360" w:lineRule="auto"/>
        <w:ind w:firstLine="470" w:firstLineChars="196"/>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（2）材料和工程设备暂估价金额：</w:t>
      </w:r>
    </w:p>
    <w:p w14:paraId="1A71A403">
      <w:pPr>
        <w:spacing w:line="360" w:lineRule="auto"/>
        <w:ind w:firstLine="1080" w:firstLineChars="450"/>
        <w:rPr>
          <w:rFonts w:ascii="宋体" w:hAnsi="宋体"/>
          <w:color w:val="000000" w:themeColor="text1"/>
          <w:sz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人民币（大写）</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元)；</w:t>
      </w:r>
    </w:p>
    <w:p w14:paraId="2A7B467A">
      <w:pPr>
        <w:spacing w:line="360" w:lineRule="auto"/>
        <w:ind w:firstLine="470" w:firstLineChars="196"/>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（3）专业工程暂估价金额</w:t>
      </w:r>
      <w:r>
        <w:rPr>
          <w:rFonts w:hint="eastAsia" w:ascii="宋体" w:hAnsi="宋体"/>
          <w:bCs/>
          <w:color w:val="000000" w:themeColor="text1"/>
          <w:sz w:val="24"/>
          <w:szCs w:val="24"/>
          <w:highlight w:val="none"/>
          <w14:textFill>
            <w14:solidFill>
              <w14:schemeClr w14:val="tx1"/>
            </w14:solidFill>
          </w14:textFill>
        </w:rPr>
        <w:t>（含规费税金）</w:t>
      </w:r>
      <w:r>
        <w:rPr>
          <w:rFonts w:ascii="宋体" w:hAnsi="宋体"/>
          <w:bCs/>
          <w:color w:val="000000" w:themeColor="text1"/>
          <w:sz w:val="24"/>
          <w:szCs w:val="24"/>
          <w:highlight w:val="none"/>
          <w14:textFill>
            <w14:solidFill>
              <w14:schemeClr w14:val="tx1"/>
            </w14:solidFill>
          </w14:textFill>
        </w:rPr>
        <w:t>：</w:t>
      </w:r>
    </w:p>
    <w:p w14:paraId="0C0C6C39">
      <w:pPr>
        <w:spacing w:line="360" w:lineRule="auto"/>
        <w:ind w:firstLine="1080" w:firstLineChars="450"/>
        <w:rPr>
          <w:rFonts w:ascii="宋体" w:hAnsi="宋体"/>
          <w:color w:val="000000" w:themeColor="text1"/>
          <w:sz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人民币（大写）</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元)；</w:t>
      </w:r>
    </w:p>
    <w:p w14:paraId="789A24CF">
      <w:pPr>
        <w:spacing w:line="360" w:lineRule="auto"/>
        <w:ind w:firstLine="470" w:firstLineChars="196"/>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（4）暂列金额</w:t>
      </w:r>
      <w:r>
        <w:rPr>
          <w:rFonts w:hint="eastAsia" w:ascii="宋体" w:hAnsi="宋体"/>
          <w:bCs/>
          <w:color w:val="000000" w:themeColor="text1"/>
          <w:sz w:val="24"/>
          <w:szCs w:val="24"/>
          <w:highlight w:val="none"/>
          <w14:textFill>
            <w14:solidFill>
              <w14:schemeClr w14:val="tx1"/>
            </w14:solidFill>
          </w14:textFill>
        </w:rPr>
        <w:t>（含规费税金）</w:t>
      </w:r>
      <w:r>
        <w:rPr>
          <w:rFonts w:ascii="宋体" w:hAnsi="宋体"/>
          <w:bCs/>
          <w:color w:val="000000" w:themeColor="text1"/>
          <w:sz w:val="24"/>
          <w:szCs w:val="24"/>
          <w:highlight w:val="none"/>
          <w14:textFill>
            <w14:solidFill>
              <w14:schemeClr w14:val="tx1"/>
            </w14:solidFill>
          </w14:textFill>
        </w:rPr>
        <w:t>：</w:t>
      </w:r>
    </w:p>
    <w:p w14:paraId="288D1E80">
      <w:pPr>
        <w:spacing w:line="360" w:lineRule="auto"/>
        <w:ind w:firstLine="1080" w:firstLineChars="450"/>
        <w:rPr>
          <w:rFonts w:ascii="宋体" w:hAnsi="宋体"/>
          <w:color w:val="000000" w:themeColor="text1"/>
          <w:sz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人民币（大写）</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元)。</w:t>
      </w:r>
    </w:p>
    <w:p w14:paraId="501946A7">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2.合同价格形式：</w:t>
      </w:r>
      <w:r>
        <w:rPr>
          <w:rFonts w:hint="eastAsia" w:ascii="宋体" w:hAnsi="宋体" w:cs="宋体"/>
          <w:color w:val="000000" w:themeColor="text1"/>
          <w:sz w:val="24"/>
          <w:szCs w:val="24"/>
          <w:highlight w:val="none"/>
          <w:u w:val="single"/>
          <w14:textFill>
            <w14:solidFill>
              <w14:schemeClr w14:val="tx1"/>
            </w14:solidFill>
          </w14:textFill>
        </w:rPr>
        <w:t>单价合同</w:t>
      </w:r>
      <w:r>
        <w:rPr>
          <w:rFonts w:hint="eastAsia" w:ascii="宋体" w:hAnsi="宋体" w:cs="宋体"/>
          <w:color w:val="000000" w:themeColor="text1"/>
          <w:sz w:val="24"/>
          <w:szCs w:val="24"/>
          <w:highlight w:val="none"/>
          <w14:textFill>
            <w14:solidFill>
              <w14:schemeClr w14:val="tx1"/>
            </w14:solidFill>
          </w14:textFill>
        </w:rPr>
        <w:t>。</w:t>
      </w:r>
    </w:p>
    <w:p w14:paraId="243581A3">
      <w:pPr>
        <w:keepNext/>
        <w:keepLines/>
        <w:numPr>
          <w:ilvl w:val="3"/>
          <w:numId w:val="4"/>
        </w:numPr>
        <w:spacing w:before="120" w:after="120" w:line="360" w:lineRule="auto"/>
        <w:outlineLvl w:val="9"/>
        <w:rPr>
          <w:rFonts w:ascii="宋体" w:hAnsi="宋体" w:cs="宋体"/>
          <w:bCs/>
          <w:color w:val="000000" w:themeColor="text1"/>
          <w:sz w:val="24"/>
          <w:szCs w:val="24"/>
          <w:highlight w:val="none"/>
          <w14:textFill>
            <w14:solidFill>
              <w14:schemeClr w14:val="tx1"/>
            </w14:solidFill>
          </w14:textFill>
        </w:rPr>
      </w:pPr>
      <w:bookmarkStart w:id="93" w:name="_Toc351203485"/>
      <w:r>
        <w:rPr>
          <w:rFonts w:hint="eastAsia" w:ascii="宋体" w:hAnsi="宋体" w:cs="宋体"/>
          <w:bCs/>
          <w:color w:val="000000" w:themeColor="text1"/>
          <w:sz w:val="24"/>
          <w:szCs w:val="24"/>
          <w:highlight w:val="none"/>
          <w14:textFill>
            <w14:solidFill>
              <w14:schemeClr w14:val="tx1"/>
            </w14:solidFill>
          </w14:textFill>
        </w:rPr>
        <w:t>五、</w:t>
      </w:r>
      <w:bookmarkEnd w:id="93"/>
      <w:r>
        <w:rPr>
          <w:rFonts w:hint="eastAsia" w:ascii="宋体" w:hAnsi="宋体" w:cs="宋体"/>
          <w:bCs/>
          <w:color w:val="000000" w:themeColor="text1"/>
          <w:sz w:val="24"/>
          <w:szCs w:val="24"/>
          <w:highlight w:val="none"/>
          <w14:textFill>
            <w14:solidFill>
              <w14:schemeClr w14:val="tx1"/>
            </w14:solidFill>
          </w14:textFill>
        </w:rPr>
        <w:t>项目经理</w:t>
      </w:r>
    </w:p>
    <w:p w14:paraId="6EFF390B">
      <w:pPr>
        <w:keepNext/>
        <w:keepLines/>
        <w:numPr>
          <w:ilvl w:val="3"/>
          <w:numId w:val="4"/>
        </w:numPr>
        <w:spacing w:before="120" w:after="120" w:line="360" w:lineRule="auto"/>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承包人项目经理：</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 。</w:t>
      </w:r>
    </w:p>
    <w:p w14:paraId="480F766A">
      <w:pPr>
        <w:keepNext/>
        <w:keepLines/>
        <w:numPr>
          <w:ilvl w:val="3"/>
          <w:numId w:val="4"/>
        </w:numPr>
        <w:spacing w:before="120" w:after="120" w:line="360" w:lineRule="auto"/>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六、合同文件构成</w:t>
      </w:r>
    </w:p>
    <w:p w14:paraId="1BF1C1FC">
      <w:pPr>
        <w:spacing w:line="360" w:lineRule="auto"/>
        <w:ind w:firstLine="470" w:firstLineChars="196"/>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本协议书与下列文件一起构成合同文件：</w:t>
      </w:r>
    </w:p>
    <w:p w14:paraId="5740C191">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（1）中标通知书（如果有）；</w:t>
      </w:r>
    </w:p>
    <w:p w14:paraId="4BCBB9A4">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（2）投标函及其附录（如果有）； </w:t>
      </w:r>
    </w:p>
    <w:p w14:paraId="5A51FAC5">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（3）专用合同条款及其附件；</w:t>
      </w:r>
    </w:p>
    <w:p w14:paraId="68394C55">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（4）通用合同条款；</w:t>
      </w:r>
    </w:p>
    <w:p w14:paraId="69F58F2B">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（5）技术标准和要求；</w:t>
      </w:r>
    </w:p>
    <w:p w14:paraId="3F59E57F">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（6）图纸；</w:t>
      </w:r>
    </w:p>
    <w:p w14:paraId="63E33ABE">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（7）已标价工程量清单或预算书；</w:t>
      </w:r>
    </w:p>
    <w:p w14:paraId="2342636B">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（8）其他合同文件。</w:t>
      </w:r>
    </w:p>
    <w:p w14:paraId="41339209">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在合同订立及履行过程中形成的与合同有关的文件均构成合同文件组成部分。</w:t>
      </w:r>
    </w:p>
    <w:p w14:paraId="1BCCF417">
      <w:pPr>
        <w:autoSpaceDE w:val="0"/>
        <w:autoSpaceDN w:val="0"/>
        <w:adjustRightInd w:val="0"/>
        <w:spacing w:line="360" w:lineRule="auto"/>
        <w:ind w:firstLine="480" w:firstLineChars="200"/>
        <w:jc w:val="lef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上述各项合同文件包括合同当事人就该项合同文件所作出的补充和修改，属于同一类内容的文件，应以最新签署的为准。专用合同条款及其附件须经合同当事人签字或盖章。</w:t>
      </w:r>
    </w:p>
    <w:p w14:paraId="38E3F6F3">
      <w:pPr>
        <w:keepNext/>
        <w:keepLines/>
        <w:numPr>
          <w:ilvl w:val="3"/>
          <w:numId w:val="4"/>
        </w:numPr>
        <w:spacing w:before="120" w:after="120" w:line="360" w:lineRule="auto"/>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七、承诺</w:t>
      </w:r>
    </w:p>
    <w:p w14:paraId="2F8BDCCE">
      <w:pPr>
        <w:spacing w:line="360" w:lineRule="auto"/>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1.发包人承诺按照法律规定履行项目审批手续、筹集工程建设资金并按照合同约定的期限和方式支付合同价款。</w:t>
      </w:r>
    </w:p>
    <w:p w14:paraId="60897422">
      <w:pPr>
        <w:spacing w:line="360" w:lineRule="auto"/>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2.承包人承诺按照法律规定及合同约定组织完成工程施工，确保工程质量和安全，不进行转包及违法分包，并在缺陷责任期及保修期内承担相应的工程维修责任。</w:t>
      </w:r>
    </w:p>
    <w:p w14:paraId="61CFCECD">
      <w:pPr>
        <w:spacing w:line="360" w:lineRule="auto"/>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3.发包人和承包人通过招投标形式签订合同的，双方理解并承诺不再就同一工程另行签订与合同实质性内容相背离的协议。</w:t>
      </w:r>
    </w:p>
    <w:p w14:paraId="52E22EAE">
      <w:pPr>
        <w:keepNext/>
        <w:keepLines/>
        <w:numPr>
          <w:ilvl w:val="3"/>
          <w:numId w:val="4"/>
        </w:numPr>
        <w:spacing w:before="120" w:after="120" w:line="360" w:lineRule="auto"/>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八、词语含义</w:t>
      </w:r>
    </w:p>
    <w:p w14:paraId="5DA2102A">
      <w:pPr>
        <w:spacing w:line="360" w:lineRule="auto"/>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本协议书中词语含义与第二部分通用合同条款中赋予的含义相同。</w:t>
      </w:r>
    </w:p>
    <w:p w14:paraId="20CAAECC">
      <w:pPr>
        <w:keepNext/>
        <w:keepLines/>
        <w:numPr>
          <w:ilvl w:val="3"/>
          <w:numId w:val="4"/>
        </w:numPr>
        <w:spacing w:before="120" w:after="120" w:line="360" w:lineRule="auto"/>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九、签订时间</w:t>
      </w:r>
    </w:p>
    <w:p w14:paraId="7C77E376">
      <w:pPr>
        <w:spacing w:line="360" w:lineRule="auto"/>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本合同于</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年</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月</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u w:val="singl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日签订。</w:t>
      </w:r>
    </w:p>
    <w:p w14:paraId="3FCAAE62">
      <w:pPr>
        <w:keepNext/>
        <w:keepLines/>
        <w:numPr>
          <w:ilvl w:val="3"/>
          <w:numId w:val="4"/>
        </w:numPr>
        <w:spacing w:before="120" w:after="120" w:line="360" w:lineRule="auto"/>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十、签订地点</w:t>
      </w:r>
    </w:p>
    <w:p w14:paraId="0BBD1476">
      <w:pPr>
        <w:spacing w:line="360" w:lineRule="auto"/>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本合同在</w:t>
      </w:r>
      <w:r>
        <w:rPr>
          <w:rFonts w:hint="eastAsia" w:ascii="宋体" w:hAnsi="宋体" w:cs="宋体"/>
          <w:bCs/>
          <w:color w:val="000000" w:themeColor="text1"/>
          <w:sz w:val="24"/>
          <w:szCs w:val="24"/>
          <w:highlight w:val="none"/>
          <w:u w:val="single"/>
          <w14:textFill>
            <w14:solidFill>
              <w14:schemeClr w14:val="tx1"/>
            </w14:solidFill>
          </w14:textFill>
        </w:rPr>
        <w:t xml:space="preserve"> 南京市江宁区 </w:t>
      </w:r>
      <w:r>
        <w:rPr>
          <w:rFonts w:hint="eastAsia" w:ascii="宋体" w:hAnsi="宋体" w:cs="宋体"/>
          <w:bCs/>
          <w:color w:val="000000" w:themeColor="text1"/>
          <w:sz w:val="24"/>
          <w:szCs w:val="24"/>
          <w:highlight w:val="none"/>
          <w14:textFill>
            <w14:solidFill>
              <w14:schemeClr w14:val="tx1"/>
            </w14:solidFill>
          </w14:textFill>
        </w:rPr>
        <w:t xml:space="preserve"> 签订。</w:t>
      </w:r>
    </w:p>
    <w:p w14:paraId="3A215065">
      <w:pPr>
        <w:keepNext/>
        <w:keepLines/>
        <w:numPr>
          <w:ilvl w:val="3"/>
          <w:numId w:val="4"/>
        </w:numPr>
        <w:spacing w:before="120" w:after="120" w:line="360" w:lineRule="auto"/>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十一、补充协议</w:t>
      </w:r>
    </w:p>
    <w:p w14:paraId="564A9BFC">
      <w:pPr>
        <w:spacing w:line="360" w:lineRule="auto"/>
        <w:ind w:firstLine="480" w:firstLineChars="200"/>
        <w:rPr>
          <w:rFonts w:ascii="宋体" w:hAnsi="宋体" w:cs="宋体"/>
          <w:b/>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合同未尽事宜，合同当事人另行签订补充协议，补充协议是合同的组成部分。</w:t>
      </w:r>
    </w:p>
    <w:p w14:paraId="1CD87C78">
      <w:pPr>
        <w:keepNext/>
        <w:keepLines/>
        <w:numPr>
          <w:ilvl w:val="3"/>
          <w:numId w:val="4"/>
        </w:numPr>
        <w:spacing w:before="120" w:after="120" w:line="360" w:lineRule="auto"/>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十二、合同生效</w:t>
      </w:r>
    </w:p>
    <w:p w14:paraId="377966EE">
      <w:pPr>
        <w:spacing w:line="360" w:lineRule="auto"/>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本合同自</w:t>
      </w:r>
      <w:r>
        <w:rPr>
          <w:rFonts w:hint="eastAsia" w:ascii="宋体" w:hAnsi="宋体" w:cs="宋体"/>
          <w:bCs/>
          <w:color w:val="000000" w:themeColor="text1"/>
          <w:sz w:val="24"/>
          <w:szCs w:val="24"/>
          <w:highlight w:val="none"/>
          <w:u w:val="single"/>
          <w14:textFill>
            <w14:solidFill>
              <w14:schemeClr w14:val="tx1"/>
            </w14:solidFill>
          </w14:textFill>
        </w:rPr>
        <w:t xml:space="preserve"> 双方盖章且签字后 </w:t>
      </w:r>
      <w:r>
        <w:rPr>
          <w:rFonts w:hint="eastAsia" w:ascii="宋体" w:hAnsi="宋体" w:cs="宋体"/>
          <w:bCs/>
          <w:color w:val="000000" w:themeColor="text1"/>
          <w:sz w:val="24"/>
          <w:szCs w:val="24"/>
          <w:highlight w:val="none"/>
          <w14:textFill>
            <w14:solidFill>
              <w14:schemeClr w14:val="tx1"/>
            </w14:solidFill>
          </w14:textFill>
        </w:rPr>
        <w:t>生效。</w:t>
      </w:r>
    </w:p>
    <w:p w14:paraId="2003D162">
      <w:pPr>
        <w:keepNext/>
        <w:keepLines/>
        <w:numPr>
          <w:ilvl w:val="3"/>
          <w:numId w:val="4"/>
        </w:numPr>
        <w:spacing w:before="120" w:after="120" w:line="360" w:lineRule="auto"/>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十三、合同份数</w:t>
      </w:r>
    </w:p>
    <w:p w14:paraId="49A12C15">
      <w:pPr>
        <w:spacing w:line="360" w:lineRule="auto"/>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本合同一式</w:t>
      </w:r>
      <w:r>
        <w:rPr>
          <w:rFonts w:hint="eastAsia" w:ascii="宋体" w:hAnsi="宋体" w:cs="宋体"/>
          <w:bCs/>
          <w:color w:val="000000" w:themeColor="text1"/>
          <w:sz w:val="24"/>
          <w:szCs w:val="24"/>
          <w:highlight w:val="none"/>
          <w:u w:val="single"/>
          <w14:textFill>
            <w14:solidFill>
              <w14:schemeClr w14:val="tx1"/>
            </w14:solidFill>
          </w14:textFill>
        </w:rPr>
        <w:t>捌</w:t>
      </w:r>
      <w:r>
        <w:rPr>
          <w:rFonts w:hint="eastAsia" w:ascii="宋体" w:hAnsi="宋体" w:cs="宋体"/>
          <w:bCs/>
          <w:color w:val="000000" w:themeColor="text1"/>
          <w:sz w:val="24"/>
          <w:szCs w:val="24"/>
          <w:highlight w:val="none"/>
          <w14:textFill>
            <w14:solidFill>
              <w14:schemeClr w14:val="tx1"/>
            </w14:solidFill>
          </w14:textFill>
        </w:rPr>
        <w:t>份，均具有同等法律效力，发包人执</w:t>
      </w:r>
      <w:r>
        <w:rPr>
          <w:rFonts w:hint="eastAsia" w:ascii="宋体" w:hAnsi="宋体" w:cs="宋体"/>
          <w:bCs/>
          <w:color w:val="000000" w:themeColor="text1"/>
          <w:sz w:val="24"/>
          <w:szCs w:val="24"/>
          <w:highlight w:val="none"/>
          <w:u w:val="single"/>
          <w14:textFill>
            <w14:solidFill>
              <w14:schemeClr w14:val="tx1"/>
            </w14:solidFill>
          </w14:textFill>
        </w:rPr>
        <w:t>伍</w:t>
      </w:r>
      <w:r>
        <w:rPr>
          <w:rFonts w:hint="eastAsia" w:ascii="宋体" w:hAnsi="宋体" w:cs="宋体"/>
          <w:bCs/>
          <w:color w:val="000000" w:themeColor="text1"/>
          <w:sz w:val="24"/>
          <w:szCs w:val="24"/>
          <w:highlight w:val="none"/>
          <w14:textFill>
            <w14:solidFill>
              <w14:schemeClr w14:val="tx1"/>
            </w14:solidFill>
          </w14:textFill>
        </w:rPr>
        <w:t>份，承包人执</w:t>
      </w:r>
      <w:r>
        <w:rPr>
          <w:rFonts w:hint="eastAsia" w:ascii="宋体" w:hAnsi="宋体" w:cs="宋体"/>
          <w:bCs/>
          <w:color w:val="000000" w:themeColor="text1"/>
          <w:sz w:val="24"/>
          <w:szCs w:val="24"/>
          <w:highlight w:val="none"/>
          <w:u w:val="single"/>
          <w14:textFill>
            <w14:solidFill>
              <w14:schemeClr w14:val="tx1"/>
            </w14:solidFill>
          </w14:textFill>
        </w:rPr>
        <w:t>叁</w:t>
      </w:r>
      <w:r>
        <w:rPr>
          <w:rFonts w:hint="eastAsia" w:ascii="宋体" w:hAnsi="宋体" w:cs="宋体"/>
          <w:bCs/>
          <w:color w:val="000000" w:themeColor="text1"/>
          <w:sz w:val="24"/>
          <w:szCs w:val="24"/>
          <w:highlight w:val="none"/>
          <w14:textFill>
            <w14:solidFill>
              <w14:schemeClr w14:val="tx1"/>
            </w14:solidFill>
          </w14:textFill>
        </w:rPr>
        <w:t>份。</w:t>
      </w:r>
    </w:p>
    <w:p w14:paraId="46EB7A12">
      <w:pPr>
        <w:spacing w:line="360" w:lineRule="auto"/>
        <w:rPr>
          <w:rFonts w:ascii="宋体" w:hAnsi="宋体" w:cs="宋体"/>
          <w:bCs/>
          <w:color w:val="000000" w:themeColor="text1"/>
          <w:sz w:val="24"/>
          <w:highlight w:val="none"/>
          <w14:textFill>
            <w14:solidFill>
              <w14:schemeClr w14:val="tx1"/>
            </w14:solidFill>
          </w14:textFill>
        </w:rPr>
      </w:pPr>
    </w:p>
    <w:p w14:paraId="44D6180B">
      <w:pPr>
        <w:spacing w:line="360"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发包人</w:t>
      </w:r>
      <w:r>
        <w:rPr>
          <w:rFonts w:hint="eastAsia" w:ascii="宋体" w:hAnsi="宋体" w:cs="宋体"/>
          <w:bCs/>
          <w:color w:val="000000" w:themeColor="text1"/>
          <w:sz w:val="24"/>
          <w:szCs w:val="24"/>
          <w:highlight w:val="none"/>
          <w14:textFill>
            <w14:solidFill>
              <w14:schemeClr w14:val="tx1"/>
            </w14:solidFill>
          </w14:textFill>
        </w:rPr>
        <w:t>：</w:t>
      </w:r>
      <w:r>
        <w:rPr>
          <w:rFonts w:ascii="宋体" w:hAnsi="宋体" w:cs="宋体"/>
          <w:bCs/>
          <w:color w:val="000000" w:themeColor="text1"/>
          <w:sz w:val="24"/>
          <w:szCs w:val="24"/>
          <w:highlight w:val="none"/>
          <w14:textFill>
            <w14:solidFill>
              <w14:schemeClr w14:val="tx1"/>
            </w14:solidFill>
          </w14:textFill>
        </w:rPr>
        <w:t>(</w:t>
      </w:r>
      <w:r>
        <w:rPr>
          <w:rFonts w:hint="eastAsia" w:ascii="宋体" w:hAnsi="宋体" w:cs="宋体"/>
          <w:bCs/>
          <w:color w:val="000000" w:themeColor="text1"/>
          <w:sz w:val="24"/>
          <w:szCs w:val="24"/>
          <w:highlight w:val="none"/>
          <w14:textFill>
            <w14:solidFill>
              <w14:schemeClr w14:val="tx1"/>
            </w14:solidFill>
          </w14:textFill>
        </w:rPr>
        <w:t>盖章</w:t>
      </w:r>
      <w:r>
        <w:rPr>
          <w:rFonts w:ascii="宋体" w:hAnsi="宋体" w:cs="宋体"/>
          <w:bCs/>
          <w:color w:val="000000" w:themeColor="text1"/>
          <w:sz w:val="24"/>
          <w:szCs w:val="24"/>
          <w:highlight w:val="none"/>
          <w14:textFill>
            <w14:solidFill>
              <w14:schemeClr w14:val="tx1"/>
            </w14:solidFill>
          </w14:textFill>
        </w:rPr>
        <w:t>)</w:t>
      </w:r>
      <w:r>
        <w:rPr>
          <w:rFonts w:hint="eastAsia" w:ascii="宋体" w:hAnsi="宋体" w:cs="宋体"/>
          <w:bCs/>
          <w:color w:val="000000" w:themeColor="text1"/>
          <w:sz w:val="24"/>
          <w:szCs w:val="24"/>
          <w:highlight w:val="non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承包人</w:t>
      </w:r>
      <w:r>
        <w:rPr>
          <w:rFonts w:hint="eastAsia" w:ascii="宋体" w:hAnsi="宋体" w:cs="宋体"/>
          <w:bCs/>
          <w:color w:val="000000" w:themeColor="text1"/>
          <w:sz w:val="24"/>
          <w:szCs w:val="24"/>
          <w:highlight w:val="none"/>
          <w14:textFill>
            <w14:solidFill>
              <w14:schemeClr w14:val="tx1"/>
            </w14:solidFill>
          </w14:textFill>
        </w:rPr>
        <w:t>：</w:t>
      </w:r>
      <w:r>
        <w:rPr>
          <w:rFonts w:ascii="宋体" w:hAnsi="宋体" w:cs="宋体"/>
          <w:bCs/>
          <w:color w:val="000000" w:themeColor="text1"/>
          <w:sz w:val="24"/>
          <w:szCs w:val="24"/>
          <w:highlight w:val="none"/>
          <w14:textFill>
            <w14:solidFill>
              <w14:schemeClr w14:val="tx1"/>
            </w14:solidFill>
          </w14:textFill>
        </w:rPr>
        <w:t>(</w:t>
      </w:r>
      <w:r>
        <w:rPr>
          <w:rFonts w:hint="eastAsia" w:ascii="宋体" w:hAnsi="宋体" w:cs="宋体"/>
          <w:bCs/>
          <w:color w:val="000000" w:themeColor="text1"/>
          <w:sz w:val="24"/>
          <w:szCs w:val="24"/>
          <w:highlight w:val="none"/>
          <w14:textFill>
            <w14:solidFill>
              <w14:schemeClr w14:val="tx1"/>
            </w14:solidFill>
          </w14:textFill>
        </w:rPr>
        <w:t>盖</w:t>
      </w:r>
      <w:r>
        <w:rPr>
          <w:rFonts w:ascii="宋体" w:hAnsi="宋体" w:cs="宋体"/>
          <w:bCs/>
          <w:color w:val="000000" w:themeColor="text1"/>
          <w:sz w:val="24"/>
          <w:szCs w:val="24"/>
          <w:highlight w:val="none"/>
          <w14:textFill>
            <w14:solidFill>
              <w14:schemeClr w14:val="tx1"/>
            </w14:solidFill>
          </w14:textFill>
        </w:rPr>
        <w:t>章)</w:t>
      </w:r>
    </w:p>
    <w:p w14:paraId="3845C906">
      <w:pPr>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法定代表人或其委托代理人：          </w:t>
      </w:r>
      <w:r>
        <w:rPr>
          <w:rFonts w:ascii="宋体" w:hAnsi="宋体" w:cs="宋体"/>
          <w:bCs/>
          <w:color w:val="000000" w:themeColor="text1"/>
          <w:sz w:val="24"/>
          <w:szCs w:val="24"/>
          <w:highlight w:val="non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法定代表人或其委托代理人：</w:t>
      </w:r>
    </w:p>
    <w:p w14:paraId="296EA321">
      <w:pPr>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（签字）                            （签字）</w:t>
      </w:r>
    </w:p>
    <w:p w14:paraId="21C7C215">
      <w:pPr>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组织机构代码：  </w:t>
      </w:r>
      <w:r>
        <w:rPr>
          <w:rFonts w:ascii="宋体" w:hAnsi="宋体" w:cs="宋体"/>
          <w:bCs/>
          <w:color w:val="000000" w:themeColor="text1"/>
          <w:sz w:val="24"/>
          <w:szCs w:val="24"/>
          <w:highlight w:val="non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                    组织机构代码：  </w:t>
      </w:r>
      <w:r>
        <w:rPr>
          <w:rFonts w:ascii="宋体" w:hAnsi="宋体" w:cs="宋体"/>
          <w:bCs/>
          <w:color w:val="000000" w:themeColor="text1"/>
          <w:sz w:val="24"/>
          <w:szCs w:val="24"/>
          <w:highlight w:val="none"/>
          <w14:textFill>
            <w14:solidFill>
              <w14:schemeClr w14:val="tx1"/>
            </w14:solidFill>
          </w14:textFill>
        </w:rPr>
        <w:t xml:space="preserve"> </w:t>
      </w:r>
    </w:p>
    <w:p w14:paraId="09DCC209">
      <w:pPr>
        <w:spacing w:line="360"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地  址：</w:t>
      </w:r>
      <w:r>
        <w:rPr>
          <w:rFonts w:hint="eastAsia" w:ascii="宋体" w:hAnsi="宋体" w:cs="宋体"/>
          <w:bCs/>
          <w:color w:val="000000" w:themeColor="text1"/>
          <w:sz w:val="24"/>
          <w:szCs w:val="24"/>
          <w:highlight w:val="non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地  址：</w:t>
      </w:r>
    </w:p>
    <w:p w14:paraId="106DBB1D">
      <w:pPr>
        <w:spacing w:line="360"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邮政编码： </w:t>
      </w:r>
      <w:r>
        <w:rPr>
          <w:rFonts w:hint="eastAsia" w:ascii="宋体" w:hAnsi="宋体" w:cs="宋体"/>
          <w:bCs/>
          <w:color w:val="000000" w:themeColor="text1"/>
          <w:sz w:val="24"/>
          <w:szCs w:val="24"/>
          <w:highlight w:val="non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邮政编码：</w:t>
      </w:r>
    </w:p>
    <w:p w14:paraId="28833B6D">
      <w:pPr>
        <w:spacing w:line="360"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法定代表人： </w:t>
      </w:r>
      <w:r>
        <w:rPr>
          <w:rFonts w:hint="eastAsia" w:ascii="宋体" w:hAnsi="宋体" w:cs="宋体"/>
          <w:bCs/>
          <w:color w:val="000000" w:themeColor="text1"/>
          <w:sz w:val="24"/>
          <w:szCs w:val="24"/>
          <w:highlight w:val="non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法定代表人：</w:t>
      </w:r>
    </w:p>
    <w:p w14:paraId="74A89DF7">
      <w:pPr>
        <w:spacing w:line="360"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委托代理人： </w:t>
      </w:r>
      <w:r>
        <w:rPr>
          <w:rFonts w:hint="eastAsia" w:ascii="宋体" w:hAnsi="宋体" w:cs="宋体"/>
          <w:bCs/>
          <w:color w:val="000000" w:themeColor="text1"/>
          <w:sz w:val="24"/>
          <w:szCs w:val="24"/>
          <w:highlight w:val="non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委托代理人：</w:t>
      </w:r>
    </w:p>
    <w:p w14:paraId="2F8FD4C4">
      <w:pPr>
        <w:spacing w:line="360"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电  话： </w:t>
      </w:r>
      <w:r>
        <w:rPr>
          <w:rFonts w:hint="eastAsia" w:ascii="宋体" w:hAnsi="宋体" w:cs="宋体"/>
          <w:bCs/>
          <w:color w:val="000000" w:themeColor="text1"/>
          <w:sz w:val="24"/>
          <w:szCs w:val="24"/>
          <w:highlight w:val="non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电  话：</w:t>
      </w:r>
    </w:p>
    <w:p w14:paraId="7770238B">
      <w:pPr>
        <w:spacing w:line="360"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传  真： </w:t>
      </w:r>
      <w:r>
        <w:rPr>
          <w:rFonts w:hint="eastAsia" w:ascii="宋体" w:hAnsi="宋体" w:cs="宋体"/>
          <w:bCs/>
          <w:color w:val="000000" w:themeColor="text1"/>
          <w:sz w:val="24"/>
          <w:szCs w:val="24"/>
          <w:highlight w:val="non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传  真：</w:t>
      </w:r>
    </w:p>
    <w:p w14:paraId="4D31C186">
      <w:pPr>
        <w:spacing w:line="360"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电子信箱： </w:t>
      </w:r>
      <w:r>
        <w:rPr>
          <w:rFonts w:hint="eastAsia" w:ascii="宋体" w:hAnsi="宋体" w:cs="宋体"/>
          <w:bCs/>
          <w:color w:val="000000" w:themeColor="text1"/>
          <w:sz w:val="24"/>
          <w:szCs w:val="24"/>
          <w:highlight w:val="non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 xml:space="preserve"> </w:t>
      </w:r>
      <w:r>
        <w:rPr>
          <w:rFonts w:hint="eastAsia" w:ascii="宋体" w:hAnsi="宋体" w:cs="宋体"/>
          <w:bCs/>
          <w:color w:val="000000" w:themeColor="text1"/>
          <w:sz w:val="24"/>
          <w:szCs w:val="24"/>
          <w:highlight w:val="non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电子信箱：</w:t>
      </w:r>
    </w:p>
    <w:p w14:paraId="42B65386">
      <w:pPr>
        <w:spacing w:line="360" w:lineRule="auto"/>
        <w:rPr>
          <w:rFonts w:ascii="宋体" w:hAnsi="宋体" w:cs="宋体"/>
          <w:bCs/>
          <w:color w:val="000000" w:themeColor="text1"/>
          <w:sz w:val="24"/>
          <w:highlight w:val="none"/>
          <w14:textFill>
            <w14:solidFill>
              <w14:schemeClr w14:val="tx1"/>
            </w14:solidFill>
          </w14:textFill>
        </w:rPr>
      </w:pPr>
      <w:r>
        <w:rPr>
          <w:rFonts w:ascii="宋体" w:hAnsi="宋体" w:cs="宋体"/>
          <w:bCs/>
          <w:color w:val="000000" w:themeColor="text1"/>
          <w:sz w:val="24"/>
          <w:szCs w:val="24"/>
          <w:highlight w:val="none"/>
          <w14:textFill>
            <w14:solidFill>
              <w14:schemeClr w14:val="tx1"/>
            </w14:solidFill>
          </w14:textFill>
        </w:rPr>
        <w:t xml:space="preserve">开户银行： </w:t>
      </w:r>
      <w:r>
        <w:rPr>
          <w:rFonts w:hint="eastAsia" w:ascii="宋体" w:hAnsi="宋体" w:cs="宋体"/>
          <w:bCs/>
          <w:color w:val="000000" w:themeColor="text1"/>
          <w:sz w:val="24"/>
          <w:szCs w:val="24"/>
          <w:highlight w:val="non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开户银行：</w:t>
      </w:r>
    </w:p>
    <w:p w14:paraId="73A0F13E">
      <w:pPr>
        <w:spacing w:line="360" w:lineRule="auto"/>
        <w:rPr>
          <w:rFonts w:ascii="宋体" w:hAnsi="宋体" w:cs="宋体"/>
          <w:bCs/>
          <w:color w:val="000000" w:themeColor="text1"/>
          <w:sz w:val="24"/>
          <w:szCs w:val="24"/>
          <w:highlight w:val="none"/>
          <w14:textFill>
            <w14:solidFill>
              <w14:schemeClr w14:val="tx1"/>
            </w14:solidFill>
          </w14:textFill>
        </w:rPr>
        <w:sectPr>
          <w:headerReference r:id="rId5" w:type="default"/>
          <w:footerReference r:id="rId6" w:type="default"/>
          <w:pgSz w:w="11906" w:h="16838"/>
          <w:pgMar w:top="850" w:right="850" w:bottom="850" w:left="1417" w:header="567" w:footer="992" w:gutter="0"/>
          <w:paperSrc/>
          <w:cols w:space="0" w:num="1"/>
          <w:rtlGutter w:val="0"/>
          <w:docGrid w:type="lines" w:linePitch="315" w:charSpace="0"/>
        </w:sectPr>
      </w:pPr>
      <w:r>
        <w:rPr>
          <w:rFonts w:ascii="宋体" w:hAnsi="宋体" w:cs="宋体"/>
          <w:bCs/>
          <w:color w:val="000000" w:themeColor="text1"/>
          <w:sz w:val="24"/>
          <w:szCs w:val="24"/>
          <w:highlight w:val="none"/>
          <w14:textFill>
            <w14:solidFill>
              <w14:schemeClr w14:val="tx1"/>
            </w14:solidFill>
          </w14:textFill>
        </w:rPr>
        <w:t>账  号：</w:t>
      </w:r>
      <w:r>
        <w:rPr>
          <w:rFonts w:hint="eastAsia" w:ascii="宋体" w:hAnsi="宋体" w:cs="宋体"/>
          <w:bCs/>
          <w:color w:val="000000" w:themeColor="text1"/>
          <w:sz w:val="24"/>
          <w:szCs w:val="24"/>
          <w:highlight w:val="non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账</w:t>
      </w:r>
      <w:r>
        <w:rPr>
          <w:rFonts w:hint="eastAsia" w:ascii="宋体" w:hAnsi="宋体" w:cs="宋体"/>
          <w:bCs/>
          <w:color w:val="000000" w:themeColor="text1"/>
          <w:sz w:val="24"/>
          <w:szCs w:val="24"/>
          <w:highlight w:val="none"/>
          <w14:textFill>
            <w14:solidFill>
              <w14:schemeClr w14:val="tx1"/>
            </w14:solidFill>
          </w14:textFill>
        </w:rPr>
        <w:t xml:space="preserve"> </w:t>
      </w:r>
      <w:r>
        <w:rPr>
          <w:rFonts w:ascii="宋体" w:hAnsi="宋体" w:cs="宋体"/>
          <w:bCs/>
          <w:color w:val="000000" w:themeColor="text1"/>
          <w:sz w:val="24"/>
          <w:szCs w:val="24"/>
          <w:highlight w:val="none"/>
          <w14:textFill>
            <w14:solidFill>
              <w14:schemeClr w14:val="tx1"/>
            </w14:solidFill>
          </w14:textFill>
        </w:rPr>
        <w:t xml:space="preserve"> 号：</w:t>
      </w:r>
    </w:p>
    <w:p w14:paraId="4E9616BF">
      <w:pPr>
        <w:keepNext/>
        <w:keepLines/>
        <w:numPr>
          <w:ilvl w:val="1"/>
          <w:numId w:val="4"/>
        </w:numPr>
        <w:spacing w:before="260" w:after="260" w:line="416" w:lineRule="auto"/>
        <w:jc w:val="center"/>
        <w:outlineLvl w:val="9"/>
        <w:rPr>
          <w:rFonts w:ascii="宋体" w:hAnsi="宋体" w:cs="宋体"/>
          <w:b/>
          <w:bCs/>
          <w:color w:val="000000" w:themeColor="text1"/>
          <w:sz w:val="32"/>
          <w:szCs w:val="32"/>
          <w:highlight w:val="none"/>
          <w14:textFill>
            <w14:solidFill>
              <w14:schemeClr w14:val="tx1"/>
            </w14:solidFill>
          </w14:textFill>
        </w:rPr>
      </w:pPr>
      <w:bookmarkStart w:id="94" w:name="_Toc351203494"/>
      <w:r>
        <w:rPr>
          <w:rFonts w:hint="eastAsia" w:ascii="宋体" w:hAnsi="宋体" w:cs="宋体"/>
          <w:b/>
          <w:bCs/>
          <w:color w:val="000000" w:themeColor="text1"/>
          <w:sz w:val="32"/>
          <w:szCs w:val="32"/>
          <w:highlight w:val="none"/>
          <w14:textFill>
            <w14:solidFill>
              <w14:schemeClr w14:val="tx1"/>
            </w14:solidFill>
          </w14:textFill>
        </w:rPr>
        <w:t>第二部分 通用合同条款</w:t>
      </w:r>
      <w:bookmarkEnd w:id="94"/>
      <w:bookmarkStart w:id="95" w:name="_Toc337558727"/>
    </w:p>
    <w:p w14:paraId="43A02287">
      <w:pPr>
        <w:spacing w:line="360" w:lineRule="auto"/>
        <w:ind w:firstLine="480" w:firstLineChars="200"/>
        <w:outlineLvl w:val="9"/>
        <w:rPr>
          <w:rFonts w:ascii="宋体" w:hAnsi="宋体" w:eastAsia="宋体"/>
          <w:b w:val="0"/>
          <w:color w:val="000000" w:themeColor="text1"/>
          <w:sz w:val="24"/>
          <w:szCs w:val="24"/>
          <w:highlight w:val="none"/>
          <w14:textFill>
            <w14:solidFill>
              <w14:schemeClr w14:val="tx1"/>
            </w14:solidFill>
          </w14:textFill>
        </w:rPr>
      </w:pPr>
      <w:bookmarkStart w:id="96" w:name="_Toc351203495"/>
      <w:r>
        <w:rPr>
          <w:rFonts w:hint="eastAsia" w:ascii="宋体" w:hAnsi="宋体" w:eastAsia="宋体"/>
          <w:b w:val="0"/>
          <w:color w:val="000000" w:themeColor="text1"/>
          <w:sz w:val="24"/>
          <w:szCs w:val="24"/>
          <w:highlight w:val="none"/>
          <w14:textFill>
            <w14:solidFill>
              <w14:schemeClr w14:val="tx1"/>
            </w14:solidFill>
          </w14:textFill>
        </w:rPr>
        <w:t>1.</w:t>
      </w:r>
      <w:bookmarkStart w:id="97" w:name="_Toc303538975"/>
      <w:bookmarkEnd w:id="97"/>
      <w:bookmarkStart w:id="98" w:name="_Toc303538973"/>
      <w:bookmarkEnd w:id="98"/>
      <w:bookmarkStart w:id="99" w:name="_Toc303538976"/>
      <w:bookmarkEnd w:id="99"/>
      <w:bookmarkStart w:id="100" w:name="_Toc303538974"/>
      <w:bookmarkEnd w:id="100"/>
      <w:bookmarkStart w:id="101" w:name="_Toc303538972"/>
      <w:bookmarkEnd w:id="101"/>
      <w:bookmarkStart w:id="102" w:name="_Toc296346528"/>
      <w:bookmarkStart w:id="103" w:name="_Toc296503027"/>
      <w:r>
        <w:rPr>
          <w:rFonts w:hint="eastAsia" w:ascii="宋体" w:hAnsi="宋体" w:eastAsia="宋体"/>
          <w:b w:val="0"/>
          <w:color w:val="000000" w:themeColor="text1"/>
          <w:sz w:val="24"/>
          <w:szCs w:val="24"/>
          <w:highlight w:val="none"/>
          <w14:textFill>
            <w14:solidFill>
              <w14:schemeClr w14:val="tx1"/>
            </w14:solidFill>
          </w14:textFill>
        </w:rPr>
        <w:t xml:space="preserve"> 一般约定</w:t>
      </w:r>
      <w:bookmarkEnd w:id="96"/>
      <w:bookmarkEnd w:id="102"/>
      <w:bookmarkEnd w:id="103"/>
    </w:p>
    <w:p w14:paraId="4C1BBF3D">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04" w:name="_Toc296346529"/>
      <w:bookmarkStart w:id="105" w:name="_Toc337558728"/>
      <w:bookmarkStart w:id="106" w:name="_Toc296503028"/>
      <w:bookmarkStart w:id="107" w:name="_Toc351203496"/>
      <w:r>
        <w:rPr>
          <w:rFonts w:hint="eastAsia" w:ascii="宋体" w:hAnsi="宋体"/>
          <w:color w:val="000000" w:themeColor="text1"/>
          <w:sz w:val="24"/>
          <w:szCs w:val="24"/>
          <w:highlight w:val="none"/>
          <w14:textFill>
            <w14:solidFill>
              <w14:schemeClr w14:val="tx1"/>
            </w14:solidFill>
          </w14:textFill>
        </w:rPr>
        <w:t>1.1词语定义</w:t>
      </w:r>
      <w:bookmarkEnd w:id="104"/>
      <w:bookmarkEnd w:id="105"/>
      <w:bookmarkEnd w:id="106"/>
      <w:r>
        <w:rPr>
          <w:rFonts w:hint="eastAsia" w:ascii="宋体" w:hAnsi="宋体"/>
          <w:color w:val="000000" w:themeColor="text1"/>
          <w:sz w:val="24"/>
          <w:szCs w:val="24"/>
          <w:highlight w:val="none"/>
          <w14:textFill>
            <w14:solidFill>
              <w14:schemeClr w14:val="tx1"/>
            </w14:solidFill>
          </w14:textFill>
        </w:rPr>
        <w:t>与解释</w:t>
      </w:r>
      <w:bookmarkEnd w:id="107"/>
    </w:p>
    <w:p w14:paraId="3922018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合同协议书、通用合同条款、专用合同条款中的下列词语具有本款所赋予的含义：</w:t>
      </w:r>
    </w:p>
    <w:p w14:paraId="30A89291">
      <w:pPr>
        <w:autoSpaceDE w:val="0"/>
        <w:autoSpaceDN w:val="0"/>
        <w:adjustRightInd w:val="0"/>
        <w:spacing w:line="360" w:lineRule="auto"/>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 xml:space="preserve">    1.1.1 合同</w:t>
      </w:r>
    </w:p>
    <w:p w14:paraId="1D0BF55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1.1.1.1 合同：是指根据法律规定和合同当事人约定具有约束力的文件，构成合同的文件包括合同协议书、中标通知书（如果有）、投标函及其附录（如果有）、专用合同条款及其附件、通用合同条款、技术标准和要求、图纸、已标价工程量清单或预算书以及其他合同文件。</w:t>
      </w:r>
    </w:p>
    <w:p w14:paraId="081CFCF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1.1.1.2 合同协议书：是指构成合同的由发包人和承包人共同签署的称为“合同协议书”的书面文件。</w:t>
      </w:r>
    </w:p>
    <w:p w14:paraId="69D8C61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1.1.1.3 中标通知书：是指构成合同的由发包人通知承包人中标的书面文件。</w:t>
      </w:r>
    </w:p>
    <w:p w14:paraId="5D6F43C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1.1.1.4 投标函：是指构成合同的由承包人填写并签署的用于投标的称为“投标函”的文件。</w:t>
      </w:r>
    </w:p>
    <w:p w14:paraId="73E20A2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1.1.1.5 投标函附录：是指构成合同的附在投标函后的称为“投标函附录”的文件。</w:t>
      </w:r>
    </w:p>
    <w:p w14:paraId="443741E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1.1.1.6 技术标准和要求：是指构成合同的施工应当遵守的或指导施工的国家、行业或地方的技术标准和要求，以及合同约定的技术标准和要求。</w:t>
      </w:r>
    </w:p>
    <w:p w14:paraId="6C1AE2F4">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1.1.1.7 图纸：是指构成合同的图纸，包括由发包人按照合同约定提供或经发包人批准的设计文件、施工图、鸟瞰图及模型等，以及在合同履行过程中形成的图纸文件。图纸应当按照法律规定审查合格。</w:t>
      </w:r>
    </w:p>
    <w:p w14:paraId="786D9493">
      <w:pPr>
        <w:autoSpaceDE w:val="0"/>
        <w:autoSpaceDN w:val="0"/>
        <w:adjustRightInd w:val="0"/>
        <w:spacing w:line="360" w:lineRule="auto"/>
        <w:ind w:firstLine="468" w:firstLineChars="195"/>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1.1.1.8 已标价工程量清单：是指构成合同的由承包人按照规定的格式和要求填写并标明价格的工程量清单，包括说明和表格。</w:t>
      </w:r>
    </w:p>
    <w:p w14:paraId="019E503D">
      <w:pPr>
        <w:autoSpaceDE w:val="0"/>
        <w:autoSpaceDN w:val="0"/>
        <w:adjustRightInd w:val="0"/>
        <w:spacing w:line="360" w:lineRule="auto"/>
        <w:ind w:firstLine="468" w:firstLineChars="195"/>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1.1.1.9 预算书：是指构成合同的由承包人按照发包人规定的格式和要求编制的工程预算文件。</w:t>
      </w:r>
    </w:p>
    <w:p w14:paraId="5949536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1.1.1.10 其他合同文件：是指经合同当事人约定的与工程施工有关的具有合同约束力的文件或书面协议。合同当事人可以在专用合同条款中进行约定。</w:t>
      </w:r>
    </w:p>
    <w:p w14:paraId="552E702C">
      <w:pPr>
        <w:autoSpaceDE w:val="0"/>
        <w:autoSpaceDN w:val="0"/>
        <w:adjustRightInd w:val="0"/>
        <w:spacing w:line="360" w:lineRule="auto"/>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    1.1.2 合同当事人及其他相关方</w:t>
      </w:r>
    </w:p>
    <w:p w14:paraId="047A006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1.1.2.1 </w:t>
      </w:r>
      <w:r>
        <w:rPr>
          <w:rFonts w:hint="eastAsia" w:ascii="宋体" w:hAnsi="宋体"/>
          <w:color w:val="000000" w:themeColor="text1"/>
          <w:kern w:val="0"/>
          <w:sz w:val="24"/>
          <w:szCs w:val="24"/>
          <w:highlight w:val="none"/>
          <w14:textFill>
            <w14:solidFill>
              <w14:schemeClr w14:val="tx1"/>
            </w14:solidFill>
          </w14:textFill>
        </w:rPr>
        <w:t>合同当事人：是指发包人和（或）承包人。</w:t>
      </w:r>
    </w:p>
    <w:p w14:paraId="253D5AF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1.1.2.2 </w:t>
      </w:r>
      <w:r>
        <w:rPr>
          <w:rFonts w:hint="eastAsia" w:ascii="宋体" w:hAnsi="宋体"/>
          <w:color w:val="000000" w:themeColor="text1"/>
          <w:kern w:val="0"/>
          <w:sz w:val="24"/>
          <w:szCs w:val="24"/>
          <w:highlight w:val="none"/>
          <w14:textFill>
            <w14:solidFill>
              <w14:schemeClr w14:val="tx1"/>
            </w14:solidFill>
          </w14:textFill>
        </w:rPr>
        <w:t>发包人：是指与承包人签订合同协议书的当事人及取得该当事人资格的合法继承人。</w:t>
      </w:r>
    </w:p>
    <w:p w14:paraId="44C7112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1.1.2.3 </w:t>
      </w:r>
      <w:r>
        <w:rPr>
          <w:rFonts w:hint="eastAsia" w:ascii="宋体" w:hAnsi="宋体"/>
          <w:color w:val="000000" w:themeColor="text1"/>
          <w:kern w:val="0"/>
          <w:sz w:val="24"/>
          <w:szCs w:val="24"/>
          <w:highlight w:val="none"/>
          <w14:textFill>
            <w14:solidFill>
              <w14:schemeClr w14:val="tx1"/>
            </w14:solidFill>
          </w14:textFill>
        </w:rPr>
        <w:t>承包人：是指与发包人签订合同协议书的，具有相应工程施工承包资质的当事人及取得该当事人资格的合法继承人。</w:t>
      </w:r>
    </w:p>
    <w:p w14:paraId="72378F8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1.1.2.4 </w:t>
      </w:r>
      <w:r>
        <w:rPr>
          <w:rFonts w:hint="eastAsia" w:ascii="宋体" w:hAnsi="宋体"/>
          <w:color w:val="000000" w:themeColor="text1"/>
          <w:kern w:val="0"/>
          <w:sz w:val="24"/>
          <w:szCs w:val="24"/>
          <w:highlight w:val="none"/>
          <w14:textFill>
            <w14:solidFill>
              <w14:schemeClr w14:val="tx1"/>
            </w14:solidFill>
          </w14:textFill>
        </w:rPr>
        <w:t>监理人：是指在专用合同条款中指明的，受发包人委托按照法律规定进行工程监督管理的法人或其他组织。</w:t>
      </w:r>
    </w:p>
    <w:p w14:paraId="31CB012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1.1.2.5 </w:t>
      </w:r>
      <w:r>
        <w:rPr>
          <w:rFonts w:hint="eastAsia" w:ascii="宋体" w:hAnsi="宋体"/>
          <w:color w:val="000000" w:themeColor="text1"/>
          <w:kern w:val="0"/>
          <w:sz w:val="24"/>
          <w:szCs w:val="24"/>
          <w:highlight w:val="none"/>
          <w14:textFill>
            <w14:solidFill>
              <w14:schemeClr w14:val="tx1"/>
            </w14:solidFill>
          </w14:textFill>
        </w:rPr>
        <w:t>设计人：是指在专用合同条款中指明的，受发包人委托负责工程设计并具备相应工程设计资质的法人或其他组织。</w:t>
      </w:r>
    </w:p>
    <w:p w14:paraId="421CE70B">
      <w:pPr>
        <w:spacing w:line="360" w:lineRule="auto"/>
        <w:ind w:firstLine="468" w:firstLineChars="195"/>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1.1.2.6 </w:t>
      </w:r>
      <w:r>
        <w:rPr>
          <w:rFonts w:hint="eastAsia" w:ascii="宋体" w:hAnsi="宋体"/>
          <w:color w:val="000000" w:themeColor="text1"/>
          <w:kern w:val="0"/>
          <w:sz w:val="24"/>
          <w:szCs w:val="24"/>
          <w:highlight w:val="none"/>
          <w14:textFill>
            <w14:solidFill>
              <w14:schemeClr w14:val="tx1"/>
            </w14:solidFill>
          </w14:textFill>
        </w:rPr>
        <w:t>分包人：是指按照法律规定和合同约定，分包部分工程或工作，并与承包人签订分包合同的具有相应资质的法人。</w:t>
      </w:r>
    </w:p>
    <w:p w14:paraId="4A40ECE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1.1.2.7 </w:t>
      </w:r>
      <w:r>
        <w:rPr>
          <w:rFonts w:hint="eastAsia" w:ascii="宋体" w:hAnsi="宋体"/>
          <w:color w:val="000000" w:themeColor="text1"/>
          <w:kern w:val="0"/>
          <w:sz w:val="24"/>
          <w:szCs w:val="24"/>
          <w:highlight w:val="none"/>
          <w14:textFill>
            <w14:solidFill>
              <w14:schemeClr w14:val="tx1"/>
            </w14:solidFill>
          </w14:textFill>
        </w:rPr>
        <w:t>发包人代表：是指由发包人任命并派驻施工现场在发包人授权范围内行使发包人权利的人。</w:t>
      </w:r>
    </w:p>
    <w:p w14:paraId="6218910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1.1.2.8 </w:t>
      </w:r>
      <w:r>
        <w:rPr>
          <w:rFonts w:hint="eastAsia" w:ascii="宋体" w:hAnsi="宋体"/>
          <w:color w:val="000000" w:themeColor="text1"/>
          <w:kern w:val="0"/>
          <w:sz w:val="24"/>
          <w:szCs w:val="24"/>
          <w:highlight w:val="none"/>
          <w14:textFill>
            <w14:solidFill>
              <w14:schemeClr w14:val="tx1"/>
            </w14:solidFill>
          </w14:textFill>
        </w:rPr>
        <w:t>项目经理：是指由承包人任命并派驻施工现场，在承包人授权范围内负责合同履行，且按照法律规定具有相应资格的项目负责人。</w:t>
      </w:r>
    </w:p>
    <w:p w14:paraId="4E86ECF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1.1.2.9 </w:t>
      </w:r>
      <w:r>
        <w:rPr>
          <w:rFonts w:hint="eastAsia" w:ascii="宋体" w:hAnsi="宋体"/>
          <w:color w:val="000000" w:themeColor="text1"/>
          <w:kern w:val="0"/>
          <w:sz w:val="24"/>
          <w:szCs w:val="24"/>
          <w:highlight w:val="none"/>
          <w14:textFill>
            <w14:solidFill>
              <w14:schemeClr w14:val="tx1"/>
            </w14:solidFill>
          </w14:textFill>
        </w:rPr>
        <w:t>总监理工程师：是指由监理人任命并派驻施工现场进行工程监理的总负责人。</w:t>
      </w:r>
    </w:p>
    <w:p w14:paraId="1DCFE42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1.1.3 </w:t>
      </w:r>
      <w:r>
        <w:rPr>
          <w:rFonts w:hint="eastAsia" w:ascii="宋体" w:hAnsi="宋体"/>
          <w:color w:val="000000" w:themeColor="text1"/>
          <w:kern w:val="0"/>
          <w:sz w:val="24"/>
          <w:szCs w:val="24"/>
          <w:highlight w:val="none"/>
          <w14:textFill>
            <w14:solidFill>
              <w14:schemeClr w14:val="tx1"/>
            </w14:solidFill>
          </w14:textFill>
        </w:rPr>
        <w:t>工程和设备</w:t>
      </w:r>
    </w:p>
    <w:p w14:paraId="5BA350C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1.1.3.1 </w:t>
      </w:r>
      <w:r>
        <w:rPr>
          <w:rFonts w:hint="eastAsia" w:ascii="宋体" w:hAnsi="宋体"/>
          <w:color w:val="000000" w:themeColor="text1"/>
          <w:kern w:val="0"/>
          <w:sz w:val="24"/>
          <w:szCs w:val="24"/>
          <w:highlight w:val="none"/>
          <w14:textFill>
            <w14:solidFill>
              <w14:schemeClr w14:val="tx1"/>
            </w14:solidFill>
          </w14:textFill>
        </w:rPr>
        <w:t>工程：是指与合同协议书中工程承包范围对应的永久工程和（或）临时工程。</w:t>
      </w:r>
    </w:p>
    <w:p w14:paraId="5DE9047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1.1.3.2 </w:t>
      </w:r>
      <w:r>
        <w:rPr>
          <w:rFonts w:hint="eastAsia" w:ascii="宋体" w:hAnsi="宋体"/>
          <w:color w:val="000000" w:themeColor="text1"/>
          <w:kern w:val="0"/>
          <w:sz w:val="24"/>
          <w:szCs w:val="24"/>
          <w:highlight w:val="none"/>
          <w14:textFill>
            <w14:solidFill>
              <w14:schemeClr w14:val="tx1"/>
            </w14:solidFill>
          </w14:textFill>
        </w:rPr>
        <w:t>永久工程：是指按合同约定建造并移交给发包人的工程，包括工程设备。</w:t>
      </w:r>
    </w:p>
    <w:p w14:paraId="2DE6C87E">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1.1.3.3 </w:t>
      </w:r>
      <w:r>
        <w:rPr>
          <w:rFonts w:hint="eastAsia" w:ascii="宋体" w:hAnsi="宋体"/>
          <w:color w:val="000000" w:themeColor="text1"/>
          <w:kern w:val="0"/>
          <w:sz w:val="24"/>
          <w:szCs w:val="24"/>
          <w:highlight w:val="none"/>
          <w14:textFill>
            <w14:solidFill>
              <w14:schemeClr w14:val="tx1"/>
            </w14:solidFill>
          </w14:textFill>
        </w:rPr>
        <w:t>临时工程：是指为完成合同约定的永久工程所修建的各类临时性工程，不包括施工设备。</w:t>
      </w:r>
    </w:p>
    <w:p w14:paraId="4B22CC7D">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1.1.3.4 </w:t>
      </w:r>
      <w:r>
        <w:rPr>
          <w:rFonts w:hint="eastAsia" w:ascii="宋体" w:hAnsi="宋体"/>
          <w:color w:val="000000" w:themeColor="text1"/>
          <w:kern w:val="0"/>
          <w:sz w:val="24"/>
          <w:szCs w:val="24"/>
          <w:highlight w:val="none"/>
          <w14:textFill>
            <w14:solidFill>
              <w14:schemeClr w14:val="tx1"/>
            </w14:solidFill>
          </w14:textFill>
        </w:rPr>
        <w:t>单位工程：是指在合同协议书中指明的，具备独立施工条件并能形成独立使用功能的永久工程。</w:t>
      </w:r>
    </w:p>
    <w:p w14:paraId="79A8E2E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1.1.3.5 </w:t>
      </w:r>
      <w:r>
        <w:rPr>
          <w:rFonts w:hint="eastAsia" w:ascii="宋体" w:hAnsi="宋体"/>
          <w:color w:val="000000" w:themeColor="text1"/>
          <w:kern w:val="0"/>
          <w:sz w:val="24"/>
          <w:szCs w:val="24"/>
          <w:highlight w:val="none"/>
          <w14:textFill>
            <w14:solidFill>
              <w14:schemeClr w14:val="tx1"/>
            </w14:solidFill>
          </w14:textFill>
        </w:rPr>
        <w:t>工程设备：是指构成永久工程的机电设备、金属结构设备、仪器及其他类似的设备和装置。</w:t>
      </w:r>
    </w:p>
    <w:p w14:paraId="155A4CD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1.1.3.6 </w:t>
      </w:r>
      <w:r>
        <w:rPr>
          <w:rFonts w:hint="eastAsia" w:ascii="宋体" w:hAnsi="宋体"/>
          <w:color w:val="000000" w:themeColor="text1"/>
          <w:kern w:val="0"/>
          <w:sz w:val="24"/>
          <w:szCs w:val="24"/>
          <w:highlight w:val="none"/>
          <w14:textFill>
            <w14:solidFill>
              <w14:schemeClr w14:val="tx1"/>
            </w14:solidFill>
          </w14:textFill>
        </w:rPr>
        <w:t>施工设备：是指为完成合同约定的各项工作所需的设备、器具和其他物品，但不包括工程设备、临时工程和材料。</w:t>
      </w:r>
    </w:p>
    <w:p w14:paraId="7FC0FDD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1.1.3.7 </w:t>
      </w:r>
      <w:r>
        <w:rPr>
          <w:rFonts w:hint="eastAsia" w:ascii="宋体" w:hAnsi="宋体"/>
          <w:color w:val="000000" w:themeColor="text1"/>
          <w:kern w:val="0"/>
          <w:sz w:val="24"/>
          <w:szCs w:val="24"/>
          <w:highlight w:val="none"/>
          <w14:textFill>
            <w14:solidFill>
              <w14:schemeClr w14:val="tx1"/>
            </w14:solidFill>
          </w14:textFill>
        </w:rPr>
        <w:t>施工现场：是指用于工程施工的场所，以及在专用合同条款中指明作为施工场所组成部分的其他场所，包括永久占地和临时占地。</w:t>
      </w:r>
    </w:p>
    <w:p w14:paraId="787FF73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1.1.3.8临时设施：是指为完成合同约定的各项工作所服务的临时性生产和生活设施。</w:t>
      </w:r>
    </w:p>
    <w:p w14:paraId="1CE4228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1.1.3.9 </w:t>
      </w:r>
      <w:r>
        <w:rPr>
          <w:rFonts w:hint="eastAsia" w:ascii="宋体" w:hAnsi="宋体"/>
          <w:color w:val="000000" w:themeColor="text1"/>
          <w:kern w:val="0"/>
          <w:sz w:val="24"/>
          <w:szCs w:val="24"/>
          <w:highlight w:val="none"/>
          <w14:textFill>
            <w14:solidFill>
              <w14:schemeClr w14:val="tx1"/>
            </w14:solidFill>
          </w14:textFill>
        </w:rPr>
        <w:t>永久占地：是指专用合同条款中指明为实施工程需永久占用的土地。</w:t>
      </w:r>
    </w:p>
    <w:p w14:paraId="1333222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1.1.3.10 </w:t>
      </w:r>
      <w:r>
        <w:rPr>
          <w:rFonts w:hint="eastAsia" w:ascii="宋体" w:hAnsi="宋体"/>
          <w:color w:val="000000" w:themeColor="text1"/>
          <w:kern w:val="0"/>
          <w:sz w:val="24"/>
          <w:szCs w:val="24"/>
          <w:highlight w:val="none"/>
          <w14:textFill>
            <w14:solidFill>
              <w14:schemeClr w14:val="tx1"/>
            </w14:solidFill>
          </w14:textFill>
        </w:rPr>
        <w:t>临时占地：是指专用合同条款中指明为实施工程需要临时占用的土地。</w:t>
      </w:r>
    </w:p>
    <w:p w14:paraId="5A7C795B">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1.1.4 </w:t>
      </w:r>
      <w:r>
        <w:rPr>
          <w:rFonts w:hint="eastAsia" w:ascii="宋体" w:hAnsi="宋体"/>
          <w:color w:val="000000" w:themeColor="text1"/>
          <w:kern w:val="0"/>
          <w:sz w:val="24"/>
          <w:szCs w:val="24"/>
          <w:highlight w:val="none"/>
          <w14:textFill>
            <w14:solidFill>
              <w14:schemeClr w14:val="tx1"/>
            </w14:solidFill>
          </w14:textFill>
        </w:rPr>
        <w:t>日期和期限</w:t>
      </w:r>
    </w:p>
    <w:p w14:paraId="137DA11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1.1.4.1 </w:t>
      </w:r>
      <w:r>
        <w:rPr>
          <w:rFonts w:hint="eastAsia" w:ascii="宋体" w:hAnsi="宋体"/>
          <w:color w:val="000000" w:themeColor="text1"/>
          <w:kern w:val="0"/>
          <w:sz w:val="24"/>
          <w:szCs w:val="24"/>
          <w:highlight w:val="none"/>
          <w14:textFill>
            <w14:solidFill>
              <w14:schemeClr w14:val="tx1"/>
            </w14:solidFill>
          </w14:textFill>
        </w:rPr>
        <w:t>开工日期：包括计划开工日期和实际开工日期。计划开工日期是指合同协议书约定的开工日期；实际开工日期是指监理人按照第</w:t>
      </w:r>
      <w:r>
        <w:rPr>
          <w:rFonts w:ascii="宋体" w:hAnsi="宋体"/>
          <w:color w:val="000000" w:themeColor="text1"/>
          <w:kern w:val="0"/>
          <w:sz w:val="24"/>
          <w:szCs w:val="24"/>
          <w:highlight w:val="none"/>
          <w14:textFill>
            <w14:solidFill>
              <w14:schemeClr w14:val="tx1"/>
            </w14:solidFill>
          </w14:textFill>
        </w:rPr>
        <w:t>7.3.2项〔开工通知〕约定发出的符合法律规定的开工通知中载明的开工日期。</w:t>
      </w:r>
    </w:p>
    <w:p w14:paraId="4659DA3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1.1.4.2 竣工日期：包括计划竣工日期和实际竣工日期。计划竣工日期是指合同协议书约定的竣工日期；实际竣工日期按照第13.2.3项〔竣工日期〕的约定确定。 </w:t>
      </w:r>
    </w:p>
    <w:p w14:paraId="59B23295">
      <w:pPr>
        <w:spacing w:line="360" w:lineRule="auto"/>
        <w:ind w:firstLine="487" w:firstLineChars="203"/>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1.1.4.3 </w:t>
      </w:r>
      <w:r>
        <w:rPr>
          <w:rFonts w:hint="eastAsia" w:ascii="宋体" w:hAnsi="宋体"/>
          <w:color w:val="000000" w:themeColor="text1"/>
          <w:kern w:val="0"/>
          <w:sz w:val="24"/>
          <w:szCs w:val="24"/>
          <w:highlight w:val="none"/>
          <w14:textFill>
            <w14:solidFill>
              <w14:schemeClr w14:val="tx1"/>
            </w14:solidFill>
          </w14:textFill>
        </w:rPr>
        <w:t>工期：是指在合同协议书约定的承包人完成工程所需的期限，包括按照合同约定所作的期限变更。</w:t>
      </w:r>
    </w:p>
    <w:p w14:paraId="718D09B7">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1.1.4.4 </w:t>
      </w:r>
      <w:r>
        <w:rPr>
          <w:rFonts w:hint="eastAsia" w:ascii="宋体" w:hAnsi="宋体"/>
          <w:color w:val="000000" w:themeColor="text1"/>
          <w:kern w:val="0"/>
          <w:sz w:val="24"/>
          <w:szCs w:val="24"/>
          <w:highlight w:val="none"/>
          <w14:textFill>
            <w14:solidFill>
              <w14:schemeClr w14:val="tx1"/>
            </w14:solidFill>
          </w14:textFill>
        </w:rPr>
        <w:t>缺陷责任期：是指承包人按照合同约定承担缺陷修复义务，且发包人预留质量保证金（已缴纳履约保证金的除外）的期限，自工程实际竣工日期起计算。</w:t>
      </w:r>
    </w:p>
    <w:p w14:paraId="4287FC9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1.1.4.5 </w:t>
      </w:r>
      <w:r>
        <w:rPr>
          <w:rFonts w:hint="eastAsia" w:ascii="宋体" w:hAnsi="宋体"/>
          <w:color w:val="000000" w:themeColor="text1"/>
          <w:kern w:val="0"/>
          <w:sz w:val="24"/>
          <w:szCs w:val="24"/>
          <w:highlight w:val="none"/>
          <w14:textFill>
            <w14:solidFill>
              <w14:schemeClr w14:val="tx1"/>
            </w14:solidFill>
          </w14:textFill>
        </w:rPr>
        <w:t>保修期：是指承包人按照合同约定对工程承担保修责任的期限，从工程竣工验收合格之日起计算。</w:t>
      </w:r>
    </w:p>
    <w:p w14:paraId="62B18124">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1.1.4.6 </w:t>
      </w:r>
      <w:r>
        <w:rPr>
          <w:rFonts w:hint="eastAsia" w:ascii="宋体" w:hAnsi="宋体"/>
          <w:color w:val="000000" w:themeColor="text1"/>
          <w:kern w:val="0"/>
          <w:sz w:val="24"/>
          <w:szCs w:val="24"/>
          <w:highlight w:val="none"/>
          <w14:textFill>
            <w14:solidFill>
              <w14:schemeClr w14:val="tx1"/>
            </w14:solidFill>
          </w14:textFill>
        </w:rPr>
        <w:t>基准日期：招标发包的工程以投标截止日前</w:t>
      </w:r>
      <w:r>
        <w:rPr>
          <w:rFonts w:ascii="宋体" w:hAnsi="宋体"/>
          <w:color w:val="000000" w:themeColor="text1"/>
          <w:kern w:val="0"/>
          <w:sz w:val="24"/>
          <w:szCs w:val="24"/>
          <w:highlight w:val="none"/>
          <w14:textFill>
            <w14:solidFill>
              <w14:schemeClr w14:val="tx1"/>
            </w14:solidFill>
          </w14:textFill>
        </w:rPr>
        <w:t>28天的日期为基准日期，直接发包的工程以合同签订日前28天的日期为基准日期。</w:t>
      </w:r>
    </w:p>
    <w:p w14:paraId="2FE9C5CE">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1.1.4.7 </w:t>
      </w:r>
      <w:r>
        <w:rPr>
          <w:rFonts w:hint="eastAsia" w:ascii="宋体" w:hAnsi="宋体"/>
          <w:color w:val="000000" w:themeColor="text1"/>
          <w:kern w:val="0"/>
          <w:sz w:val="24"/>
          <w:szCs w:val="24"/>
          <w:highlight w:val="none"/>
          <w14:textFill>
            <w14:solidFill>
              <w14:schemeClr w14:val="tx1"/>
            </w14:solidFill>
          </w14:textFill>
        </w:rPr>
        <w:t>天：除特别指明外，均指日历天。合同中按天计算时间的，开始当天不计入，从次日开始计算，期限最后一天的截止时间为当天</w:t>
      </w:r>
      <w:r>
        <w:rPr>
          <w:rFonts w:ascii="宋体" w:hAnsi="宋体"/>
          <w:color w:val="000000" w:themeColor="text1"/>
          <w:kern w:val="0"/>
          <w:sz w:val="24"/>
          <w:szCs w:val="24"/>
          <w:highlight w:val="none"/>
          <w14:textFill>
            <w14:solidFill>
              <w14:schemeClr w14:val="tx1"/>
            </w14:solidFill>
          </w14:textFill>
        </w:rPr>
        <w:t>24:00时。</w:t>
      </w:r>
    </w:p>
    <w:p w14:paraId="77A7D5BD">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1.1.5 </w:t>
      </w:r>
      <w:r>
        <w:rPr>
          <w:rFonts w:hint="eastAsia" w:ascii="宋体" w:hAnsi="宋体"/>
          <w:color w:val="000000" w:themeColor="text1"/>
          <w:kern w:val="0"/>
          <w:sz w:val="24"/>
          <w:szCs w:val="24"/>
          <w:highlight w:val="none"/>
          <w14:textFill>
            <w14:solidFill>
              <w14:schemeClr w14:val="tx1"/>
            </w14:solidFill>
          </w14:textFill>
        </w:rPr>
        <w:t>合同价格和费用</w:t>
      </w:r>
    </w:p>
    <w:p w14:paraId="75DC505B">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1.1.5.1 </w:t>
      </w:r>
      <w:r>
        <w:rPr>
          <w:rFonts w:hint="eastAsia" w:ascii="宋体" w:hAnsi="宋体"/>
          <w:color w:val="000000" w:themeColor="text1"/>
          <w:kern w:val="0"/>
          <w:sz w:val="24"/>
          <w:szCs w:val="24"/>
          <w:highlight w:val="none"/>
          <w14:textFill>
            <w14:solidFill>
              <w14:schemeClr w14:val="tx1"/>
            </w14:solidFill>
          </w14:textFill>
        </w:rPr>
        <w:t>签约合同价：是指发包人和承包人在合同协议书中确定的总金额，包括安全文明施工费、暂估价及暂列金额等。</w:t>
      </w:r>
    </w:p>
    <w:p w14:paraId="5091858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1.1.5.2 </w:t>
      </w:r>
      <w:r>
        <w:rPr>
          <w:rFonts w:hint="eastAsia" w:ascii="宋体" w:hAnsi="宋体"/>
          <w:color w:val="000000" w:themeColor="text1"/>
          <w:kern w:val="0"/>
          <w:sz w:val="24"/>
          <w:szCs w:val="24"/>
          <w:highlight w:val="none"/>
          <w14:textFill>
            <w14:solidFill>
              <w14:schemeClr w14:val="tx1"/>
            </w14:solidFill>
          </w14:textFill>
        </w:rPr>
        <w:t>合同价格：是指发包人用于支付承包人按照合同约定完成承包范围内全部工作的金额，包括合同履行过程中按合同约定发生的价格变化。</w:t>
      </w:r>
    </w:p>
    <w:p w14:paraId="05A83A40">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1.1.5.3 </w:t>
      </w:r>
      <w:r>
        <w:rPr>
          <w:rFonts w:hint="eastAsia" w:ascii="宋体" w:hAnsi="宋体"/>
          <w:color w:val="000000" w:themeColor="text1"/>
          <w:kern w:val="0"/>
          <w:sz w:val="24"/>
          <w:szCs w:val="24"/>
          <w:highlight w:val="none"/>
          <w14:textFill>
            <w14:solidFill>
              <w14:schemeClr w14:val="tx1"/>
            </w14:solidFill>
          </w14:textFill>
        </w:rPr>
        <w:t>费用：是指为履行合同所发生的或将要发生的所有必需的开支，包括管理费和应分摊的其他费用，但不包括利润。</w:t>
      </w:r>
    </w:p>
    <w:p w14:paraId="6A752C6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1.1.5.4 </w:t>
      </w:r>
      <w:r>
        <w:rPr>
          <w:rFonts w:hint="eastAsia" w:ascii="宋体" w:hAnsi="宋体"/>
          <w:color w:val="000000" w:themeColor="text1"/>
          <w:kern w:val="0"/>
          <w:sz w:val="24"/>
          <w:szCs w:val="24"/>
          <w:highlight w:val="none"/>
          <w14:textFill>
            <w14:solidFill>
              <w14:schemeClr w14:val="tx1"/>
            </w14:solidFill>
          </w14:textFill>
        </w:rPr>
        <w:t>暂估价：是指发包人在工程量清单或预算书中提供的用于支付必然发生但暂时不能确定价格的材料、工程设备的单价、专业工程以及服务工作的金额。</w:t>
      </w:r>
    </w:p>
    <w:p w14:paraId="1AC39B8F">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1.1.5.5 </w:t>
      </w:r>
      <w:r>
        <w:rPr>
          <w:rFonts w:hint="eastAsia" w:ascii="宋体" w:hAnsi="宋体"/>
          <w:color w:val="000000" w:themeColor="text1"/>
          <w:kern w:val="0"/>
          <w:sz w:val="24"/>
          <w:szCs w:val="24"/>
          <w:highlight w:val="none"/>
          <w14:textFill>
            <w14:solidFill>
              <w14:schemeClr w14:val="tx1"/>
            </w14:solidFill>
          </w14:textFill>
        </w:rPr>
        <w:t>暂列金额：是指发包人在工程量清单或预算书中暂定并包括在合同价格中的一笔款项，用于工程合同签订时尚未确定或者不可预见的所需材料、工程设备、服务的采购，施工中可能发生的工程变更、合同约定调整因素出现时的合同价格调整以及发生的索赔、现场签证确认等的费用。</w:t>
      </w:r>
    </w:p>
    <w:p w14:paraId="2AC50E2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1.1.5.6 </w:t>
      </w:r>
      <w:r>
        <w:rPr>
          <w:rFonts w:hint="eastAsia" w:ascii="宋体" w:hAnsi="宋体"/>
          <w:color w:val="000000" w:themeColor="text1"/>
          <w:kern w:val="0"/>
          <w:sz w:val="24"/>
          <w:szCs w:val="24"/>
          <w:highlight w:val="none"/>
          <w14:textFill>
            <w14:solidFill>
              <w14:schemeClr w14:val="tx1"/>
            </w14:solidFill>
          </w14:textFill>
        </w:rPr>
        <w:t>计日工：是指合同履行过程中，承包人完成发包人提出的零星工作或需要采用计日工计价的变更工作时，按合同中约定的单价计价的一种方式。</w:t>
      </w:r>
    </w:p>
    <w:p w14:paraId="670ACFBC">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1.1.5.7 </w:t>
      </w:r>
      <w:r>
        <w:rPr>
          <w:rFonts w:hint="eastAsia" w:ascii="宋体" w:hAnsi="宋体"/>
          <w:color w:val="000000" w:themeColor="text1"/>
          <w:kern w:val="0"/>
          <w:sz w:val="24"/>
          <w:szCs w:val="24"/>
          <w:highlight w:val="none"/>
          <w14:textFill>
            <w14:solidFill>
              <w14:schemeClr w14:val="tx1"/>
            </w14:solidFill>
          </w14:textFill>
        </w:rPr>
        <w:t>质量保证金：是指按照第</w:t>
      </w:r>
      <w:r>
        <w:rPr>
          <w:rFonts w:ascii="宋体" w:hAnsi="宋体"/>
          <w:color w:val="000000" w:themeColor="text1"/>
          <w:kern w:val="0"/>
          <w:sz w:val="24"/>
          <w:szCs w:val="24"/>
          <w:highlight w:val="none"/>
          <w14:textFill>
            <w14:solidFill>
              <w14:schemeClr w14:val="tx1"/>
            </w14:solidFill>
          </w14:textFill>
        </w:rPr>
        <w:t>15.3款〔质量保证金〕约定承包人用于保证其在缺陷责任期内履行缺陷修补义务的担保。</w:t>
      </w:r>
    </w:p>
    <w:p w14:paraId="43AA4EC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1.1.5.8 </w:t>
      </w:r>
      <w:r>
        <w:rPr>
          <w:rFonts w:hint="eastAsia" w:ascii="宋体" w:hAnsi="宋体"/>
          <w:color w:val="000000" w:themeColor="text1"/>
          <w:kern w:val="0"/>
          <w:sz w:val="24"/>
          <w:szCs w:val="24"/>
          <w:highlight w:val="none"/>
          <w14:textFill>
            <w14:solidFill>
              <w14:schemeClr w14:val="tx1"/>
            </w14:solidFill>
          </w14:textFill>
        </w:rPr>
        <w:t>总价项目：是指在现行国家、行业以及地方的计量规则中无工程量计算规则，在已标价工程量清单或预算书中以总价或以费率形式计算的项目。</w:t>
      </w:r>
    </w:p>
    <w:p w14:paraId="5708A631">
      <w:pPr>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1.1.6 </w:t>
      </w:r>
      <w:r>
        <w:rPr>
          <w:rFonts w:hint="eastAsia" w:ascii="宋体" w:hAnsi="宋体"/>
          <w:color w:val="000000" w:themeColor="text1"/>
          <w:sz w:val="24"/>
          <w:szCs w:val="24"/>
          <w:highlight w:val="none"/>
          <w14:textFill>
            <w14:solidFill>
              <w14:schemeClr w14:val="tx1"/>
            </w14:solidFill>
          </w14:textFill>
        </w:rPr>
        <w:t>其他</w:t>
      </w:r>
    </w:p>
    <w:p w14:paraId="2068365A">
      <w:pPr>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1.1.6.1 </w:t>
      </w:r>
      <w:r>
        <w:rPr>
          <w:rFonts w:hint="eastAsia" w:ascii="宋体" w:hAnsi="宋体"/>
          <w:color w:val="000000" w:themeColor="text1"/>
          <w:sz w:val="24"/>
          <w:szCs w:val="24"/>
          <w:highlight w:val="none"/>
          <w14:textFill>
            <w14:solidFill>
              <w14:schemeClr w14:val="tx1"/>
            </w14:solidFill>
          </w14:textFill>
        </w:rPr>
        <w:t>书面形式：是指合同文件、信函、电报、传真等可以有形地表现所载内容的形式。</w:t>
      </w:r>
    </w:p>
    <w:p w14:paraId="403D1A8C">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08" w:name="_Toc351203497"/>
      <w:bookmarkStart w:id="109" w:name="_Toc337558729"/>
      <w:bookmarkStart w:id="110" w:name="_Toc296503029"/>
      <w:bookmarkStart w:id="111" w:name="_Toc296346530"/>
      <w:r>
        <w:rPr>
          <w:rFonts w:ascii="宋体" w:hAnsi="宋体"/>
          <w:color w:val="000000" w:themeColor="text1"/>
          <w:sz w:val="24"/>
          <w:szCs w:val="24"/>
          <w:highlight w:val="none"/>
          <w14:textFill>
            <w14:solidFill>
              <w14:schemeClr w14:val="tx1"/>
            </w14:solidFill>
          </w14:textFill>
        </w:rPr>
        <w:t>1.2语言文字</w:t>
      </w:r>
      <w:bookmarkEnd w:id="108"/>
      <w:bookmarkEnd w:id="109"/>
      <w:bookmarkEnd w:id="110"/>
      <w:bookmarkEnd w:id="111"/>
    </w:p>
    <w:p w14:paraId="46CBDB8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合同以中国的汉语简体文字编写、解释和说明。合同当事人在专用合同条款中约定使用两种以上语言时，汉语为优先解释和说明合同的语言。</w:t>
      </w:r>
    </w:p>
    <w:p w14:paraId="7653A931">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12" w:name="_Toc296503030"/>
      <w:bookmarkStart w:id="113" w:name="_Toc337558730"/>
      <w:bookmarkStart w:id="114" w:name="_Toc296346531"/>
      <w:bookmarkStart w:id="115" w:name="_Toc351203498"/>
      <w:r>
        <w:rPr>
          <w:rFonts w:ascii="宋体" w:hAnsi="宋体"/>
          <w:color w:val="000000" w:themeColor="text1"/>
          <w:sz w:val="24"/>
          <w:szCs w:val="24"/>
          <w:highlight w:val="none"/>
          <w14:textFill>
            <w14:solidFill>
              <w14:schemeClr w14:val="tx1"/>
            </w14:solidFill>
          </w14:textFill>
        </w:rPr>
        <w:t>1.3法律</w:t>
      </w:r>
      <w:bookmarkEnd w:id="112"/>
      <w:bookmarkEnd w:id="113"/>
      <w:bookmarkEnd w:id="114"/>
      <w:bookmarkEnd w:id="115"/>
    </w:p>
    <w:p w14:paraId="0EE336C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合同所称法律是指中华人民共和国法律、行政法规、部门规章，以及工程所在地的地方性法规、自治条例、单行条例和地方政府规章等。</w:t>
      </w:r>
    </w:p>
    <w:p w14:paraId="08AFE5F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合同当事人可以在专用合同条款中约定合同适用的其他规范性文件。</w:t>
      </w:r>
    </w:p>
    <w:p w14:paraId="00A63F66">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16" w:name="_Toc351203499"/>
      <w:r>
        <w:rPr>
          <w:rFonts w:ascii="宋体" w:hAnsi="宋体"/>
          <w:color w:val="000000" w:themeColor="text1"/>
          <w:sz w:val="24"/>
          <w:szCs w:val="24"/>
          <w:highlight w:val="none"/>
          <w14:textFill>
            <w14:solidFill>
              <w14:schemeClr w14:val="tx1"/>
            </w14:solidFill>
          </w14:textFill>
        </w:rPr>
        <w:t xml:space="preserve">1.4 </w:t>
      </w:r>
      <w:r>
        <w:rPr>
          <w:rFonts w:hint="eastAsia" w:ascii="宋体" w:hAnsi="宋体"/>
          <w:color w:val="000000" w:themeColor="text1"/>
          <w:sz w:val="24"/>
          <w:szCs w:val="24"/>
          <w:highlight w:val="none"/>
          <w14:textFill>
            <w14:solidFill>
              <w14:schemeClr w14:val="tx1"/>
            </w14:solidFill>
          </w14:textFill>
        </w:rPr>
        <w:t>标准和规范</w:t>
      </w:r>
      <w:bookmarkEnd w:id="116"/>
    </w:p>
    <w:p w14:paraId="29574B0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1.4.1 </w:t>
      </w:r>
      <w:r>
        <w:rPr>
          <w:rFonts w:hint="eastAsia" w:ascii="宋体" w:hAnsi="宋体"/>
          <w:color w:val="000000" w:themeColor="text1"/>
          <w:kern w:val="0"/>
          <w:sz w:val="24"/>
          <w:szCs w:val="24"/>
          <w:highlight w:val="none"/>
          <w14:textFill>
            <w14:solidFill>
              <w14:schemeClr w14:val="tx1"/>
            </w14:solidFill>
          </w14:textFill>
        </w:rPr>
        <w:t>适用于工程的国家标准、行业标准、工程所在地的地方性标准，以及相应的规范、规程等，合同当事人有特别要求的，应在专用合同条款中约定。</w:t>
      </w:r>
    </w:p>
    <w:p w14:paraId="0DBB760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1.4.2 </w:t>
      </w:r>
      <w:r>
        <w:rPr>
          <w:rFonts w:hint="eastAsia" w:ascii="宋体" w:hAnsi="宋体"/>
          <w:color w:val="000000" w:themeColor="text1"/>
          <w:kern w:val="0"/>
          <w:sz w:val="24"/>
          <w:szCs w:val="24"/>
          <w:highlight w:val="none"/>
          <w14:textFill>
            <w14:solidFill>
              <w14:schemeClr w14:val="tx1"/>
            </w14:solidFill>
          </w14:textFill>
        </w:rPr>
        <w:t>发包人要求使用国外标准、规范的，发包人负责提供原文版本和中文译本，并在专用合同条款中约定提供标准规范的名称、份数和时间。</w:t>
      </w:r>
    </w:p>
    <w:p w14:paraId="2AF39F3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1.4.3 </w:t>
      </w:r>
      <w:r>
        <w:rPr>
          <w:rFonts w:hint="eastAsia" w:ascii="宋体" w:hAnsi="宋体"/>
          <w:color w:val="000000" w:themeColor="text1"/>
          <w:kern w:val="0"/>
          <w:sz w:val="24"/>
          <w:szCs w:val="24"/>
          <w:highlight w:val="none"/>
          <w14:textFill>
            <w14:solidFill>
              <w14:schemeClr w14:val="tx1"/>
            </w14:solidFill>
          </w14:textFill>
        </w:rPr>
        <w:t>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p>
    <w:p w14:paraId="62A7733C">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17" w:name="_Toc351203500"/>
      <w:r>
        <w:rPr>
          <w:rFonts w:ascii="宋体" w:hAnsi="宋体"/>
          <w:color w:val="000000" w:themeColor="text1"/>
          <w:sz w:val="24"/>
          <w:szCs w:val="24"/>
          <w:highlight w:val="none"/>
          <w14:textFill>
            <w14:solidFill>
              <w14:schemeClr w14:val="tx1"/>
            </w14:solidFill>
          </w14:textFill>
        </w:rPr>
        <w:t>1</w:t>
      </w:r>
      <w:bookmarkStart w:id="118" w:name="_Toc296503031"/>
      <w:bookmarkStart w:id="119" w:name="_Toc337558731"/>
      <w:bookmarkStart w:id="120" w:name="_Toc296346532"/>
      <w:r>
        <w:rPr>
          <w:rFonts w:ascii="宋体" w:hAnsi="宋体"/>
          <w:color w:val="000000" w:themeColor="text1"/>
          <w:sz w:val="24"/>
          <w:szCs w:val="24"/>
          <w:highlight w:val="none"/>
          <w14:textFill>
            <w14:solidFill>
              <w14:schemeClr w14:val="tx1"/>
            </w14:solidFill>
          </w14:textFill>
        </w:rPr>
        <w:t xml:space="preserve">.5 </w:t>
      </w:r>
      <w:r>
        <w:rPr>
          <w:rFonts w:hint="eastAsia" w:ascii="宋体" w:hAnsi="宋体"/>
          <w:color w:val="000000" w:themeColor="text1"/>
          <w:sz w:val="24"/>
          <w:szCs w:val="24"/>
          <w:highlight w:val="none"/>
          <w14:textFill>
            <w14:solidFill>
              <w14:schemeClr w14:val="tx1"/>
            </w14:solidFill>
          </w14:textFill>
        </w:rPr>
        <w:t>合同文件的优先顺序</w:t>
      </w:r>
      <w:bookmarkEnd w:id="117"/>
    </w:p>
    <w:bookmarkEnd w:id="118"/>
    <w:bookmarkEnd w:id="119"/>
    <w:bookmarkEnd w:id="120"/>
    <w:p w14:paraId="56FBCFF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组成合同的各项文件应互相解释，互为说明。除专用合同条款另有约定外，解释合同文件的优先顺序如下：</w:t>
      </w:r>
    </w:p>
    <w:p w14:paraId="1D0D31D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1）合同协议书；</w:t>
      </w:r>
    </w:p>
    <w:p w14:paraId="476313E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2）中标通知书（如果有）；</w:t>
      </w:r>
    </w:p>
    <w:p w14:paraId="539419B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3）投标函及其附录（如果有）；</w:t>
      </w:r>
    </w:p>
    <w:p w14:paraId="4098255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4）专用合同条款及其附件；</w:t>
      </w:r>
    </w:p>
    <w:p w14:paraId="2D5092B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5）通用合同条款；</w:t>
      </w:r>
    </w:p>
    <w:p w14:paraId="648278F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6）技术标准和要求；</w:t>
      </w:r>
    </w:p>
    <w:p w14:paraId="1AF0410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7）图纸；</w:t>
      </w:r>
    </w:p>
    <w:p w14:paraId="589E565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8）已标价工程量清单或预算书；</w:t>
      </w:r>
    </w:p>
    <w:p w14:paraId="6F953D2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9）其他合同文件。</w:t>
      </w:r>
    </w:p>
    <w:p w14:paraId="1A647168">
      <w:pPr>
        <w:spacing w:line="360" w:lineRule="auto"/>
        <w:ind w:firstLine="511" w:firstLineChars="213"/>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上述各项合同文件包括合同当事人就该项合同文件所作出的补充和修改，属于同一类内容的文件，应以最新签署的为准。</w:t>
      </w:r>
    </w:p>
    <w:p w14:paraId="30EA1F38">
      <w:pPr>
        <w:spacing w:line="360" w:lineRule="auto"/>
        <w:ind w:firstLine="511" w:firstLineChars="213"/>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在合同订立及履行过程中形成的与合同有关的文件均构成合同文件组成部分，并根据其性质确定优先解释顺序。</w:t>
      </w:r>
    </w:p>
    <w:p w14:paraId="2D386D76">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21" w:name="_Toc351203501"/>
      <w:r>
        <w:rPr>
          <w:rFonts w:ascii="宋体" w:hAnsi="宋体"/>
          <w:color w:val="000000" w:themeColor="text1"/>
          <w:sz w:val="24"/>
          <w:szCs w:val="24"/>
          <w:highlight w:val="none"/>
          <w14:textFill>
            <w14:solidFill>
              <w14:schemeClr w14:val="tx1"/>
            </w14:solidFill>
          </w14:textFill>
        </w:rPr>
        <w:t>1</w:t>
      </w:r>
      <w:bookmarkStart w:id="122" w:name="_Toc296503032"/>
      <w:bookmarkStart w:id="123" w:name="_Toc337558732"/>
      <w:bookmarkStart w:id="124" w:name="_Toc296346533"/>
      <w:r>
        <w:rPr>
          <w:rFonts w:ascii="宋体" w:hAnsi="宋体"/>
          <w:color w:val="000000" w:themeColor="text1"/>
          <w:sz w:val="24"/>
          <w:szCs w:val="24"/>
          <w:highlight w:val="none"/>
          <w14:textFill>
            <w14:solidFill>
              <w14:schemeClr w14:val="tx1"/>
            </w14:solidFill>
          </w14:textFill>
        </w:rPr>
        <w:t>.6图纸和承包人文件</w:t>
      </w:r>
      <w:bookmarkEnd w:id="121"/>
    </w:p>
    <w:bookmarkEnd w:id="122"/>
    <w:bookmarkEnd w:id="123"/>
    <w:bookmarkEnd w:id="124"/>
    <w:p w14:paraId="55431A0D">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1.6.1 </w:t>
      </w:r>
      <w:r>
        <w:rPr>
          <w:rFonts w:hint="eastAsia" w:ascii="宋体" w:hAnsi="宋体"/>
          <w:color w:val="000000" w:themeColor="text1"/>
          <w:kern w:val="0"/>
          <w:sz w:val="24"/>
          <w:szCs w:val="24"/>
          <w:highlight w:val="none"/>
          <w14:textFill>
            <w14:solidFill>
              <w14:schemeClr w14:val="tx1"/>
            </w14:solidFill>
          </w14:textFill>
        </w:rPr>
        <w:t>图纸的提供和交底</w:t>
      </w:r>
    </w:p>
    <w:p w14:paraId="7B96F6DD">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发包人应按照专用合同条款约定的期限、数量和内容向承包人免费提供图纸，并组织承包人、监理人和设计人进行图纸会审和设计交底。发包人至迟不得晚于第</w:t>
      </w:r>
      <w:r>
        <w:rPr>
          <w:rFonts w:ascii="宋体" w:hAnsi="宋体"/>
          <w:color w:val="000000" w:themeColor="text1"/>
          <w:kern w:val="0"/>
          <w:sz w:val="24"/>
          <w:szCs w:val="24"/>
          <w:highlight w:val="none"/>
          <w14:textFill>
            <w14:solidFill>
              <w14:schemeClr w14:val="tx1"/>
            </w14:solidFill>
          </w14:textFill>
        </w:rPr>
        <w:t>7.3.2项〔开工通知〕载明的开工日期前14天向承包人提供图纸。</w:t>
      </w:r>
    </w:p>
    <w:p w14:paraId="58115204">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因发包人未按合同约定提供图纸导致承包人费用增加和（或）工期延误的，按照第</w:t>
      </w:r>
      <w:r>
        <w:rPr>
          <w:rFonts w:ascii="宋体" w:hAnsi="宋体"/>
          <w:color w:val="000000" w:themeColor="text1"/>
          <w:kern w:val="0"/>
          <w:sz w:val="24"/>
          <w:szCs w:val="24"/>
          <w:highlight w:val="none"/>
          <w14:textFill>
            <w14:solidFill>
              <w14:schemeClr w14:val="tx1"/>
            </w14:solidFill>
          </w14:textFill>
        </w:rPr>
        <w:t>7.5.1</w:t>
      </w:r>
      <w:r>
        <w:rPr>
          <w:rFonts w:hint="eastAsia" w:ascii="宋体" w:hAnsi="宋体"/>
          <w:color w:val="000000" w:themeColor="text1"/>
          <w:kern w:val="0"/>
          <w:sz w:val="24"/>
          <w:szCs w:val="24"/>
          <w:highlight w:val="none"/>
          <w14:textFill>
            <w14:solidFill>
              <w14:schemeClr w14:val="tx1"/>
            </w14:solidFill>
          </w14:textFill>
        </w:rPr>
        <w:t>项〔因发包人原因导致工期延误〕约定办理。</w:t>
      </w:r>
    </w:p>
    <w:p w14:paraId="3B1EC99C">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1.6.2 </w:t>
      </w:r>
      <w:r>
        <w:rPr>
          <w:rFonts w:hint="eastAsia" w:ascii="宋体" w:hAnsi="宋体"/>
          <w:color w:val="000000" w:themeColor="text1"/>
          <w:kern w:val="0"/>
          <w:sz w:val="24"/>
          <w:szCs w:val="24"/>
          <w:highlight w:val="none"/>
          <w14:textFill>
            <w14:solidFill>
              <w14:schemeClr w14:val="tx1"/>
            </w14:solidFill>
          </w14:textFill>
        </w:rPr>
        <w:t>图纸的错误</w:t>
      </w:r>
    </w:p>
    <w:p w14:paraId="40E9838F">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在收到发包人提供的图纸后，发现图纸存在差错、遗漏或缺陷的，应及时通知监理人。监理人接到该通知后，应附具相关意见并立即报送发包人，发包人应在收到监理人报送的通知后的合理时间内作出决定。合理时间是指发包人在收到监理人的报送通知后，尽其努力且不懈怠地完成图纸修改补充所需的时间。</w:t>
      </w:r>
    </w:p>
    <w:p w14:paraId="6079606E">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1.6.3 </w:t>
      </w:r>
      <w:r>
        <w:rPr>
          <w:rFonts w:hint="eastAsia" w:ascii="宋体" w:hAnsi="宋体"/>
          <w:color w:val="000000" w:themeColor="text1"/>
          <w:kern w:val="0"/>
          <w:sz w:val="24"/>
          <w:szCs w:val="24"/>
          <w:highlight w:val="none"/>
          <w14:textFill>
            <w14:solidFill>
              <w14:schemeClr w14:val="tx1"/>
            </w14:solidFill>
          </w14:textFill>
        </w:rPr>
        <w:t>图纸的修改和补充</w:t>
      </w:r>
    </w:p>
    <w:p w14:paraId="2235B6CB">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图纸需要修改和补充的，应经图纸原设计人及审批部门同意，并由监理人在工程或工程相应部位施工前将修改后的图纸或补充图纸提交给承包人，承包人应按修改或补充后的图纸施工。</w:t>
      </w:r>
    </w:p>
    <w:p w14:paraId="1ED0A4A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1.6.4 </w:t>
      </w:r>
      <w:r>
        <w:rPr>
          <w:rFonts w:hint="eastAsia" w:ascii="宋体" w:hAnsi="宋体"/>
          <w:color w:val="000000" w:themeColor="text1"/>
          <w:kern w:val="0"/>
          <w:sz w:val="24"/>
          <w:szCs w:val="24"/>
          <w:highlight w:val="none"/>
          <w14:textFill>
            <w14:solidFill>
              <w14:schemeClr w14:val="tx1"/>
            </w14:solidFill>
          </w14:textFill>
        </w:rPr>
        <w:t>承包人文件</w:t>
      </w:r>
    </w:p>
    <w:p w14:paraId="567CD93D">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承包人应按照专用合同条款的约定提供应当由其编制的与工程施工有关的文件，并按照专用合同条款约定的期限、数量和形式提交监理人，并由监理人报送发包人。</w:t>
      </w:r>
    </w:p>
    <w:p w14:paraId="1F7F0C0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除专用合同条款另有约定外，监理人应在收到承包人文件后</w:t>
      </w:r>
      <w:r>
        <w:rPr>
          <w:rFonts w:ascii="宋体" w:hAnsi="宋体"/>
          <w:color w:val="000000" w:themeColor="text1"/>
          <w:kern w:val="0"/>
          <w:sz w:val="24"/>
          <w:szCs w:val="24"/>
          <w:highlight w:val="none"/>
          <w14:textFill>
            <w14:solidFill>
              <w14:schemeClr w14:val="tx1"/>
            </w14:solidFill>
          </w14:textFill>
        </w:rPr>
        <w:t>7天内审查完毕，监理人对承包人文件有异议的，承包人应予以修改，并重新报送监理人。监理人的审查并不减轻或免除承包人根据合同约定应当承担的责任。</w:t>
      </w:r>
    </w:p>
    <w:p w14:paraId="20F3A08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1.6.5 </w:t>
      </w:r>
      <w:r>
        <w:rPr>
          <w:rFonts w:hint="eastAsia" w:ascii="宋体" w:hAnsi="宋体"/>
          <w:color w:val="000000" w:themeColor="text1"/>
          <w:kern w:val="0"/>
          <w:sz w:val="24"/>
          <w:szCs w:val="24"/>
          <w:highlight w:val="none"/>
          <w14:textFill>
            <w14:solidFill>
              <w14:schemeClr w14:val="tx1"/>
            </w14:solidFill>
          </w14:textFill>
        </w:rPr>
        <w:t>图纸和承包人文件的保管</w:t>
      </w:r>
    </w:p>
    <w:p w14:paraId="70765E24">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除专用合同条款另有约定外，承包人应在施工现场另外保存一套完整的图纸和承包人文件，供发包人、监理人及有关人员进行工程检查时使用。</w:t>
      </w:r>
    </w:p>
    <w:p w14:paraId="0EABBC70">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25" w:name="_Toc351203502"/>
      <w:r>
        <w:rPr>
          <w:rFonts w:ascii="宋体" w:hAnsi="宋体"/>
          <w:color w:val="000000" w:themeColor="text1"/>
          <w:sz w:val="24"/>
          <w:szCs w:val="24"/>
          <w:highlight w:val="none"/>
          <w14:textFill>
            <w14:solidFill>
              <w14:schemeClr w14:val="tx1"/>
            </w14:solidFill>
          </w14:textFill>
        </w:rPr>
        <w:t>1</w:t>
      </w:r>
      <w:bookmarkStart w:id="126" w:name="_Toc337558733"/>
      <w:bookmarkStart w:id="127" w:name="_Toc296503033"/>
      <w:bookmarkStart w:id="128" w:name="_Toc296346534"/>
      <w:r>
        <w:rPr>
          <w:rFonts w:ascii="宋体" w:hAnsi="宋体"/>
          <w:color w:val="000000" w:themeColor="text1"/>
          <w:sz w:val="24"/>
          <w:szCs w:val="24"/>
          <w:highlight w:val="none"/>
          <w14:textFill>
            <w14:solidFill>
              <w14:schemeClr w14:val="tx1"/>
            </w14:solidFill>
          </w14:textFill>
        </w:rPr>
        <w:t>.7联络</w:t>
      </w:r>
      <w:bookmarkEnd w:id="125"/>
    </w:p>
    <w:bookmarkEnd w:id="126"/>
    <w:bookmarkEnd w:id="127"/>
    <w:bookmarkEnd w:id="128"/>
    <w:p w14:paraId="60B64F5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1.7.1 </w:t>
      </w:r>
      <w:r>
        <w:rPr>
          <w:rFonts w:hint="eastAsia" w:ascii="宋体" w:hAnsi="宋体"/>
          <w:color w:val="000000" w:themeColor="text1"/>
          <w:kern w:val="0"/>
          <w:sz w:val="24"/>
          <w:szCs w:val="24"/>
          <w:highlight w:val="none"/>
          <w14:textFill>
            <w14:solidFill>
              <w14:schemeClr w14:val="tx1"/>
            </w14:solidFill>
          </w14:textFill>
        </w:rPr>
        <w:t>与合同有关的通知、批准、证明、证书、指示、指令、要求、请求、同意、意见、确定和决定等，均应采用书面形式，并应在合同约定的期限内送达接收人和送达地点。</w:t>
      </w:r>
    </w:p>
    <w:p w14:paraId="1816C12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1.7.2 </w:t>
      </w:r>
      <w:r>
        <w:rPr>
          <w:rFonts w:hint="eastAsia" w:ascii="宋体" w:hAnsi="宋体"/>
          <w:color w:val="000000" w:themeColor="text1"/>
          <w:kern w:val="0"/>
          <w:sz w:val="24"/>
          <w:szCs w:val="24"/>
          <w:highlight w:val="none"/>
          <w14:textFill>
            <w14:solidFill>
              <w14:schemeClr w14:val="tx1"/>
            </w14:solidFill>
          </w14:textFill>
        </w:rPr>
        <w:t>发包人和承包人应在专用合同条款中约定各自的送达接收人和送达地点。任何一方合同当事人指定的接收人或送达地点发生变动的，应提前</w:t>
      </w:r>
      <w:r>
        <w:rPr>
          <w:rFonts w:ascii="宋体" w:hAnsi="宋体"/>
          <w:color w:val="000000" w:themeColor="text1"/>
          <w:kern w:val="0"/>
          <w:sz w:val="24"/>
          <w:szCs w:val="24"/>
          <w:highlight w:val="none"/>
          <w14:textFill>
            <w14:solidFill>
              <w14:schemeClr w14:val="tx1"/>
            </w14:solidFill>
          </w14:textFill>
        </w:rPr>
        <w:t>3天以书面形式通知对方。</w:t>
      </w:r>
    </w:p>
    <w:p w14:paraId="523C991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1.7.3 </w:t>
      </w:r>
      <w:r>
        <w:rPr>
          <w:rFonts w:hint="eastAsia" w:ascii="宋体" w:hAnsi="宋体"/>
          <w:color w:val="000000" w:themeColor="text1"/>
          <w:kern w:val="0"/>
          <w:sz w:val="24"/>
          <w:szCs w:val="24"/>
          <w:highlight w:val="none"/>
          <w14:textFill>
            <w14:solidFill>
              <w14:schemeClr w14:val="tx1"/>
            </w14:solidFill>
          </w14:textFill>
        </w:rPr>
        <w:t>发包人和承包人应当及时签收另一方送达至送达地点和指定接收人的来往信函。拒不签收的，由此增加的费用和（或）延误的工期由拒绝接收一方承担。</w:t>
      </w:r>
    </w:p>
    <w:p w14:paraId="1050FF70">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29" w:name="_Toc351203503"/>
      <w:r>
        <w:rPr>
          <w:rFonts w:ascii="宋体" w:hAnsi="宋体"/>
          <w:color w:val="000000" w:themeColor="text1"/>
          <w:sz w:val="24"/>
          <w:szCs w:val="24"/>
          <w:highlight w:val="none"/>
          <w14:textFill>
            <w14:solidFill>
              <w14:schemeClr w14:val="tx1"/>
            </w14:solidFill>
          </w14:textFill>
        </w:rPr>
        <w:t>1</w:t>
      </w:r>
      <w:bookmarkStart w:id="130" w:name="_Toc296346536"/>
      <w:bookmarkStart w:id="131" w:name="_Toc296503035"/>
      <w:bookmarkStart w:id="132" w:name="_Toc337558734"/>
      <w:r>
        <w:rPr>
          <w:rFonts w:ascii="宋体" w:hAnsi="宋体"/>
          <w:color w:val="000000" w:themeColor="text1"/>
          <w:sz w:val="24"/>
          <w:szCs w:val="24"/>
          <w:highlight w:val="none"/>
          <w14:textFill>
            <w14:solidFill>
              <w14:schemeClr w14:val="tx1"/>
            </w14:solidFill>
          </w14:textFill>
        </w:rPr>
        <w:t>.8严禁贿赂</w:t>
      </w:r>
      <w:bookmarkEnd w:id="129"/>
    </w:p>
    <w:bookmarkEnd w:id="130"/>
    <w:bookmarkEnd w:id="131"/>
    <w:bookmarkEnd w:id="132"/>
    <w:p w14:paraId="36CA259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合同当事人不得以贿赂或变相贿赂的方式，谋取非法利益或损害对方权益。因一方合同当事人的贿赂造成对方损失的，应赔偿损失，并承担相应的法律责任。</w:t>
      </w:r>
    </w:p>
    <w:p w14:paraId="396C180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承包人不得与监理人或发包人聘请的第三方串通损害发包人利益。未经发包人书面同意，承包人不得为监理人提供合同约定以外的通讯设备、交通工具及其他任何形式的利益，不得向监理人支付报酬。</w:t>
      </w:r>
    </w:p>
    <w:p w14:paraId="7723C115">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33" w:name="_Toc351203504"/>
      <w:r>
        <w:rPr>
          <w:rFonts w:ascii="宋体" w:hAnsi="宋体"/>
          <w:color w:val="000000" w:themeColor="text1"/>
          <w:sz w:val="24"/>
          <w:szCs w:val="24"/>
          <w:highlight w:val="none"/>
          <w14:textFill>
            <w14:solidFill>
              <w14:schemeClr w14:val="tx1"/>
            </w14:solidFill>
          </w14:textFill>
        </w:rPr>
        <w:t>1</w:t>
      </w:r>
      <w:bookmarkStart w:id="134" w:name="_Toc296346537"/>
      <w:bookmarkStart w:id="135" w:name="_Toc337558735"/>
      <w:bookmarkStart w:id="136" w:name="_Toc296503036"/>
      <w:r>
        <w:rPr>
          <w:rFonts w:ascii="宋体" w:hAnsi="宋体"/>
          <w:color w:val="000000" w:themeColor="text1"/>
          <w:sz w:val="24"/>
          <w:szCs w:val="24"/>
          <w:highlight w:val="none"/>
          <w14:textFill>
            <w14:solidFill>
              <w14:schemeClr w14:val="tx1"/>
            </w14:solidFill>
          </w14:textFill>
        </w:rPr>
        <w:t>.9化石、文物</w:t>
      </w:r>
      <w:bookmarkEnd w:id="133"/>
    </w:p>
    <w:bookmarkEnd w:id="134"/>
    <w:bookmarkEnd w:id="135"/>
    <w:bookmarkEnd w:id="136"/>
    <w:p w14:paraId="5945E50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p>
    <w:p w14:paraId="6DFE94D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发包人、监理人和承包人应按有关政府行政管理部门要求采取妥善的保护措施，由此增加的费用和（或）延误的工期由发包人承担。</w:t>
      </w:r>
    </w:p>
    <w:p w14:paraId="4AB2AC5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承包人发现文物后不及时报告或隐瞒不报，致使文物丢失或损坏的，应赔偿损失，并承担相应的法律责任。</w:t>
      </w:r>
    </w:p>
    <w:p w14:paraId="38CB6799">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37" w:name="_Toc351203505"/>
      <w:r>
        <w:rPr>
          <w:rFonts w:ascii="宋体" w:hAnsi="宋体"/>
          <w:color w:val="000000" w:themeColor="text1"/>
          <w:sz w:val="24"/>
          <w:szCs w:val="24"/>
          <w:highlight w:val="none"/>
          <w14:textFill>
            <w14:solidFill>
              <w14:schemeClr w14:val="tx1"/>
            </w14:solidFill>
          </w14:textFill>
        </w:rPr>
        <w:t>1</w:t>
      </w:r>
      <w:bookmarkStart w:id="138" w:name="_Toc337558736"/>
      <w:r>
        <w:rPr>
          <w:rFonts w:ascii="宋体" w:hAnsi="宋体"/>
          <w:color w:val="000000" w:themeColor="text1"/>
          <w:sz w:val="24"/>
          <w:szCs w:val="24"/>
          <w:highlight w:val="none"/>
          <w14:textFill>
            <w14:solidFill>
              <w14:schemeClr w14:val="tx1"/>
            </w14:solidFill>
          </w14:textFill>
        </w:rPr>
        <w:t>.10交通运输</w:t>
      </w:r>
      <w:bookmarkEnd w:id="137"/>
    </w:p>
    <w:bookmarkEnd w:id="138"/>
    <w:p w14:paraId="62D6BBB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1.10.1出入现场的权利</w:t>
      </w:r>
    </w:p>
    <w:p w14:paraId="6E14AF4F">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发包人应根据施工需要，负责取得出入施工现场所需的批准手续和全部权利，以及取得因施工所需修建道路、桥梁以及其他基础设施的权利，并承担相关手续费用和建设费用。承包人应协助发包人办理修建场内外道路、桥梁以及其他基础设施的手续。</w:t>
      </w:r>
    </w:p>
    <w:p w14:paraId="31A2CB9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承包人应在订立合同前查勘施工现场，并根据工程规模及技术参数合理预见工程施工所需的进出施工现场的方式、手段、路径等。因承包人未合理预见所增加的费用和（或）延误的工期由承包人承担。</w:t>
      </w:r>
    </w:p>
    <w:p w14:paraId="2D4FB00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1.10.2场外交通</w:t>
      </w:r>
    </w:p>
    <w:p w14:paraId="08C399E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p>
    <w:p w14:paraId="46F689AD">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1.10.3场内交通</w:t>
      </w:r>
    </w:p>
    <w:p w14:paraId="750FA5D4">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p>
    <w:p w14:paraId="2B8AC02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发包人按照合同约定提供的场内道路和交通设施外，承包人负责修建、维修、养护和管理施工所需的其他场内临时道路和交通设施。发包人和监理人可以为实现合同目的使用承包人修建的场内临时道路和交通设施。</w:t>
      </w:r>
    </w:p>
    <w:p w14:paraId="2C15130B">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场外交通和场内交通的边界由合同当事人在专用合同条款中约定。</w:t>
      </w:r>
    </w:p>
    <w:p w14:paraId="6A5ECE2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1.10.4超大件和超重件的运输</w:t>
      </w:r>
    </w:p>
    <w:p w14:paraId="0B83569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p>
    <w:p w14:paraId="08EB8CB4">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1.10.5道路和桥梁的损坏责任</w:t>
      </w:r>
    </w:p>
    <w:p w14:paraId="49F78BB0">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因承包人运输造成施工场地内外公共道路和桥梁损坏的，由承包人承担修复损坏的全部费用和可能引起的赔偿。</w:t>
      </w:r>
    </w:p>
    <w:p w14:paraId="64940877">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1.10.6水路和航空运输</w:t>
      </w:r>
    </w:p>
    <w:p w14:paraId="3A6A3824">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本款前述各项的内容适用于水路运输和航空运输，其中“道路”一词的涵义包括河道、航线、船闸、机场、码头、堤防以及水路或航空运输中其他相似结构物；“车辆”一词的涵义包括船舶和飞机等。</w:t>
      </w:r>
    </w:p>
    <w:p w14:paraId="0DE97A83">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39" w:name="_Toc351203506"/>
      <w:r>
        <w:rPr>
          <w:rFonts w:ascii="宋体" w:hAnsi="宋体"/>
          <w:color w:val="000000" w:themeColor="text1"/>
          <w:sz w:val="24"/>
          <w:szCs w:val="24"/>
          <w:highlight w:val="none"/>
          <w14:textFill>
            <w14:solidFill>
              <w14:schemeClr w14:val="tx1"/>
            </w14:solidFill>
          </w14:textFill>
        </w:rPr>
        <w:t>1</w:t>
      </w:r>
      <w:bookmarkStart w:id="140" w:name="_Toc337558737"/>
      <w:bookmarkStart w:id="141" w:name="_Toc296503037"/>
      <w:bookmarkStart w:id="142" w:name="_Toc296346538"/>
      <w:r>
        <w:rPr>
          <w:rFonts w:ascii="宋体" w:hAnsi="宋体"/>
          <w:color w:val="000000" w:themeColor="text1"/>
          <w:sz w:val="24"/>
          <w:szCs w:val="24"/>
          <w:highlight w:val="none"/>
          <w14:textFill>
            <w14:solidFill>
              <w14:schemeClr w14:val="tx1"/>
            </w14:solidFill>
          </w14:textFill>
        </w:rPr>
        <w:t>.11知识产权</w:t>
      </w:r>
      <w:bookmarkEnd w:id="139"/>
      <w:bookmarkEnd w:id="140"/>
    </w:p>
    <w:bookmarkEnd w:id="141"/>
    <w:bookmarkEnd w:id="142"/>
    <w:p w14:paraId="6FEFC5E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1.11.1 </w:t>
      </w:r>
      <w:r>
        <w:rPr>
          <w:rFonts w:hint="eastAsia" w:ascii="宋体" w:hAnsi="宋体"/>
          <w:color w:val="000000" w:themeColor="text1"/>
          <w:kern w:val="0"/>
          <w:sz w:val="24"/>
          <w:szCs w:val="24"/>
          <w:highlight w:val="none"/>
          <w14:textFill>
            <w14:solidFill>
              <w14:schemeClr w14:val="tx1"/>
            </w14:solidFill>
          </w14:textFill>
        </w:rPr>
        <w:t>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p>
    <w:p w14:paraId="4F62F43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1.11.2 </w:t>
      </w:r>
      <w:r>
        <w:rPr>
          <w:rFonts w:hint="eastAsia" w:ascii="宋体" w:hAnsi="宋体"/>
          <w:color w:val="000000" w:themeColor="text1"/>
          <w:kern w:val="0"/>
          <w:sz w:val="24"/>
          <w:szCs w:val="24"/>
          <w:highlight w:val="none"/>
          <w14:textFill>
            <w14:solidFill>
              <w14:schemeClr w14:val="tx1"/>
            </w14:solidFill>
          </w14:textFill>
        </w:rPr>
        <w:t>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p>
    <w:p w14:paraId="716B62A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1.11.3 </w:t>
      </w:r>
      <w:r>
        <w:rPr>
          <w:rFonts w:hint="eastAsia" w:ascii="宋体" w:hAnsi="宋体"/>
          <w:color w:val="000000" w:themeColor="text1"/>
          <w:kern w:val="0"/>
          <w:sz w:val="24"/>
          <w:szCs w:val="24"/>
          <w:highlight w:val="none"/>
          <w14:textFill>
            <w14:solidFill>
              <w14:schemeClr w14:val="tx1"/>
            </w14:solidFill>
          </w14:textFill>
        </w:rPr>
        <w:t>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p>
    <w:p w14:paraId="3E260026">
      <w:pPr>
        <w:spacing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1.11.4 </w:t>
      </w:r>
      <w:r>
        <w:rPr>
          <w:rFonts w:hint="eastAsia" w:ascii="宋体" w:hAnsi="宋体"/>
          <w:color w:val="000000" w:themeColor="text1"/>
          <w:sz w:val="24"/>
          <w:szCs w:val="24"/>
          <w:highlight w:val="none"/>
          <w14:textFill>
            <w14:solidFill>
              <w14:schemeClr w14:val="tx1"/>
            </w14:solidFill>
          </w14:textFill>
        </w:rPr>
        <w:t>除专用合同条款另有约定外，承包人在合同签订前和签订时已确定采用的专利、专有技术、技术秘密的使用费已包含在签约合同价中。</w:t>
      </w:r>
    </w:p>
    <w:p w14:paraId="2EDEEC08">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43" w:name="_Toc351203507"/>
      <w:r>
        <w:rPr>
          <w:rFonts w:ascii="宋体" w:hAnsi="宋体"/>
          <w:color w:val="000000" w:themeColor="text1"/>
          <w:sz w:val="24"/>
          <w:szCs w:val="24"/>
          <w:highlight w:val="none"/>
          <w14:textFill>
            <w14:solidFill>
              <w14:schemeClr w14:val="tx1"/>
            </w14:solidFill>
          </w14:textFill>
        </w:rPr>
        <w:t>1</w:t>
      </w:r>
      <w:bookmarkStart w:id="144" w:name="_Toc337558738"/>
      <w:r>
        <w:rPr>
          <w:rFonts w:ascii="宋体" w:hAnsi="宋体"/>
          <w:color w:val="000000" w:themeColor="text1"/>
          <w:sz w:val="24"/>
          <w:szCs w:val="24"/>
          <w:highlight w:val="none"/>
          <w14:textFill>
            <w14:solidFill>
              <w14:schemeClr w14:val="tx1"/>
            </w14:solidFill>
          </w14:textFill>
        </w:rPr>
        <w:t>.12保密</w:t>
      </w:r>
      <w:bookmarkEnd w:id="143"/>
    </w:p>
    <w:bookmarkEnd w:id="144"/>
    <w:p w14:paraId="2B79A62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除法律规定或合同另有约定外，未经发包人同意，承包人不得将发包人提供的图纸、文件以及声明需要保密的资料信息等商业秘密泄露给第三方。</w:t>
      </w:r>
    </w:p>
    <w:p w14:paraId="33AEC6B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除法律规定或合同另有约定外，未经承包人同意，发包人不得将承包人提供的技术秘密及声明需要保密的资料信息等商业秘密泄露给第三方。</w:t>
      </w:r>
    </w:p>
    <w:p w14:paraId="1E11CA50">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45" w:name="_Toc351203508"/>
      <w:r>
        <w:rPr>
          <w:rFonts w:ascii="宋体" w:hAnsi="宋体"/>
          <w:color w:val="000000" w:themeColor="text1"/>
          <w:sz w:val="24"/>
          <w:szCs w:val="24"/>
          <w:highlight w:val="none"/>
          <w14:textFill>
            <w14:solidFill>
              <w14:schemeClr w14:val="tx1"/>
            </w14:solidFill>
          </w14:textFill>
        </w:rPr>
        <w:t>1.13工程量清单错误的修正</w:t>
      </w:r>
      <w:bookmarkEnd w:id="145"/>
    </w:p>
    <w:p w14:paraId="0EAD66D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除专用合同条款另有约定外，发包人提供的工程量清单，应被认为是准确的和完整的。出现下列情形之一时，发包人应予以修正，并相应调整合同价格：</w:t>
      </w:r>
    </w:p>
    <w:p w14:paraId="126C054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1）工程量清单存在缺项、漏项的；</w:t>
      </w:r>
    </w:p>
    <w:p w14:paraId="250ED74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2）工程量清单偏差超出专用合同条款约定的工程量偏差范围的；</w:t>
      </w:r>
    </w:p>
    <w:p w14:paraId="4026D63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3）未按照国家现行计量规范强制性规定计量的。</w:t>
      </w:r>
    </w:p>
    <w:p w14:paraId="6FA04EF4">
      <w:pPr>
        <w:spacing w:line="360" w:lineRule="auto"/>
        <w:ind w:firstLine="480" w:firstLineChars="200"/>
        <w:outlineLvl w:val="9"/>
        <w:rPr>
          <w:rFonts w:ascii="宋体" w:hAnsi="宋体" w:eastAsia="宋体"/>
          <w:b w:val="0"/>
          <w:color w:val="000000" w:themeColor="text1"/>
          <w:sz w:val="24"/>
          <w:szCs w:val="24"/>
          <w:highlight w:val="none"/>
          <w14:textFill>
            <w14:solidFill>
              <w14:schemeClr w14:val="tx1"/>
            </w14:solidFill>
          </w14:textFill>
        </w:rPr>
      </w:pPr>
      <w:bookmarkStart w:id="146" w:name="_Toc351203509"/>
      <w:r>
        <w:rPr>
          <w:rFonts w:ascii="宋体" w:hAnsi="宋体" w:eastAsia="宋体"/>
          <w:b w:val="0"/>
          <w:color w:val="000000" w:themeColor="text1"/>
          <w:sz w:val="24"/>
          <w:szCs w:val="24"/>
          <w:highlight w:val="none"/>
          <w14:textFill>
            <w14:solidFill>
              <w14:schemeClr w14:val="tx1"/>
            </w14:solidFill>
          </w14:textFill>
        </w:rPr>
        <w:t>2</w:t>
      </w:r>
      <w:bookmarkStart w:id="147" w:name="_Toc296346539"/>
      <w:bookmarkStart w:id="148" w:name="_Toc296503038"/>
      <w:bookmarkStart w:id="149" w:name="_Toc337558739"/>
      <w:r>
        <w:rPr>
          <w:rFonts w:ascii="宋体" w:hAnsi="宋体" w:eastAsia="宋体"/>
          <w:b w:val="0"/>
          <w:color w:val="000000" w:themeColor="text1"/>
          <w:sz w:val="24"/>
          <w:szCs w:val="24"/>
          <w:highlight w:val="none"/>
          <w14:textFill>
            <w14:solidFill>
              <w14:schemeClr w14:val="tx1"/>
            </w14:solidFill>
          </w14:textFill>
        </w:rPr>
        <w:t xml:space="preserve">. </w:t>
      </w:r>
      <w:r>
        <w:rPr>
          <w:rFonts w:hint="eastAsia" w:ascii="宋体" w:hAnsi="宋体" w:eastAsia="宋体"/>
          <w:b w:val="0"/>
          <w:color w:val="000000" w:themeColor="text1"/>
          <w:sz w:val="24"/>
          <w:szCs w:val="24"/>
          <w:highlight w:val="none"/>
          <w14:textFill>
            <w14:solidFill>
              <w14:schemeClr w14:val="tx1"/>
            </w14:solidFill>
          </w14:textFill>
        </w:rPr>
        <w:t>发包人</w:t>
      </w:r>
      <w:bookmarkEnd w:id="146"/>
    </w:p>
    <w:bookmarkEnd w:id="147"/>
    <w:bookmarkEnd w:id="148"/>
    <w:bookmarkEnd w:id="149"/>
    <w:p w14:paraId="5F65FAA1">
      <w:pPr>
        <w:spacing w:before="100" w:after="100" w:line="360" w:lineRule="auto"/>
        <w:ind w:firstLine="480" w:firstLineChars="200"/>
        <w:outlineLvl w:val="9"/>
        <w:rPr>
          <w:rFonts w:ascii="宋体" w:hAnsi="宋体"/>
          <w:color w:val="000000" w:themeColor="text1"/>
          <w:sz w:val="24"/>
          <w:szCs w:val="24"/>
          <w:highlight w:val="none"/>
          <w14:textFill>
            <w14:solidFill>
              <w14:schemeClr w14:val="tx1"/>
            </w14:solidFill>
          </w14:textFill>
        </w:rPr>
      </w:pPr>
      <w:bookmarkStart w:id="150" w:name="_Toc351203510"/>
      <w:r>
        <w:rPr>
          <w:rFonts w:ascii="宋体" w:hAnsi="宋体"/>
          <w:color w:val="000000" w:themeColor="text1"/>
          <w:sz w:val="24"/>
          <w:szCs w:val="24"/>
          <w:highlight w:val="none"/>
          <w14:textFill>
            <w14:solidFill>
              <w14:schemeClr w14:val="tx1"/>
            </w14:solidFill>
          </w14:textFill>
        </w:rPr>
        <w:t>2</w:t>
      </w:r>
      <w:bookmarkStart w:id="151" w:name="_Toc337558740"/>
      <w:bookmarkStart w:id="152" w:name="_Toc296346540"/>
      <w:bookmarkStart w:id="153" w:name="_Toc296503039"/>
      <w:r>
        <w:rPr>
          <w:rFonts w:ascii="宋体" w:hAnsi="宋体"/>
          <w:color w:val="000000" w:themeColor="text1"/>
          <w:sz w:val="24"/>
          <w:szCs w:val="24"/>
          <w:highlight w:val="none"/>
          <w14:textFill>
            <w14:solidFill>
              <w14:schemeClr w14:val="tx1"/>
            </w14:solidFill>
          </w14:textFill>
        </w:rPr>
        <w:t xml:space="preserve">.1 </w:t>
      </w:r>
      <w:r>
        <w:rPr>
          <w:rFonts w:hint="eastAsia" w:ascii="宋体" w:hAnsi="宋体"/>
          <w:color w:val="000000" w:themeColor="text1"/>
          <w:sz w:val="24"/>
          <w:szCs w:val="24"/>
          <w:highlight w:val="none"/>
          <w14:textFill>
            <w14:solidFill>
              <w14:schemeClr w14:val="tx1"/>
            </w14:solidFill>
          </w14:textFill>
        </w:rPr>
        <w:t>许可或批准</w:t>
      </w:r>
      <w:bookmarkEnd w:id="150"/>
    </w:p>
    <w:p w14:paraId="0FB2A45A">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p>
    <w:p w14:paraId="5D5E2B0D">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因发包人原因未能及时办理完毕前述许可、批准或备案，由发包人承担由此增加的费用和（或）延误的工期，并支付承包人合理的利润。</w:t>
      </w:r>
    </w:p>
    <w:p w14:paraId="733E3CC4">
      <w:pPr>
        <w:spacing w:before="100" w:after="100" w:line="360" w:lineRule="auto"/>
        <w:ind w:firstLine="480" w:firstLineChars="200"/>
        <w:outlineLvl w:val="9"/>
        <w:rPr>
          <w:rFonts w:ascii="宋体" w:hAnsi="宋体"/>
          <w:color w:val="000000" w:themeColor="text1"/>
          <w:sz w:val="24"/>
          <w:szCs w:val="24"/>
          <w:highlight w:val="none"/>
          <w14:textFill>
            <w14:solidFill>
              <w14:schemeClr w14:val="tx1"/>
            </w14:solidFill>
          </w14:textFill>
        </w:rPr>
      </w:pPr>
      <w:bookmarkStart w:id="154" w:name="_Toc351203511"/>
      <w:r>
        <w:rPr>
          <w:rFonts w:ascii="宋体" w:hAnsi="宋体"/>
          <w:color w:val="000000" w:themeColor="text1"/>
          <w:sz w:val="24"/>
          <w:szCs w:val="24"/>
          <w:highlight w:val="none"/>
          <w14:textFill>
            <w14:solidFill>
              <w14:schemeClr w14:val="tx1"/>
            </w14:solidFill>
          </w14:textFill>
        </w:rPr>
        <w:t xml:space="preserve">2.2 </w:t>
      </w:r>
      <w:r>
        <w:rPr>
          <w:rFonts w:hint="eastAsia" w:ascii="宋体" w:hAnsi="宋体"/>
          <w:color w:val="000000" w:themeColor="text1"/>
          <w:sz w:val="24"/>
          <w:szCs w:val="24"/>
          <w:highlight w:val="none"/>
          <w14:textFill>
            <w14:solidFill>
              <w14:schemeClr w14:val="tx1"/>
            </w14:solidFill>
          </w14:textFill>
        </w:rPr>
        <w:t>发包人代表</w:t>
      </w:r>
      <w:bookmarkEnd w:id="154"/>
    </w:p>
    <w:p w14:paraId="280AC6DD">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w:t>
      </w:r>
      <w:r>
        <w:rPr>
          <w:rFonts w:ascii="宋体" w:hAnsi="宋体"/>
          <w:color w:val="000000" w:themeColor="text1"/>
          <w:kern w:val="0"/>
          <w:sz w:val="24"/>
          <w:szCs w:val="24"/>
          <w:highlight w:val="none"/>
          <w14:textFill>
            <w14:solidFill>
              <w14:schemeClr w14:val="tx1"/>
            </w14:solidFill>
          </w14:textFill>
        </w:rPr>
        <w:t>7天书面通知承包人。</w:t>
      </w:r>
    </w:p>
    <w:p w14:paraId="5D9BD7A4">
      <w:pPr>
        <w:spacing w:line="360" w:lineRule="auto"/>
        <w:ind w:firstLine="480" w:firstLineChars="200"/>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发包人代表不能按照合同约定履行其职责及义务，并导致合同无法继续正常履行的，承包人可以要求发包人撤换发包人代表。</w:t>
      </w:r>
    </w:p>
    <w:p w14:paraId="66391813">
      <w:pPr>
        <w:spacing w:line="360" w:lineRule="auto"/>
        <w:ind w:firstLine="480" w:firstLineChars="200"/>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不属于法定必须监理的工程，监理人的职权可以由发包人代表或发包人指定的其他人员行使。</w:t>
      </w:r>
    </w:p>
    <w:p w14:paraId="3F84BB47">
      <w:pPr>
        <w:spacing w:before="100" w:after="100" w:line="360" w:lineRule="auto"/>
        <w:ind w:firstLine="480" w:firstLineChars="200"/>
        <w:outlineLvl w:val="9"/>
        <w:rPr>
          <w:rFonts w:ascii="宋体" w:hAnsi="宋体"/>
          <w:color w:val="000000" w:themeColor="text1"/>
          <w:sz w:val="24"/>
          <w:szCs w:val="24"/>
          <w:highlight w:val="none"/>
          <w14:textFill>
            <w14:solidFill>
              <w14:schemeClr w14:val="tx1"/>
            </w14:solidFill>
          </w14:textFill>
        </w:rPr>
      </w:pPr>
      <w:bookmarkStart w:id="155" w:name="_Toc351203512"/>
      <w:r>
        <w:rPr>
          <w:rFonts w:ascii="宋体" w:hAnsi="宋体"/>
          <w:color w:val="000000" w:themeColor="text1"/>
          <w:sz w:val="24"/>
          <w:szCs w:val="24"/>
          <w:highlight w:val="none"/>
          <w14:textFill>
            <w14:solidFill>
              <w14:schemeClr w14:val="tx1"/>
            </w14:solidFill>
          </w14:textFill>
        </w:rPr>
        <w:t xml:space="preserve">2.3 </w:t>
      </w:r>
      <w:r>
        <w:rPr>
          <w:rFonts w:hint="eastAsia" w:ascii="宋体" w:hAnsi="宋体"/>
          <w:color w:val="000000" w:themeColor="text1"/>
          <w:sz w:val="24"/>
          <w:szCs w:val="24"/>
          <w:highlight w:val="none"/>
          <w14:textFill>
            <w14:solidFill>
              <w14:schemeClr w14:val="tx1"/>
            </w14:solidFill>
          </w14:textFill>
        </w:rPr>
        <w:t>发包人人员</w:t>
      </w:r>
      <w:bookmarkEnd w:id="155"/>
    </w:p>
    <w:p w14:paraId="4A4F635C">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发包人应要求在施工现场的发包人人员遵守法律及有关安全、质量、环境保护、文明施工等规定，并保障承包人免于承受因发包人人员未遵守上述要求给承包人造成的损失和责任。</w:t>
      </w:r>
    </w:p>
    <w:p w14:paraId="24B680B5">
      <w:pPr>
        <w:spacing w:line="360" w:lineRule="auto"/>
        <w:ind w:firstLine="64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发包人人员包括发包人代表及其他由发包人派驻施工现场的人员。</w:t>
      </w:r>
      <w:bookmarkEnd w:id="151"/>
      <w:bookmarkEnd w:id="152"/>
      <w:bookmarkEnd w:id="153"/>
    </w:p>
    <w:p w14:paraId="5D0ADF0B">
      <w:pPr>
        <w:spacing w:before="100" w:after="100" w:line="360" w:lineRule="auto"/>
        <w:ind w:firstLine="480" w:firstLineChars="200"/>
        <w:outlineLvl w:val="9"/>
        <w:rPr>
          <w:rFonts w:ascii="宋体" w:hAnsi="宋体"/>
          <w:color w:val="000000" w:themeColor="text1"/>
          <w:sz w:val="24"/>
          <w:szCs w:val="24"/>
          <w:highlight w:val="none"/>
          <w14:textFill>
            <w14:solidFill>
              <w14:schemeClr w14:val="tx1"/>
            </w14:solidFill>
          </w14:textFill>
        </w:rPr>
      </w:pPr>
      <w:bookmarkStart w:id="156" w:name="_Toc351203513"/>
      <w:r>
        <w:rPr>
          <w:rFonts w:ascii="宋体" w:hAnsi="宋体"/>
          <w:color w:val="000000" w:themeColor="text1"/>
          <w:sz w:val="24"/>
          <w:szCs w:val="24"/>
          <w:highlight w:val="none"/>
          <w14:textFill>
            <w14:solidFill>
              <w14:schemeClr w14:val="tx1"/>
            </w14:solidFill>
          </w14:textFill>
        </w:rPr>
        <w:t>2</w:t>
      </w:r>
      <w:bookmarkStart w:id="157" w:name="_Toc337558741"/>
      <w:bookmarkStart w:id="158" w:name="_Toc296346541"/>
      <w:bookmarkStart w:id="159" w:name="_Toc296503040"/>
      <w:r>
        <w:rPr>
          <w:rFonts w:ascii="宋体" w:hAnsi="宋体"/>
          <w:color w:val="000000" w:themeColor="text1"/>
          <w:sz w:val="24"/>
          <w:szCs w:val="24"/>
          <w:highlight w:val="none"/>
          <w14:textFill>
            <w14:solidFill>
              <w14:schemeClr w14:val="tx1"/>
            </w14:solidFill>
          </w14:textFill>
        </w:rPr>
        <w:t xml:space="preserve">.4 </w:t>
      </w:r>
      <w:r>
        <w:rPr>
          <w:rFonts w:hint="eastAsia" w:ascii="宋体" w:hAnsi="宋体"/>
          <w:color w:val="000000" w:themeColor="text1"/>
          <w:sz w:val="24"/>
          <w:szCs w:val="24"/>
          <w:highlight w:val="none"/>
          <w14:textFill>
            <w14:solidFill>
              <w14:schemeClr w14:val="tx1"/>
            </w14:solidFill>
          </w14:textFill>
        </w:rPr>
        <w:t>施工现场、施工条件和基础资料的提供</w:t>
      </w:r>
      <w:bookmarkEnd w:id="156"/>
      <w:bookmarkEnd w:id="157"/>
      <w:bookmarkEnd w:id="158"/>
      <w:bookmarkEnd w:id="159"/>
    </w:p>
    <w:p w14:paraId="4E0615BD">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2.4.1 </w:t>
      </w:r>
      <w:r>
        <w:rPr>
          <w:rFonts w:hint="eastAsia" w:ascii="宋体" w:hAnsi="宋体"/>
          <w:color w:val="000000" w:themeColor="text1"/>
          <w:kern w:val="0"/>
          <w:sz w:val="24"/>
          <w:szCs w:val="24"/>
          <w:highlight w:val="none"/>
          <w14:textFill>
            <w14:solidFill>
              <w14:schemeClr w14:val="tx1"/>
            </w14:solidFill>
          </w14:textFill>
        </w:rPr>
        <w:t>提供施工现场</w:t>
      </w:r>
    </w:p>
    <w:p w14:paraId="3FAF1975">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除专用合同条款另有约定外，发包人应最迟于开工日期</w:t>
      </w:r>
      <w:r>
        <w:rPr>
          <w:rFonts w:ascii="宋体" w:hAnsi="宋体"/>
          <w:color w:val="000000" w:themeColor="text1"/>
          <w:kern w:val="0"/>
          <w:sz w:val="24"/>
          <w:szCs w:val="24"/>
          <w:highlight w:val="none"/>
          <w14:textFill>
            <w14:solidFill>
              <w14:schemeClr w14:val="tx1"/>
            </w14:solidFill>
          </w14:textFill>
        </w:rPr>
        <w:t>7天前向承包人移交施工现场。</w:t>
      </w:r>
    </w:p>
    <w:p w14:paraId="37B9096E">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2.4.2 </w:t>
      </w:r>
      <w:r>
        <w:rPr>
          <w:rFonts w:hint="eastAsia" w:ascii="宋体" w:hAnsi="宋体"/>
          <w:color w:val="000000" w:themeColor="text1"/>
          <w:kern w:val="0"/>
          <w:sz w:val="24"/>
          <w:szCs w:val="24"/>
          <w:highlight w:val="none"/>
          <w14:textFill>
            <w14:solidFill>
              <w14:schemeClr w14:val="tx1"/>
            </w14:solidFill>
          </w14:textFill>
        </w:rPr>
        <w:t>提供施工条件</w:t>
      </w:r>
    </w:p>
    <w:p w14:paraId="1CC446D9">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除专用合同条款另有约定外，发包人应负责提供施工所需要的条件，包括：</w:t>
      </w:r>
    </w:p>
    <w:p w14:paraId="1955D3A7">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1）将施工用水、电力、通讯线路等施工所必需的条件接至施工现场内；</w:t>
      </w:r>
    </w:p>
    <w:p w14:paraId="6D8F8EE7">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2）保证向承包人提供正常施工所需要的进入施工现场的交通条件；</w:t>
      </w:r>
    </w:p>
    <w:p w14:paraId="55DC806B">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3）协调处理施工现场周围地下管线和邻近建筑物、构筑物、古树名木的保护工作，并承担相关费用；</w:t>
      </w:r>
    </w:p>
    <w:p w14:paraId="78226FFF">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4）按照专用合同条款约定应提供的其他设施和条件。</w:t>
      </w:r>
    </w:p>
    <w:p w14:paraId="23757085">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2.4.3 </w:t>
      </w:r>
      <w:r>
        <w:rPr>
          <w:rFonts w:hint="eastAsia" w:ascii="宋体" w:hAnsi="宋体"/>
          <w:color w:val="000000" w:themeColor="text1"/>
          <w:kern w:val="0"/>
          <w:sz w:val="24"/>
          <w:szCs w:val="24"/>
          <w:highlight w:val="none"/>
          <w14:textFill>
            <w14:solidFill>
              <w14:schemeClr w14:val="tx1"/>
            </w14:solidFill>
          </w14:textFill>
        </w:rPr>
        <w:t>提供基础资料</w:t>
      </w:r>
    </w:p>
    <w:p w14:paraId="14FDC11B">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p>
    <w:p w14:paraId="692A57BD">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按照法律规定确需在开工后方能提供的基础资料，发包人应尽其努力及时地在相应工程施工前的合理期限内提供，合理期限应以不影响承包人的正常施工为限。</w:t>
      </w:r>
    </w:p>
    <w:p w14:paraId="3CDF5E1B">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2.4.4 </w:t>
      </w:r>
      <w:r>
        <w:rPr>
          <w:rFonts w:hint="eastAsia" w:ascii="宋体" w:hAnsi="宋体"/>
          <w:color w:val="000000" w:themeColor="text1"/>
          <w:kern w:val="0"/>
          <w:sz w:val="24"/>
          <w:szCs w:val="24"/>
          <w:highlight w:val="none"/>
          <w14:textFill>
            <w14:solidFill>
              <w14:schemeClr w14:val="tx1"/>
            </w14:solidFill>
          </w14:textFill>
        </w:rPr>
        <w:t>逾期提供的责任</w:t>
      </w:r>
    </w:p>
    <w:p w14:paraId="47865703">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因发包人原因未能按合同约定及时向承包人提供施工现场、施工条件、基础资料的，由发包人承担由此增加的费用和（或）延误的工期。</w:t>
      </w:r>
    </w:p>
    <w:p w14:paraId="61F1CF76">
      <w:pPr>
        <w:spacing w:before="100" w:after="100" w:line="360" w:lineRule="auto"/>
        <w:ind w:firstLine="480" w:firstLineChars="200"/>
        <w:outlineLvl w:val="9"/>
        <w:rPr>
          <w:rFonts w:ascii="宋体" w:hAnsi="宋体"/>
          <w:color w:val="000000" w:themeColor="text1"/>
          <w:sz w:val="24"/>
          <w:szCs w:val="24"/>
          <w:highlight w:val="none"/>
          <w14:textFill>
            <w14:solidFill>
              <w14:schemeClr w14:val="tx1"/>
            </w14:solidFill>
          </w14:textFill>
        </w:rPr>
      </w:pPr>
      <w:bookmarkStart w:id="160" w:name="_Toc351203514"/>
      <w:r>
        <w:rPr>
          <w:rFonts w:ascii="宋体" w:hAnsi="宋体"/>
          <w:color w:val="000000" w:themeColor="text1"/>
          <w:sz w:val="24"/>
          <w:szCs w:val="24"/>
          <w:highlight w:val="none"/>
          <w14:textFill>
            <w14:solidFill>
              <w14:schemeClr w14:val="tx1"/>
            </w14:solidFill>
          </w14:textFill>
        </w:rPr>
        <w:t>2</w:t>
      </w:r>
      <w:bookmarkStart w:id="161" w:name="_Toc296503042"/>
      <w:bookmarkStart w:id="162" w:name="_Toc337558745"/>
      <w:bookmarkStart w:id="163" w:name="_Toc296346543"/>
      <w:r>
        <w:rPr>
          <w:rFonts w:ascii="宋体" w:hAnsi="宋体"/>
          <w:color w:val="000000" w:themeColor="text1"/>
          <w:sz w:val="24"/>
          <w:szCs w:val="24"/>
          <w:highlight w:val="none"/>
          <w14:textFill>
            <w14:solidFill>
              <w14:schemeClr w14:val="tx1"/>
            </w14:solidFill>
          </w14:textFill>
        </w:rPr>
        <w:t xml:space="preserve">.5 </w:t>
      </w:r>
      <w:r>
        <w:rPr>
          <w:rFonts w:hint="eastAsia" w:ascii="宋体" w:hAnsi="宋体"/>
          <w:color w:val="000000" w:themeColor="text1"/>
          <w:sz w:val="24"/>
          <w:szCs w:val="24"/>
          <w:highlight w:val="none"/>
          <w14:textFill>
            <w14:solidFill>
              <w14:schemeClr w14:val="tx1"/>
            </w14:solidFill>
          </w14:textFill>
        </w:rPr>
        <w:t>资</w:t>
      </w:r>
      <w:bookmarkEnd w:id="161"/>
      <w:bookmarkEnd w:id="162"/>
      <w:bookmarkEnd w:id="163"/>
      <w:r>
        <w:rPr>
          <w:rFonts w:hint="eastAsia" w:ascii="宋体" w:hAnsi="宋体"/>
          <w:color w:val="000000" w:themeColor="text1"/>
          <w:sz w:val="24"/>
          <w:szCs w:val="24"/>
          <w:highlight w:val="none"/>
          <w14:textFill>
            <w14:solidFill>
              <w14:schemeClr w14:val="tx1"/>
            </w14:solidFill>
          </w14:textFill>
        </w:rPr>
        <w:t>金来源证明及支付担保</w:t>
      </w:r>
      <w:bookmarkEnd w:id="160"/>
    </w:p>
    <w:p w14:paraId="2121FF21">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除专用合同条款另有约定外，发包人应在收到承包人要求提供资金来源证明的书面通知后</w:t>
      </w:r>
      <w:r>
        <w:rPr>
          <w:rFonts w:ascii="宋体" w:hAnsi="宋体"/>
          <w:color w:val="000000" w:themeColor="text1"/>
          <w:kern w:val="0"/>
          <w:sz w:val="24"/>
          <w:szCs w:val="24"/>
          <w:highlight w:val="none"/>
          <w14:textFill>
            <w14:solidFill>
              <w14:schemeClr w14:val="tx1"/>
            </w14:solidFill>
          </w14:textFill>
        </w:rPr>
        <w:t>28天内，向承包人提供能够按照合同约定支付合同价款的相应资金来源证明。</w:t>
      </w:r>
    </w:p>
    <w:p w14:paraId="11418A5C">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除专用合同条款另有约定外，发包人要求承包人提供履约担保的，发包人应当向承包人提供支付担保。支付担保可以采用银行保函或担保公司担保等形式，具体由合同当事人在专用合同条款中约定。</w:t>
      </w:r>
    </w:p>
    <w:p w14:paraId="6F53D1FC">
      <w:pPr>
        <w:spacing w:before="100" w:after="100" w:line="360" w:lineRule="auto"/>
        <w:ind w:firstLine="480" w:firstLineChars="200"/>
        <w:outlineLvl w:val="9"/>
        <w:rPr>
          <w:rFonts w:ascii="宋体" w:hAnsi="宋体"/>
          <w:color w:val="000000" w:themeColor="text1"/>
          <w:sz w:val="24"/>
          <w:szCs w:val="24"/>
          <w:highlight w:val="none"/>
          <w14:textFill>
            <w14:solidFill>
              <w14:schemeClr w14:val="tx1"/>
            </w14:solidFill>
          </w14:textFill>
        </w:rPr>
      </w:pPr>
      <w:bookmarkStart w:id="164" w:name="_Toc351203515"/>
      <w:r>
        <w:rPr>
          <w:rFonts w:ascii="宋体" w:hAnsi="宋体"/>
          <w:color w:val="000000" w:themeColor="text1"/>
          <w:sz w:val="24"/>
          <w:szCs w:val="24"/>
          <w:highlight w:val="none"/>
          <w14:textFill>
            <w14:solidFill>
              <w14:schemeClr w14:val="tx1"/>
            </w14:solidFill>
          </w14:textFill>
        </w:rPr>
        <w:t xml:space="preserve">2.6 </w:t>
      </w:r>
      <w:r>
        <w:rPr>
          <w:rFonts w:hint="eastAsia" w:ascii="宋体" w:hAnsi="宋体"/>
          <w:color w:val="000000" w:themeColor="text1"/>
          <w:sz w:val="24"/>
          <w:szCs w:val="24"/>
          <w:highlight w:val="none"/>
          <w14:textFill>
            <w14:solidFill>
              <w14:schemeClr w14:val="tx1"/>
            </w14:solidFill>
          </w14:textFill>
        </w:rPr>
        <w:t>支付合同价款</w:t>
      </w:r>
      <w:bookmarkEnd w:id="164"/>
    </w:p>
    <w:p w14:paraId="74FEA5DB">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发包人应按合同约定向承包人及时支付合同价款。</w:t>
      </w:r>
    </w:p>
    <w:p w14:paraId="0330EE62">
      <w:pPr>
        <w:spacing w:before="100" w:after="100" w:line="360" w:lineRule="auto"/>
        <w:ind w:firstLine="480" w:firstLineChars="200"/>
        <w:outlineLvl w:val="9"/>
        <w:rPr>
          <w:rFonts w:ascii="宋体" w:hAnsi="宋体"/>
          <w:color w:val="000000" w:themeColor="text1"/>
          <w:sz w:val="24"/>
          <w:szCs w:val="24"/>
          <w:highlight w:val="none"/>
          <w14:textFill>
            <w14:solidFill>
              <w14:schemeClr w14:val="tx1"/>
            </w14:solidFill>
          </w14:textFill>
        </w:rPr>
      </w:pPr>
      <w:bookmarkStart w:id="165" w:name="_Toc351203516"/>
      <w:r>
        <w:rPr>
          <w:rFonts w:ascii="宋体" w:hAnsi="宋体"/>
          <w:color w:val="000000" w:themeColor="text1"/>
          <w:sz w:val="24"/>
          <w:szCs w:val="24"/>
          <w:highlight w:val="none"/>
          <w14:textFill>
            <w14:solidFill>
              <w14:schemeClr w14:val="tx1"/>
            </w14:solidFill>
          </w14:textFill>
        </w:rPr>
        <w:t xml:space="preserve">2.7 </w:t>
      </w:r>
      <w:r>
        <w:rPr>
          <w:rFonts w:hint="eastAsia" w:ascii="宋体" w:hAnsi="宋体"/>
          <w:color w:val="000000" w:themeColor="text1"/>
          <w:sz w:val="24"/>
          <w:szCs w:val="24"/>
          <w:highlight w:val="none"/>
          <w14:textFill>
            <w14:solidFill>
              <w14:schemeClr w14:val="tx1"/>
            </w14:solidFill>
          </w14:textFill>
        </w:rPr>
        <w:t>组织竣工验收</w:t>
      </w:r>
      <w:bookmarkEnd w:id="165"/>
    </w:p>
    <w:p w14:paraId="08E9AEEB">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发包人应按合同约定及时组织竣工验收。</w:t>
      </w:r>
    </w:p>
    <w:p w14:paraId="28982A9A">
      <w:pPr>
        <w:spacing w:before="100" w:after="100" w:line="360" w:lineRule="auto"/>
        <w:ind w:firstLine="480" w:firstLineChars="200"/>
        <w:outlineLvl w:val="9"/>
        <w:rPr>
          <w:rFonts w:ascii="宋体" w:hAnsi="宋体"/>
          <w:color w:val="000000" w:themeColor="text1"/>
          <w:sz w:val="24"/>
          <w:szCs w:val="24"/>
          <w:highlight w:val="none"/>
          <w14:textFill>
            <w14:solidFill>
              <w14:schemeClr w14:val="tx1"/>
            </w14:solidFill>
          </w14:textFill>
        </w:rPr>
      </w:pPr>
      <w:bookmarkStart w:id="166" w:name="_Toc351203517"/>
      <w:r>
        <w:rPr>
          <w:rFonts w:ascii="宋体" w:hAnsi="宋体"/>
          <w:color w:val="000000" w:themeColor="text1"/>
          <w:sz w:val="24"/>
          <w:szCs w:val="24"/>
          <w:highlight w:val="none"/>
          <w14:textFill>
            <w14:solidFill>
              <w14:schemeClr w14:val="tx1"/>
            </w14:solidFill>
          </w14:textFill>
        </w:rPr>
        <w:t xml:space="preserve">2.8 </w:t>
      </w:r>
      <w:r>
        <w:rPr>
          <w:rFonts w:hint="eastAsia" w:ascii="宋体" w:hAnsi="宋体"/>
          <w:color w:val="000000" w:themeColor="text1"/>
          <w:sz w:val="24"/>
          <w:szCs w:val="24"/>
          <w:highlight w:val="none"/>
          <w14:textFill>
            <w14:solidFill>
              <w14:schemeClr w14:val="tx1"/>
            </w14:solidFill>
          </w14:textFill>
        </w:rPr>
        <w:t>现场统一管理协议</w:t>
      </w:r>
      <w:bookmarkEnd w:id="166"/>
    </w:p>
    <w:p w14:paraId="06C515A2">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发包人应与承包人、由发包人直接发包的专业工程的承包人签订施工现场统一管理协议，明确各方的权利义务。施工现场统一管理协议作为专用合同条款的附件。</w:t>
      </w:r>
    </w:p>
    <w:p w14:paraId="070FE11D">
      <w:pPr>
        <w:spacing w:line="360" w:lineRule="auto"/>
        <w:ind w:firstLine="480" w:firstLineChars="200"/>
        <w:outlineLvl w:val="9"/>
        <w:rPr>
          <w:rFonts w:ascii="宋体" w:hAnsi="宋体" w:eastAsia="宋体"/>
          <w:b w:val="0"/>
          <w:color w:val="000000" w:themeColor="text1"/>
          <w:sz w:val="24"/>
          <w:szCs w:val="24"/>
          <w:highlight w:val="none"/>
          <w14:textFill>
            <w14:solidFill>
              <w14:schemeClr w14:val="tx1"/>
            </w14:solidFill>
          </w14:textFill>
        </w:rPr>
      </w:pPr>
      <w:bookmarkStart w:id="167" w:name="_Toc351203518"/>
      <w:r>
        <w:rPr>
          <w:rFonts w:ascii="宋体" w:hAnsi="宋体" w:eastAsia="宋体"/>
          <w:b w:val="0"/>
          <w:color w:val="000000" w:themeColor="text1"/>
          <w:sz w:val="24"/>
          <w:szCs w:val="24"/>
          <w:highlight w:val="none"/>
          <w14:textFill>
            <w14:solidFill>
              <w14:schemeClr w14:val="tx1"/>
            </w14:solidFill>
          </w14:textFill>
        </w:rPr>
        <w:t>3</w:t>
      </w:r>
      <w:bookmarkStart w:id="168" w:name="_Toc337558746"/>
      <w:bookmarkStart w:id="169" w:name="_Toc296346546"/>
      <w:bookmarkStart w:id="170" w:name="_Toc296503045"/>
      <w:r>
        <w:rPr>
          <w:rFonts w:ascii="宋体" w:hAnsi="宋体" w:eastAsia="宋体"/>
          <w:b w:val="0"/>
          <w:color w:val="000000" w:themeColor="text1"/>
          <w:sz w:val="24"/>
          <w:szCs w:val="24"/>
          <w:highlight w:val="none"/>
          <w14:textFill>
            <w14:solidFill>
              <w14:schemeClr w14:val="tx1"/>
            </w14:solidFill>
          </w14:textFill>
        </w:rPr>
        <w:t xml:space="preserve">. </w:t>
      </w:r>
      <w:r>
        <w:rPr>
          <w:rFonts w:hint="eastAsia" w:ascii="宋体" w:hAnsi="宋体" w:eastAsia="宋体"/>
          <w:b w:val="0"/>
          <w:color w:val="000000" w:themeColor="text1"/>
          <w:sz w:val="24"/>
          <w:szCs w:val="24"/>
          <w:highlight w:val="none"/>
          <w14:textFill>
            <w14:solidFill>
              <w14:schemeClr w14:val="tx1"/>
            </w14:solidFill>
          </w14:textFill>
        </w:rPr>
        <w:t>承包人</w:t>
      </w:r>
      <w:bookmarkEnd w:id="167"/>
    </w:p>
    <w:bookmarkEnd w:id="168"/>
    <w:bookmarkEnd w:id="169"/>
    <w:bookmarkEnd w:id="170"/>
    <w:p w14:paraId="2C35DDAD">
      <w:pPr>
        <w:spacing w:before="100" w:after="100" w:line="360" w:lineRule="auto"/>
        <w:ind w:firstLine="480" w:firstLineChars="200"/>
        <w:outlineLvl w:val="9"/>
        <w:rPr>
          <w:rFonts w:ascii="宋体" w:hAnsi="宋体"/>
          <w:color w:val="000000" w:themeColor="text1"/>
          <w:sz w:val="24"/>
          <w:szCs w:val="24"/>
          <w:highlight w:val="none"/>
          <w14:textFill>
            <w14:solidFill>
              <w14:schemeClr w14:val="tx1"/>
            </w14:solidFill>
          </w14:textFill>
        </w:rPr>
      </w:pPr>
      <w:bookmarkStart w:id="171" w:name="_Toc351203519"/>
      <w:r>
        <w:rPr>
          <w:rFonts w:ascii="宋体" w:hAnsi="宋体"/>
          <w:color w:val="000000" w:themeColor="text1"/>
          <w:sz w:val="24"/>
          <w:szCs w:val="24"/>
          <w:highlight w:val="none"/>
          <w14:textFill>
            <w14:solidFill>
              <w14:schemeClr w14:val="tx1"/>
            </w14:solidFill>
          </w14:textFill>
        </w:rPr>
        <w:t>3</w:t>
      </w:r>
      <w:bookmarkStart w:id="172" w:name="_Toc296503046"/>
      <w:bookmarkStart w:id="173" w:name="_Toc337558747"/>
      <w:bookmarkStart w:id="174" w:name="_Toc296346547"/>
      <w:r>
        <w:rPr>
          <w:rFonts w:ascii="宋体" w:hAnsi="宋体"/>
          <w:color w:val="000000" w:themeColor="text1"/>
          <w:sz w:val="24"/>
          <w:szCs w:val="24"/>
          <w:highlight w:val="none"/>
          <w14:textFill>
            <w14:solidFill>
              <w14:schemeClr w14:val="tx1"/>
            </w14:solidFill>
          </w14:textFill>
        </w:rPr>
        <w:t xml:space="preserve">.1 </w:t>
      </w:r>
      <w:r>
        <w:rPr>
          <w:rFonts w:hint="eastAsia" w:ascii="宋体" w:hAnsi="宋体"/>
          <w:color w:val="000000" w:themeColor="text1"/>
          <w:sz w:val="24"/>
          <w:szCs w:val="24"/>
          <w:highlight w:val="none"/>
          <w14:textFill>
            <w14:solidFill>
              <w14:schemeClr w14:val="tx1"/>
            </w14:solidFill>
          </w14:textFill>
        </w:rPr>
        <w:t>承包人的一般义务</w:t>
      </w:r>
      <w:bookmarkEnd w:id="171"/>
    </w:p>
    <w:bookmarkEnd w:id="172"/>
    <w:bookmarkEnd w:id="173"/>
    <w:bookmarkEnd w:id="174"/>
    <w:p w14:paraId="5BBBAC9A">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承包人在履行合同过程中应遵守法律和工程建设标准规范，并履行以下义务：</w:t>
      </w:r>
    </w:p>
    <w:p w14:paraId="0ED5A9D6">
      <w:pPr>
        <w:autoSpaceDE w:val="0"/>
        <w:autoSpaceDN w:val="0"/>
        <w:adjustRightInd w:val="0"/>
        <w:spacing w:line="360" w:lineRule="auto"/>
        <w:ind w:left="420" w:left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（1）办理法律规定应由承包人办理的许可和批准，并将办理结果书面报送发包人留存；</w:t>
      </w:r>
    </w:p>
    <w:p w14:paraId="0A3FED28">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2）按法律规定和合同约定完成工程，并在保修期内承担保修义务；</w:t>
      </w:r>
    </w:p>
    <w:p w14:paraId="0E98D564">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3）按法律规定和合同约定采取施工安全和环境保护措施，办理工伤保险，确保工程及人员、材料、设备和设施的安全；</w:t>
      </w:r>
    </w:p>
    <w:p w14:paraId="44D3A679">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4）按合同约定的工作内容和施工进度要求，编制施工组织设计和施工措施计划，并对所有施工作业和</w:t>
      </w:r>
      <w:r>
        <w:rPr>
          <w:rFonts w:hint="eastAsia" w:ascii="宋体" w:hAnsi="宋体"/>
          <w:color w:val="000000" w:themeColor="text1"/>
          <w:kern w:val="0"/>
          <w:sz w:val="24"/>
          <w:szCs w:val="24"/>
          <w:highlight w:val="none"/>
          <w14:textFill>
            <w14:solidFill>
              <w14:schemeClr w14:val="tx1"/>
            </w14:solidFill>
          </w14:textFill>
        </w:rPr>
        <w:t>施工方</w:t>
      </w:r>
      <w:r>
        <w:rPr>
          <w:rFonts w:ascii="宋体" w:hAnsi="宋体"/>
          <w:color w:val="000000" w:themeColor="text1"/>
          <w:kern w:val="0"/>
          <w:sz w:val="24"/>
          <w:szCs w:val="24"/>
          <w:highlight w:val="none"/>
          <w14:textFill>
            <w14:solidFill>
              <w14:schemeClr w14:val="tx1"/>
            </w14:solidFill>
          </w14:textFill>
        </w:rPr>
        <w:t>法的完备性和安全可靠性负责；</w:t>
      </w:r>
    </w:p>
    <w:p w14:paraId="7DEA5F71">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5）在进行合同约定的各项工作时，不得侵害发包人与他人使用公用道路、水源、市</w:t>
      </w:r>
      <w:r>
        <w:rPr>
          <w:rFonts w:hint="eastAsia" w:ascii="宋体" w:hAnsi="宋体"/>
          <w:color w:val="000000" w:themeColor="text1"/>
          <w:kern w:val="0"/>
          <w:sz w:val="24"/>
          <w:szCs w:val="24"/>
          <w:highlight w:val="none"/>
          <w14:textFill>
            <w14:solidFill>
              <w14:schemeClr w14:val="tx1"/>
            </w14:solidFill>
          </w14:textFill>
        </w:rPr>
        <w:t>政管网等公共设施的权利，避免对邻近的公共设施产生干扰。承包人占用或使用他人的施工场地，影响他人作业或生活的，应承担相应责任；</w:t>
      </w:r>
    </w:p>
    <w:p w14:paraId="6CC2217D">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6）按照第6.3款〔环境保护〕约定负责施工场地及其周边环境与生态的保护工作；</w:t>
      </w:r>
    </w:p>
    <w:p w14:paraId="6610139A">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7）按第6.1款〔安全文明施工〕约定采取施工安全措施，确保工程及其人员、材料、设备和设施的安全，防止因工程施工造成的人身伤害和财产损失；</w:t>
      </w:r>
    </w:p>
    <w:p w14:paraId="79E82214">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8）将发包人按合同约定支付的各项价款专用于合同工程，且应及时支付其雇用人员工资，并及时向分包人支付合同价款；</w:t>
      </w:r>
    </w:p>
    <w:p w14:paraId="36E5705F">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9）按照法律规定和合同约定编制竣工资料，完成竣工资料立卷及归档，并按专用合同条款约定的竣工资料的套数、内容、时间等要求移交发包人；</w:t>
      </w:r>
    </w:p>
    <w:p w14:paraId="409B6322">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10）应履行的其他义务。</w:t>
      </w:r>
    </w:p>
    <w:p w14:paraId="626BB280">
      <w:pPr>
        <w:spacing w:before="100" w:after="100" w:line="360" w:lineRule="auto"/>
        <w:ind w:firstLine="480" w:firstLineChars="200"/>
        <w:outlineLvl w:val="9"/>
        <w:rPr>
          <w:rFonts w:ascii="宋体" w:hAnsi="宋体"/>
          <w:color w:val="000000" w:themeColor="text1"/>
          <w:sz w:val="24"/>
          <w:szCs w:val="24"/>
          <w:highlight w:val="none"/>
          <w14:textFill>
            <w14:solidFill>
              <w14:schemeClr w14:val="tx1"/>
            </w14:solidFill>
          </w14:textFill>
        </w:rPr>
      </w:pPr>
      <w:bookmarkStart w:id="175" w:name="_Toc351203520"/>
      <w:r>
        <w:rPr>
          <w:rFonts w:ascii="宋体" w:hAnsi="宋体"/>
          <w:color w:val="000000" w:themeColor="text1"/>
          <w:sz w:val="24"/>
          <w:szCs w:val="24"/>
          <w:highlight w:val="none"/>
          <w14:textFill>
            <w14:solidFill>
              <w14:schemeClr w14:val="tx1"/>
            </w14:solidFill>
          </w14:textFill>
        </w:rPr>
        <w:t>3</w:t>
      </w:r>
      <w:bookmarkStart w:id="176" w:name="_Toc296503047"/>
      <w:bookmarkStart w:id="177" w:name="_Toc296346548"/>
      <w:bookmarkStart w:id="178" w:name="_Toc337558748"/>
      <w:r>
        <w:rPr>
          <w:rFonts w:ascii="宋体" w:hAnsi="宋体"/>
          <w:color w:val="000000" w:themeColor="text1"/>
          <w:sz w:val="24"/>
          <w:szCs w:val="24"/>
          <w:highlight w:val="none"/>
          <w14:textFill>
            <w14:solidFill>
              <w14:schemeClr w14:val="tx1"/>
            </w14:solidFill>
          </w14:textFill>
        </w:rPr>
        <w:t xml:space="preserve">.2 </w:t>
      </w:r>
      <w:bookmarkEnd w:id="175"/>
      <w:r>
        <w:rPr>
          <w:rFonts w:hint="eastAsia" w:ascii="宋体" w:hAnsi="宋体"/>
          <w:color w:val="000000" w:themeColor="text1"/>
          <w:sz w:val="24"/>
          <w:szCs w:val="24"/>
          <w:highlight w:val="none"/>
          <w14:textFill>
            <w14:solidFill>
              <w14:schemeClr w14:val="tx1"/>
            </w14:solidFill>
          </w14:textFill>
        </w:rPr>
        <w:t>项目经理</w:t>
      </w:r>
    </w:p>
    <w:bookmarkEnd w:id="176"/>
    <w:bookmarkEnd w:id="177"/>
    <w:bookmarkEnd w:id="178"/>
    <w:p w14:paraId="46FC2FA2">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3.2.1 </w:t>
      </w:r>
      <w:r>
        <w:rPr>
          <w:rFonts w:hint="eastAsia" w:ascii="宋体" w:hAnsi="宋体"/>
          <w:color w:val="000000" w:themeColor="text1"/>
          <w:kern w:val="0"/>
          <w:sz w:val="24"/>
          <w:szCs w:val="24"/>
          <w:highlight w:val="none"/>
          <w14:textFill>
            <w14:solidFill>
              <w14:schemeClr w14:val="tx1"/>
            </w14:solidFill>
          </w14:textFill>
        </w:rPr>
        <w:t>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w:t>
      </w:r>
    </w:p>
    <w:p w14:paraId="063C3F41">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p>
    <w:p w14:paraId="1646A3F1">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承包人违反上述约定的，应按照专用合同条款的约定，承担违约责任。</w:t>
      </w:r>
    </w:p>
    <w:p w14:paraId="1775F445">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3.2.2 </w:t>
      </w:r>
      <w:r>
        <w:rPr>
          <w:rFonts w:hint="eastAsia" w:ascii="宋体" w:hAnsi="宋体"/>
          <w:color w:val="000000" w:themeColor="text1"/>
          <w:kern w:val="0"/>
          <w:sz w:val="24"/>
          <w:szCs w:val="24"/>
          <w:highlight w:val="none"/>
          <w14:textFill>
            <w14:solidFill>
              <w14:schemeClr w14:val="tx1"/>
            </w14:solidFill>
          </w14:textFill>
        </w:rPr>
        <w:t>项目经理按合同约定组织工程实施。在紧急情况下为确保施工安全和人员安全，在无法与发包人代表和总监理工程师及时取得联系时，项目经理有权采取必要的措施保证与工程有关的人身、财产和工程的安全，但应在</w:t>
      </w:r>
      <w:r>
        <w:rPr>
          <w:rFonts w:ascii="宋体" w:hAnsi="宋体"/>
          <w:color w:val="000000" w:themeColor="text1"/>
          <w:kern w:val="0"/>
          <w:sz w:val="24"/>
          <w:szCs w:val="24"/>
          <w:highlight w:val="none"/>
          <w14:textFill>
            <w14:solidFill>
              <w14:schemeClr w14:val="tx1"/>
            </w14:solidFill>
          </w14:textFill>
        </w:rPr>
        <w:t>48小时内向发包人代表和总监理工程师提交书面报告。</w:t>
      </w:r>
    </w:p>
    <w:p w14:paraId="1A1C4C58">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3.2.3 </w:t>
      </w:r>
      <w:r>
        <w:rPr>
          <w:rFonts w:hint="eastAsia" w:ascii="宋体" w:hAnsi="宋体"/>
          <w:color w:val="000000" w:themeColor="text1"/>
          <w:kern w:val="0"/>
          <w:sz w:val="24"/>
          <w:szCs w:val="24"/>
          <w:highlight w:val="none"/>
          <w14:textFill>
            <w14:solidFill>
              <w14:schemeClr w14:val="tx1"/>
            </w14:solidFill>
          </w14:textFill>
        </w:rPr>
        <w:t>承包人需要更换项目经理的，应提前</w:t>
      </w:r>
      <w:r>
        <w:rPr>
          <w:rFonts w:ascii="宋体" w:hAnsi="宋体"/>
          <w:color w:val="000000" w:themeColor="text1"/>
          <w:kern w:val="0"/>
          <w:sz w:val="24"/>
          <w:szCs w:val="24"/>
          <w:highlight w:val="none"/>
          <w14:textFill>
            <w14:solidFill>
              <w14:schemeClr w14:val="tx1"/>
            </w14:solidFill>
          </w14:textFill>
        </w:rPr>
        <w:t>14天书面通知发包人和监理人，并征得发包人书面同意。通知中应当载明继任项目经理的注册执业资格、管理经验等资料，继任项目经理继续履行第3.2.1项约定的职责。未经发包人书面同意，承包人不得擅自更换项目经理。承包人擅自更换项目经理的，应按照专用合同条款的约定承担违约责任。</w:t>
      </w:r>
    </w:p>
    <w:p w14:paraId="3E639E09">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3.2.4 </w:t>
      </w:r>
      <w:r>
        <w:rPr>
          <w:rFonts w:hint="eastAsia" w:ascii="宋体" w:hAnsi="宋体"/>
          <w:color w:val="000000" w:themeColor="text1"/>
          <w:kern w:val="0"/>
          <w:sz w:val="24"/>
          <w:szCs w:val="24"/>
          <w:highlight w:val="none"/>
          <w14:textFill>
            <w14:solidFill>
              <w14:schemeClr w14:val="tx1"/>
            </w14:solidFill>
          </w14:textFill>
        </w:rPr>
        <w:t>发包人有权书面通知承包人更换其认为不称职的项目经理，通知中应当载明要求更换的理由。承包人应在接到更换通知后</w:t>
      </w:r>
      <w:r>
        <w:rPr>
          <w:rFonts w:ascii="宋体" w:hAnsi="宋体"/>
          <w:color w:val="000000" w:themeColor="text1"/>
          <w:kern w:val="0"/>
          <w:sz w:val="24"/>
          <w:szCs w:val="24"/>
          <w:highlight w:val="none"/>
          <w14:textFill>
            <w14:solidFill>
              <w14:schemeClr w14:val="tx1"/>
            </w14:solidFill>
          </w14:textFill>
        </w:rPr>
        <w:t>14天内向发包人提出书面的改进报告。发包人收到改进报告后仍要求更换的，承包人应在接到第二次更换通知的28天内进行更换，并将新任命的项目经理的注册执业资格、管理经验等资料书面通知发包人。继任项目经理继续履行第</w:t>
      </w:r>
      <w:r>
        <w:rPr>
          <w:rFonts w:hint="eastAsia" w:ascii="宋体" w:hAnsi="宋体"/>
          <w:color w:val="000000" w:themeColor="text1"/>
          <w:kern w:val="0"/>
          <w:sz w:val="24"/>
          <w:szCs w:val="24"/>
          <w:highlight w:val="none"/>
          <w14:textFill>
            <w14:solidFill>
              <w14:schemeClr w14:val="tx1"/>
            </w14:solidFill>
          </w14:textFill>
        </w:rPr>
        <w:t>3.2.1项约定的职责。承包人无正当理由拒绝更换项目经理的，应按照专用合同条款的约定承担违约责任。</w:t>
      </w:r>
    </w:p>
    <w:p w14:paraId="39C7CFB6">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3.2.5 项目经理因特殊情况授权其下属人员履行其某项工作职责的，该下属人员应具备履行相应职责的能力，并应提前7天将上述人员的姓名和授权范围书面通知监理人，并征得发包人书面同意。</w:t>
      </w:r>
    </w:p>
    <w:p w14:paraId="2AFE1A9F">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79" w:name="_Toc351203521"/>
      <w:r>
        <w:rPr>
          <w:rFonts w:ascii="宋体" w:hAnsi="宋体"/>
          <w:color w:val="000000" w:themeColor="text1"/>
          <w:sz w:val="24"/>
          <w:szCs w:val="24"/>
          <w:highlight w:val="none"/>
          <w14:textFill>
            <w14:solidFill>
              <w14:schemeClr w14:val="tx1"/>
            </w14:solidFill>
          </w14:textFill>
        </w:rPr>
        <w:t>3</w:t>
      </w:r>
      <w:bookmarkStart w:id="180" w:name="_Toc296503048"/>
      <w:bookmarkStart w:id="181" w:name="_Toc296346549"/>
      <w:bookmarkStart w:id="182" w:name="_Toc337558749"/>
      <w:r>
        <w:rPr>
          <w:rFonts w:ascii="宋体" w:hAnsi="宋体"/>
          <w:color w:val="000000" w:themeColor="text1"/>
          <w:sz w:val="24"/>
          <w:szCs w:val="24"/>
          <w:highlight w:val="none"/>
          <w14:textFill>
            <w14:solidFill>
              <w14:schemeClr w14:val="tx1"/>
            </w14:solidFill>
          </w14:textFill>
        </w:rPr>
        <w:t xml:space="preserve">.3 </w:t>
      </w:r>
      <w:bookmarkEnd w:id="180"/>
      <w:bookmarkEnd w:id="181"/>
      <w:r>
        <w:rPr>
          <w:rFonts w:hint="eastAsia" w:ascii="宋体" w:hAnsi="宋体"/>
          <w:color w:val="000000" w:themeColor="text1"/>
          <w:sz w:val="24"/>
          <w:szCs w:val="24"/>
          <w:highlight w:val="none"/>
          <w14:textFill>
            <w14:solidFill>
              <w14:schemeClr w14:val="tx1"/>
            </w14:solidFill>
          </w14:textFill>
        </w:rPr>
        <w:t>承包人人员</w:t>
      </w:r>
      <w:bookmarkEnd w:id="179"/>
    </w:p>
    <w:bookmarkEnd w:id="182"/>
    <w:p w14:paraId="2CB4793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3.3.1 </w:t>
      </w:r>
      <w:r>
        <w:rPr>
          <w:rFonts w:hint="eastAsia" w:ascii="宋体" w:hAnsi="宋体"/>
          <w:color w:val="000000" w:themeColor="text1"/>
          <w:kern w:val="0"/>
          <w:sz w:val="24"/>
          <w:szCs w:val="24"/>
          <w:highlight w:val="none"/>
          <w14:textFill>
            <w14:solidFill>
              <w14:schemeClr w14:val="tx1"/>
            </w14:solidFill>
          </w14:textFill>
        </w:rPr>
        <w:t>除专用合同条款另有约定外，承包人应在接到开工通知后</w:t>
      </w:r>
      <w:r>
        <w:rPr>
          <w:rFonts w:ascii="宋体" w:hAnsi="宋体"/>
          <w:color w:val="000000" w:themeColor="text1"/>
          <w:kern w:val="0"/>
          <w:sz w:val="24"/>
          <w:szCs w:val="24"/>
          <w:highlight w:val="none"/>
          <w14:textFill>
            <w14:solidFill>
              <w14:schemeClr w14:val="tx1"/>
            </w14:solidFill>
          </w14:textFill>
        </w:rPr>
        <w:t>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和缴纳社会保险的有效证明。</w:t>
      </w:r>
    </w:p>
    <w:p w14:paraId="0D9145A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3.3.2 </w:t>
      </w:r>
      <w:r>
        <w:rPr>
          <w:rFonts w:hint="eastAsia" w:ascii="宋体" w:hAnsi="宋体"/>
          <w:color w:val="000000" w:themeColor="text1"/>
          <w:kern w:val="0"/>
          <w:sz w:val="24"/>
          <w:szCs w:val="24"/>
          <w:highlight w:val="none"/>
          <w14:textFill>
            <w14:solidFill>
              <w14:schemeClr w14:val="tx1"/>
            </w14:solidFill>
          </w14:textFill>
        </w:rPr>
        <w:t>承包人派驻到施工现场的主要施工管理人员应相对稳定。施工过程中如有变动，承包人应及时向监理人提交施工现场人员变动情况的报告。承包人更换主要施工管理人员时，应提前</w:t>
      </w:r>
      <w:r>
        <w:rPr>
          <w:rFonts w:ascii="宋体" w:hAnsi="宋体"/>
          <w:color w:val="000000" w:themeColor="text1"/>
          <w:kern w:val="0"/>
          <w:sz w:val="24"/>
          <w:szCs w:val="24"/>
          <w:highlight w:val="none"/>
          <w14:textFill>
            <w14:solidFill>
              <w14:schemeClr w14:val="tx1"/>
            </w14:solidFill>
          </w14:textFill>
        </w:rPr>
        <w:t>7天书面通知监理人，并征得发包人书面同意。通知中应当载明继任人员的注册执业资格、管理经验等资料。</w:t>
      </w:r>
    </w:p>
    <w:p w14:paraId="693E73E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特殊工种作业人员均应持有相应的资格证明，监理人可以随时检查。</w:t>
      </w:r>
    </w:p>
    <w:p w14:paraId="2206C46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3.3.3 </w:t>
      </w:r>
      <w:r>
        <w:rPr>
          <w:rFonts w:hint="eastAsia" w:ascii="宋体" w:hAnsi="宋体"/>
          <w:color w:val="000000" w:themeColor="text1"/>
          <w:kern w:val="0"/>
          <w:sz w:val="24"/>
          <w:szCs w:val="24"/>
          <w:highlight w:val="none"/>
          <w14:textFill>
            <w14:solidFill>
              <w14:schemeClr w14:val="tx1"/>
            </w14:solidFill>
          </w14:textFill>
        </w:rPr>
        <w:t>发包人对于承包人主要施工管理人员的资格或能力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p>
    <w:p w14:paraId="794C247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3.3.4 </w:t>
      </w:r>
      <w:r>
        <w:rPr>
          <w:rFonts w:hint="eastAsia" w:ascii="宋体" w:hAnsi="宋体"/>
          <w:color w:val="000000" w:themeColor="text1"/>
          <w:kern w:val="0"/>
          <w:sz w:val="24"/>
          <w:szCs w:val="24"/>
          <w:highlight w:val="none"/>
          <w14:textFill>
            <w14:solidFill>
              <w14:schemeClr w14:val="tx1"/>
            </w14:solidFill>
          </w14:textFill>
        </w:rPr>
        <w:t>除专用合同条款另有约定外，承包人的主要施工管理人员离开施工现场每月累计不超过</w:t>
      </w:r>
      <w:r>
        <w:rPr>
          <w:rFonts w:ascii="宋体" w:hAnsi="宋体"/>
          <w:color w:val="000000" w:themeColor="text1"/>
          <w:kern w:val="0"/>
          <w:sz w:val="24"/>
          <w:szCs w:val="24"/>
          <w:highlight w:val="none"/>
          <w14:textFill>
            <w14:solidFill>
              <w14:schemeClr w14:val="tx1"/>
            </w14:solidFill>
          </w14:textFill>
        </w:rPr>
        <w:t>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p>
    <w:p w14:paraId="115D5ED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3.3.5 </w:t>
      </w:r>
      <w:r>
        <w:rPr>
          <w:rFonts w:hint="eastAsia" w:ascii="宋体" w:hAnsi="宋体"/>
          <w:color w:val="000000" w:themeColor="text1"/>
          <w:kern w:val="0"/>
          <w:sz w:val="24"/>
          <w:szCs w:val="24"/>
          <w:highlight w:val="none"/>
          <w14:textFill>
            <w14:solidFill>
              <w14:schemeClr w14:val="tx1"/>
            </w14:solidFill>
          </w14:textFill>
        </w:rPr>
        <w:t>承包人擅自更换主要施工管理人员，或前述人员未经监理人或发包人同意擅自离开施工现场的，应按照专用合同条款约定承担违约责任。</w:t>
      </w:r>
    </w:p>
    <w:p w14:paraId="244236C6">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83" w:name="_Toc351203522"/>
      <w:r>
        <w:rPr>
          <w:rFonts w:ascii="宋体" w:hAnsi="宋体"/>
          <w:color w:val="000000" w:themeColor="text1"/>
          <w:sz w:val="24"/>
          <w:szCs w:val="24"/>
          <w:highlight w:val="none"/>
          <w14:textFill>
            <w14:solidFill>
              <w14:schemeClr w14:val="tx1"/>
            </w14:solidFill>
          </w14:textFill>
        </w:rPr>
        <w:t>3</w:t>
      </w:r>
      <w:bookmarkStart w:id="184" w:name="_Toc337558750"/>
      <w:bookmarkStart w:id="185" w:name="_Toc296503050"/>
      <w:bookmarkStart w:id="186" w:name="_Toc296346551"/>
      <w:r>
        <w:rPr>
          <w:rFonts w:ascii="宋体" w:hAnsi="宋体"/>
          <w:color w:val="000000" w:themeColor="text1"/>
          <w:sz w:val="24"/>
          <w:szCs w:val="24"/>
          <w:highlight w:val="none"/>
          <w14:textFill>
            <w14:solidFill>
              <w14:schemeClr w14:val="tx1"/>
            </w14:solidFill>
          </w14:textFill>
        </w:rPr>
        <w:t xml:space="preserve">.4 </w:t>
      </w:r>
      <w:r>
        <w:rPr>
          <w:rFonts w:hint="eastAsia" w:ascii="宋体" w:hAnsi="宋体"/>
          <w:color w:val="000000" w:themeColor="text1"/>
          <w:sz w:val="24"/>
          <w:szCs w:val="24"/>
          <w:highlight w:val="none"/>
          <w14:textFill>
            <w14:solidFill>
              <w14:schemeClr w14:val="tx1"/>
            </w14:solidFill>
          </w14:textFill>
        </w:rPr>
        <w:t>承包人现场查勘</w:t>
      </w:r>
      <w:bookmarkEnd w:id="183"/>
    </w:p>
    <w:bookmarkEnd w:id="184"/>
    <w:bookmarkEnd w:id="185"/>
    <w:bookmarkEnd w:id="186"/>
    <w:p w14:paraId="7C7C93F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承包人应对基于发包人按照第</w:t>
      </w:r>
      <w:r>
        <w:rPr>
          <w:rFonts w:ascii="宋体" w:hAnsi="宋体"/>
          <w:color w:val="000000" w:themeColor="text1"/>
          <w:kern w:val="0"/>
          <w:sz w:val="24"/>
          <w:szCs w:val="24"/>
          <w:highlight w:val="none"/>
          <w14:textFill>
            <w14:solidFill>
              <w14:schemeClr w14:val="tx1"/>
            </w14:solidFill>
          </w14:textFill>
        </w:rPr>
        <w:t>2.4.3项〔提供基础资料〕提交的基础资料所做出的解释和推断负责，但因基础资料存在错误、遗漏导致承包人解释或推断失实的，由发包人承担责任。</w:t>
      </w:r>
    </w:p>
    <w:p w14:paraId="2692EF2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p>
    <w:p w14:paraId="4F8545E2">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87" w:name="_Toc351203523"/>
      <w:r>
        <w:rPr>
          <w:rFonts w:ascii="宋体" w:hAnsi="宋体"/>
          <w:color w:val="000000" w:themeColor="text1"/>
          <w:sz w:val="24"/>
          <w:szCs w:val="24"/>
          <w:highlight w:val="none"/>
          <w14:textFill>
            <w14:solidFill>
              <w14:schemeClr w14:val="tx1"/>
            </w14:solidFill>
          </w14:textFill>
        </w:rPr>
        <w:t>3</w:t>
      </w:r>
      <w:bookmarkStart w:id="188" w:name="_Toc337558751"/>
      <w:bookmarkStart w:id="189" w:name="_Toc296503051"/>
      <w:bookmarkStart w:id="190" w:name="_Toc296346552"/>
      <w:r>
        <w:rPr>
          <w:rFonts w:ascii="宋体" w:hAnsi="宋体"/>
          <w:color w:val="000000" w:themeColor="text1"/>
          <w:sz w:val="24"/>
          <w:szCs w:val="24"/>
          <w:highlight w:val="none"/>
          <w14:textFill>
            <w14:solidFill>
              <w14:schemeClr w14:val="tx1"/>
            </w14:solidFill>
          </w14:textFill>
        </w:rPr>
        <w:t xml:space="preserve">.5 </w:t>
      </w:r>
      <w:r>
        <w:rPr>
          <w:rFonts w:hint="eastAsia" w:ascii="宋体" w:hAnsi="宋体"/>
          <w:color w:val="000000" w:themeColor="text1"/>
          <w:sz w:val="24"/>
          <w:szCs w:val="24"/>
          <w:highlight w:val="none"/>
          <w14:textFill>
            <w14:solidFill>
              <w14:schemeClr w14:val="tx1"/>
            </w14:solidFill>
          </w14:textFill>
        </w:rPr>
        <w:t>分包</w:t>
      </w:r>
      <w:bookmarkEnd w:id="187"/>
    </w:p>
    <w:bookmarkEnd w:id="188"/>
    <w:bookmarkEnd w:id="189"/>
    <w:bookmarkEnd w:id="190"/>
    <w:p w14:paraId="553FDF3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3.5.1 </w:t>
      </w:r>
      <w:r>
        <w:rPr>
          <w:rFonts w:hint="eastAsia" w:ascii="宋体" w:hAnsi="宋体"/>
          <w:color w:val="000000" w:themeColor="text1"/>
          <w:kern w:val="0"/>
          <w:sz w:val="24"/>
          <w:szCs w:val="24"/>
          <w:highlight w:val="none"/>
          <w14:textFill>
            <w14:solidFill>
              <w14:schemeClr w14:val="tx1"/>
            </w14:solidFill>
          </w14:textFill>
        </w:rPr>
        <w:t>分包的一般约定</w:t>
      </w:r>
    </w:p>
    <w:p w14:paraId="27C588D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p>
    <w:p w14:paraId="696260CF">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承包人不得以劳务分包的名义转包或违法分包工程。</w:t>
      </w:r>
    </w:p>
    <w:p w14:paraId="4C1FC0B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3.5.2 </w:t>
      </w:r>
      <w:r>
        <w:rPr>
          <w:rFonts w:hint="eastAsia" w:ascii="宋体" w:hAnsi="宋体"/>
          <w:color w:val="000000" w:themeColor="text1"/>
          <w:kern w:val="0"/>
          <w:sz w:val="24"/>
          <w:szCs w:val="24"/>
          <w:highlight w:val="none"/>
          <w14:textFill>
            <w14:solidFill>
              <w14:schemeClr w14:val="tx1"/>
            </w14:solidFill>
          </w14:textFill>
        </w:rPr>
        <w:t>分包的确定</w:t>
      </w:r>
    </w:p>
    <w:p w14:paraId="250A062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承包人应按专用合同条款的约定进行分包，确定分包人。已标价工程量清单或预算书中给定暂估价的专业工程，按照第</w:t>
      </w:r>
      <w:r>
        <w:rPr>
          <w:rFonts w:ascii="宋体" w:hAnsi="宋体"/>
          <w:color w:val="000000" w:themeColor="text1"/>
          <w:kern w:val="0"/>
          <w:sz w:val="24"/>
          <w:szCs w:val="24"/>
          <w:highlight w:val="none"/>
          <w14:textFill>
            <w14:solidFill>
              <w14:schemeClr w14:val="tx1"/>
            </w14:solidFill>
          </w14:textFill>
        </w:rPr>
        <w:t>10.7款〔暂估价〕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p>
    <w:p w14:paraId="42C79E9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3.5.3 </w:t>
      </w:r>
      <w:r>
        <w:rPr>
          <w:rFonts w:hint="eastAsia" w:ascii="宋体" w:hAnsi="宋体"/>
          <w:color w:val="000000" w:themeColor="text1"/>
          <w:kern w:val="0"/>
          <w:sz w:val="24"/>
          <w:szCs w:val="24"/>
          <w:highlight w:val="none"/>
          <w14:textFill>
            <w14:solidFill>
              <w14:schemeClr w14:val="tx1"/>
            </w14:solidFill>
          </w14:textFill>
        </w:rPr>
        <w:t>分包管理</w:t>
      </w:r>
    </w:p>
    <w:p w14:paraId="3CACCFED">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承包人应向监理人提交分包人的主要施工管理人员表，并对分包人的施工人员进行实名制管理，包括但不限于进出场管理、登记造册以及各种证照的办理。</w:t>
      </w:r>
    </w:p>
    <w:p w14:paraId="4853B99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3.5.4 </w:t>
      </w:r>
      <w:r>
        <w:rPr>
          <w:rFonts w:hint="eastAsia" w:ascii="宋体" w:hAnsi="宋体"/>
          <w:color w:val="000000" w:themeColor="text1"/>
          <w:kern w:val="0"/>
          <w:sz w:val="24"/>
          <w:szCs w:val="24"/>
          <w:highlight w:val="none"/>
          <w14:textFill>
            <w14:solidFill>
              <w14:schemeClr w14:val="tx1"/>
            </w14:solidFill>
          </w14:textFill>
        </w:rPr>
        <w:t>分包合同价款</w:t>
      </w:r>
    </w:p>
    <w:p w14:paraId="5CD6D58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1）除本项第（2）目约定的情况或专用合同条款另有约定外，分包合同价款由承包人与分包人结算，未经承包人同意，发包人不得向分包人支付分包工程价款；</w:t>
      </w:r>
    </w:p>
    <w:p w14:paraId="1DB3E8E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2）生效法律文书要求发包人向分包人支付分包合同价款的，发包人有权从应付承包人工程款中扣除该部分款项。</w:t>
      </w:r>
    </w:p>
    <w:p w14:paraId="763C037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3.5.5 </w:t>
      </w:r>
      <w:r>
        <w:rPr>
          <w:rFonts w:hint="eastAsia" w:ascii="宋体" w:hAnsi="宋体"/>
          <w:color w:val="000000" w:themeColor="text1"/>
          <w:kern w:val="0"/>
          <w:sz w:val="24"/>
          <w:szCs w:val="24"/>
          <w:highlight w:val="none"/>
          <w14:textFill>
            <w14:solidFill>
              <w14:schemeClr w14:val="tx1"/>
            </w14:solidFill>
          </w14:textFill>
        </w:rPr>
        <w:t>分包合同权益的转让</w:t>
      </w:r>
    </w:p>
    <w:p w14:paraId="5D0EFC7C">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bookmarkStart w:id="191" w:name="_Toc351203524"/>
    </w:p>
    <w:p w14:paraId="6169941F">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3.6 </w:t>
      </w:r>
      <w:r>
        <w:rPr>
          <w:rFonts w:hint="eastAsia" w:ascii="宋体" w:hAnsi="宋体"/>
          <w:color w:val="000000" w:themeColor="text1"/>
          <w:sz w:val="24"/>
          <w:szCs w:val="24"/>
          <w:highlight w:val="none"/>
          <w14:textFill>
            <w14:solidFill>
              <w14:schemeClr w14:val="tx1"/>
            </w14:solidFill>
          </w14:textFill>
        </w:rPr>
        <w:t>工程照管与成品、半成品保护</w:t>
      </w:r>
      <w:bookmarkEnd w:id="191"/>
    </w:p>
    <w:p w14:paraId="53E3CCB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1）除专用合同条款另有约定外，自发包人向承包人移交施工现场之日起，承包人应负责照管工程及工程相关的材料、工程设备，直到颁发工程接收证书之日止。</w:t>
      </w:r>
    </w:p>
    <w:p w14:paraId="2B41403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2）在承包人负责照管期间，因承包人原因造成工程、材料、工程设备损坏的，由承包人负责修复或更换，并承担由此增加的费用和（或）延误的工期。</w:t>
      </w:r>
    </w:p>
    <w:p w14:paraId="0A6EA40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3）对合同内分期完成的成品和半成品，在工程接收证书颁发前，由承包人承担保护责任。因承包人原因造成成品或半成品损坏的，由承包人负责修复或更换，并承担由此增加</w:t>
      </w:r>
      <w:r>
        <w:rPr>
          <w:rFonts w:hint="eastAsia" w:ascii="宋体" w:hAnsi="宋体"/>
          <w:color w:val="000000" w:themeColor="text1"/>
          <w:kern w:val="0"/>
          <w:sz w:val="24"/>
          <w:szCs w:val="24"/>
          <w:highlight w:val="none"/>
          <w14:textFill>
            <w14:solidFill>
              <w14:schemeClr w14:val="tx1"/>
            </w14:solidFill>
          </w14:textFill>
        </w:rPr>
        <w:t>的费用和（或）延误的工期。</w:t>
      </w:r>
    </w:p>
    <w:p w14:paraId="5E513B64">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92" w:name="_Toc351203525"/>
      <w:r>
        <w:rPr>
          <w:rFonts w:ascii="宋体" w:hAnsi="宋体"/>
          <w:color w:val="000000" w:themeColor="text1"/>
          <w:sz w:val="24"/>
          <w:szCs w:val="24"/>
          <w:highlight w:val="none"/>
          <w14:textFill>
            <w14:solidFill>
              <w14:schemeClr w14:val="tx1"/>
            </w14:solidFill>
          </w14:textFill>
        </w:rPr>
        <w:t>3</w:t>
      </w:r>
      <w:bookmarkStart w:id="193" w:name="_Toc296346553"/>
      <w:bookmarkStart w:id="194" w:name="_Toc296503052"/>
      <w:bookmarkStart w:id="195" w:name="_Toc337558752"/>
      <w:r>
        <w:rPr>
          <w:rFonts w:ascii="宋体" w:hAnsi="宋体"/>
          <w:color w:val="000000" w:themeColor="text1"/>
          <w:sz w:val="24"/>
          <w:szCs w:val="24"/>
          <w:highlight w:val="none"/>
          <w14:textFill>
            <w14:solidFill>
              <w14:schemeClr w14:val="tx1"/>
            </w14:solidFill>
          </w14:textFill>
        </w:rPr>
        <w:t xml:space="preserve">.7 </w:t>
      </w:r>
      <w:r>
        <w:rPr>
          <w:rFonts w:hint="eastAsia" w:ascii="宋体" w:hAnsi="宋体"/>
          <w:color w:val="000000" w:themeColor="text1"/>
          <w:sz w:val="24"/>
          <w:szCs w:val="24"/>
          <w:highlight w:val="none"/>
          <w14:textFill>
            <w14:solidFill>
              <w14:schemeClr w14:val="tx1"/>
            </w14:solidFill>
          </w14:textFill>
        </w:rPr>
        <w:t>履约担保</w:t>
      </w:r>
      <w:bookmarkEnd w:id="192"/>
    </w:p>
    <w:bookmarkEnd w:id="193"/>
    <w:bookmarkEnd w:id="194"/>
    <w:bookmarkEnd w:id="195"/>
    <w:p w14:paraId="09E8579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发包人需要承包人提供履约担保的，由合同当事人在专用合同条款中约定履约担保的方式、金额及期限等。履约担保可以采用银行保函或担保公司担保等形式，具体由合同当事人在专用合同条款中约定。</w:t>
      </w:r>
    </w:p>
    <w:p w14:paraId="3750E5CC">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因承包人原因导致工期延长的，继续提供履约担保所增加的费用由承包人承担；非因承包人原因导致工期延长的，继续提供履约担保所增加的费用由发包人承担。</w:t>
      </w:r>
    </w:p>
    <w:p w14:paraId="2E0BFE60">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196" w:name="_Toc351203526"/>
      <w:r>
        <w:rPr>
          <w:rFonts w:ascii="宋体" w:hAnsi="宋体"/>
          <w:color w:val="000000" w:themeColor="text1"/>
          <w:sz w:val="24"/>
          <w:szCs w:val="24"/>
          <w:highlight w:val="none"/>
          <w14:textFill>
            <w14:solidFill>
              <w14:schemeClr w14:val="tx1"/>
            </w14:solidFill>
          </w14:textFill>
        </w:rPr>
        <w:t xml:space="preserve">3.8 </w:t>
      </w:r>
      <w:r>
        <w:rPr>
          <w:rFonts w:hint="eastAsia" w:ascii="宋体" w:hAnsi="宋体"/>
          <w:color w:val="000000" w:themeColor="text1"/>
          <w:sz w:val="24"/>
          <w:szCs w:val="24"/>
          <w:highlight w:val="none"/>
          <w14:textFill>
            <w14:solidFill>
              <w14:schemeClr w14:val="tx1"/>
            </w14:solidFill>
          </w14:textFill>
        </w:rPr>
        <w:t>联合体</w:t>
      </w:r>
      <w:bookmarkEnd w:id="196"/>
    </w:p>
    <w:p w14:paraId="4B5927C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3.8.1 </w:t>
      </w:r>
      <w:r>
        <w:rPr>
          <w:rFonts w:hint="eastAsia" w:ascii="宋体" w:hAnsi="宋体"/>
          <w:color w:val="000000" w:themeColor="text1"/>
          <w:kern w:val="0"/>
          <w:sz w:val="24"/>
          <w:szCs w:val="24"/>
          <w:highlight w:val="none"/>
          <w14:textFill>
            <w14:solidFill>
              <w14:schemeClr w14:val="tx1"/>
            </w14:solidFill>
          </w14:textFill>
        </w:rPr>
        <w:t>联合体各方应共同与发包人签订合同协议书。联合体各方应为履行合同向发包人承担连带责任。</w:t>
      </w:r>
    </w:p>
    <w:p w14:paraId="2B274F6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3.8.2 </w:t>
      </w:r>
      <w:r>
        <w:rPr>
          <w:rFonts w:hint="eastAsia" w:ascii="宋体" w:hAnsi="宋体"/>
          <w:color w:val="000000" w:themeColor="text1"/>
          <w:kern w:val="0"/>
          <w:sz w:val="24"/>
          <w:szCs w:val="24"/>
          <w:highlight w:val="none"/>
          <w14:textFill>
            <w14:solidFill>
              <w14:schemeClr w14:val="tx1"/>
            </w14:solidFill>
          </w14:textFill>
        </w:rPr>
        <w:t>联合体协议经发包人确认后作为合同附件。在履行合同过程中，未经发包人同意，不得修改联合体协议。</w:t>
      </w:r>
    </w:p>
    <w:p w14:paraId="30FD57C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3.8.3 </w:t>
      </w:r>
      <w:r>
        <w:rPr>
          <w:rFonts w:hint="eastAsia" w:ascii="宋体" w:hAnsi="宋体"/>
          <w:color w:val="000000" w:themeColor="text1"/>
          <w:kern w:val="0"/>
          <w:sz w:val="24"/>
          <w:szCs w:val="24"/>
          <w:highlight w:val="none"/>
          <w14:textFill>
            <w14:solidFill>
              <w14:schemeClr w14:val="tx1"/>
            </w14:solidFill>
          </w14:textFill>
        </w:rPr>
        <w:t>联合体牵头人负责与发包人和监理人联系，并接受指示，负责组织联合体各成员全面履行合同。</w:t>
      </w:r>
    </w:p>
    <w:p w14:paraId="0A10803C">
      <w:pPr>
        <w:spacing w:line="360" w:lineRule="auto"/>
        <w:ind w:firstLine="480" w:firstLineChars="200"/>
        <w:outlineLvl w:val="9"/>
        <w:rPr>
          <w:rFonts w:ascii="宋体" w:hAnsi="宋体" w:eastAsia="宋体"/>
          <w:b w:val="0"/>
          <w:color w:val="000000" w:themeColor="text1"/>
          <w:sz w:val="24"/>
          <w:szCs w:val="24"/>
          <w:highlight w:val="none"/>
          <w14:textFill>
            <w14:solidFill>
              <w14:schemeClr w14:val="tx1"/>
            </w14:solidFill>
          </w14:textFill>
        </w:rPr>
      </w:pPr>
      <w:bookmarkStart w:id="197" w:name="_Toc351203527"/>
      <w:r>
        <w:rPr>
          <w:rFonts w:ascii="宋体" w:hAnsi="宋体" w:eastAsia="宋体"/>
          <w:b w:val="0"/>
          <w:color w:val="000000" w:themeColor="text1"/>
          <w:sz w:val="24"/>
          <w:szCs w:val="24"/>
          <w:highlight w:val="none"/>
          <w14:textFill>
            <w14:solidFill>
              <w14:schemeClr w14:val="tx1"/>
            </w14:solidFill>
          </w14:textFill>
        </w:rPr>
        <w:t>4</w:t>
      </w:r>
      <w:bookmarkStart w:id="198" w:name="_Toc296503053"/>
      <w:bookmarkStart w:id="199" w:name="_Toc296346554"/>
      <w:bookmarkStart w:id="200" w:name="_Toc337558753"/>
      <w:r>
        <w:rPr>
          <w:rFonts w:ascii="宋体" w:hAnsi="宋体" w:eastAsia="宋体"/>
          <w:b w:val="0"/>
          <w:color w:val="000000" w:themeColor="text1"/>
          <w:sz w:val="24"/>
          <w:szCs w:val="24"/>
          <w:highlight w:val="none"/>
          <w14:textFill>
            <w14:solidFill>
              <w14:schemeClr w14:val="tx1"/>
            </w14:solidFill>
          </w14:textFill>
        </w:rPr>
        <w:t xml:space="preserve">. </w:t>
      </w:r>
      <w:r>
        <w:rPr>
          <w:rFonts w:hint="eastAsia" w:ascii="宋体" w:hAnsi="宋体" w:eastAsia="宋体"/>
          <w:b w:val="0"/>
          <w:color w:val="000000" w:themeColor="text1"/>
          <w:sz w:val="24"/>
          <w:szCs w:val="24"/>
          <w:highlight w:val="none"/>
          <w14:textFill>
            <w14:solidFill>
              <w14:schemeClr w14:val="tx1"/>
            </w14:solidFill>
          </w14:textFill>
        </w:rPr>
        <w:t>监</w:t>
      </w:r>
      <w:bookmarkEnd w:id="198"/>
      <w:bookmarkEnd w:id="199"/>
      <w:r>
        <w:rPr>
          <w:rFonts w:hint="eastAsia" w:ascii="宋体" w:hAnsi="宋体" w:eastAsia="宋体"/>
          <w:b w:val="0"/>
          <w:color w:val="000000" w:themeColor="text1"/>
          <w:sz w:val="24"/>
          <w:szCs w:val="24"/>
          <w:highlight w:val="none"/>
          <w14:textFill>
            <w14:solidFill>
              <w14:schemeClr w14:val="tx1"/>
            </w14:solidFill>
          </w14:textFill>
        </w:rPr>
        <w:t>理人</w:t>
      </w:r>
      <w:bookmarkEnd w:id="197"/>
    </w:p>
    <w:bookmarkEnd w:id="200"/>
    <w:p w14:paraId="4D46CFDD">
      <w:pPr>
        <w:spacing w:before="100" w:after="100" w:line="360" w:lineRule="auto"/>
        <w:ind w:firstLine="480" w:firstLineChars="200"/>
        <w:outlineLvl w:val="9"/>
        <w:rPr>
          <w:rFonts w:ascii="宋体" w:hAnsi="宋体"/>
          <w:color w:val="000000" w:themeColor="text1"/>
          <w:sz w:val="24"/>
          <w:szCs w:val="24"/>
          <w:highlight w:val="none"/>
          <w14:textFill>
            <w14:solidFill>
              <w14:schemeClr w14:val="tx1"/>
            </w14:solidFill>
          </w14:textFill>
        </w:rPr>
      </w:pPr>
      <w:bookmarkStart w:id="201" w:name="_Toc351203528"/>
      <w:r>
        <w:rPr>
          <w:rFonts w:ascii="宋体" w:hAnsi="宋体"/>
          <w:color w:val="000000" w:themeColor="text1"/>
          <w:sz w:val="24"/>
          <w:szCs w:val="24"/>
          <w:highlight w:val="none"/>
          <w14:textFill>
            <w14:solidFill>
              <w14:schemeClr w14:val="tx1"/>
            </w14:solidFill>
          </w14:textFill>
        </w:rPr>
        <w:t>4</w:t>
      </w:r>
      <w:bookmarkStart w:id="202" w:name="_Toc296346555"/>
      <w:bookmarkStart w:id="203" w:name="_Toc296503054"/>
      <w:bookmarkStart w:id="204" w:name="_Toc337558754"/>
      <w:r>
        <w:rPr>
          <w:rFonts w:ascii="宋体" w:hAnsi="宋体"/>
          <w:color w:val="000000" w:themeColor="text1"/>
          <w:sz w:val="24"/>
          <w:szCs w:val="24"/>
          <w:highlight w:val="none"/>
          <w14:textFill>
            <w14:solidFill>
              <w14:schemeClr w14:val="tx1"/>
            </w14:solidFill>
          </w14:textFill>
        </w:rPr>
        <w:t>.1监理人的一般规定</w:t>
      </w:r>
      <w:bookmarkEnd w:id="201"/>
    </w:p>
    <w:bookmarkEnd w:id="202"/>
    <w:bookmarkEnd w:id="203"/>
    <w:bookmarkEnd w:id="204"/>
    <w:p w14:paraId="00054540">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p>
    <w:p w14:paraId="33E25B70">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除专用合同条款另有约定外，监理人在施工现场的办公场所、生活场所由承包人提供，所发生的费用由发包人承担。</w:t>
      </w:r>
    </w:p>
    <w:p w14:paraId="7E3BABE2">
      <w:pPr>
        <w:spacing w:before="100" w:after="100" w:line="360" w:lineRule="auto"/>
        <w:ind w:firstLine="480" w:firstLineChars="200"/>
        <w:outlineLvl w:val="9"/>
        <w:rPr>
          <w:rFonts w:ascii="宋体" w:hAnsi="宋体"/>
          <w:color w:val="000000" w:themeColor="text1"/>
          <w:sz w:val="24"/>
          <w:szCs w:val="24"/>
          <w:highlight w:val="none"/>
          <w14:textFill>
            <w14:solidFill>
              <w14:schemeClr w14:val="tx1"/>
            </w14:solidFill>
          </w14:textFill>
        </w:rPr>
      </w:pPr>
      <w:bookmarkStart w:id="205" w:name="_Toc351203529"/>
      <w:r>
        <w:rPr>
          <w:rFonts w:ascii="宋体" w:hAnsi="宋体"/>
          <w:color w:val="000000" w:themeColor="text1"/>
          <w:sz w:val="24"/>
          <w:szCs w:val="24"/>
          <w:highlight w:val="none"/>
          <w14:textFill>
            <w14:solidFill>
              <w14:schemeClr w14:val="tx1"/>
            </w14:solidFill>
          </w14:textFill>
        </w:rPr>
        <w:t>4</w:t>
      </w:r>
      <w:bookmarkStart w:id="206" w:name="_Toc337558755"/>
      <w:r>
        <w:rPr>
          <w:rFonts w:ascii="宋体" w:hAnsi="宋体"/>
          <w:color w:val="000000" w:themeColor="text1"/>
          <w:sz w:val="24"/>
          <w:szCs w:val="24"/>
          <w:highlight w:val="none"/>
          <w14:textFill>
            <w14:solidFill>
              <w14:schemeClr w14:val="tx1"/>
            </w14:solidFill>
          </w14:textFill>
        </w:rPr>
        <w:t>.2监理人员</w:t>
      </w:r>
      <w:bookmarkEnd w:id="205"/>
    </w:p>
    <w:bookmarkEnd w:id="206"/>
    <w:p w14:paraId="2A640377">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w:t>
      </w:r>
      <w:r>
        <w:rPr>
          <w:rFonts w:ascii="宋体" w:hAnsi="宋体"/>
          <w:color w:val="000000" w:themeColor="text1"/>
          <w:kern w:val="0"/>
          <w:sz w:val="24"/>
          <w:szCs w:val="24"/>
          <w:highlight w:val="none"/>
          <w14:textFill>
            <w14:solidFill>
              <w14:schemeClr w14:val="tx1"/>
            </w14:solidFill>
          </w14:textFill>
        </w:rPr>
        <w:t>7天书面通知承包人；更换其他监理人员，监理人应提前48小时书面通知承包人。</w:t>
      </w:r>
    </w:p>
    <w:p w14:paraId="3AFDCFBC">
      <w:pPr>
        <w:spacing w:before="100" w:after="100" w:line="360" w:lineRule="auto"/>
        <w:ind w:firstLine="480" w:firstLineChars="200"/>
        <w:outlineLvl w:val="9"/>
        <w:rPr>
          <w:rFonts w:ascii="宋体" w:hAnsi="宋体"/>
          <w:color w:val="000000" w:themeColor="text1"/>
          <w:sz w:val="24"/>
          <w:szCs w:val="24"/>
          <w:highlight w:val="none"/>
          <w14:textFill>
            <w14:solidFill>
              <w14:schemeClr w14:val="tx1"/>
            </w14:solidFill>
          </w14:textFill>
        </w:rPr>
      </w:pPr>
      <w:bookmarkStart w:id="207" w:name="_Toc351203530"/>
      <w:r>
        <w:rPr>
          <w:rFonts w:ascii="宋体" w:hAnsi="宋体"/>
          <w:color w:val="000000" w:themeColor="text1"/>
          <w:sz w:val="24"/>
          <w:szCs w:val="24"/>
          <w:highlight w:val="none"/>
          <w14:textFill>
            <w14:solidFill>
              <w14:schemeClr w14:val="tx1"/>
            </w14:solidFill>
          </w14:textFill>
        </w:rPr>
        <w:t>4</w:t>
      </w:r>
      <w:bookmarkStart w:id="208" w:name="_Toc296503055"/>
      <w:bookmarkStart w:id="209" w:name="_Toc296346556"/>
      <w:bookmarkStart w:id="210" w:name="_Toc337558756"/>
      <w:r>
        <w:rPr>
          <w:rFonts w:ascii="宋体" w:hAnsi="宋体"/>
          <w:color w:val="000000" w:themeColor="text1"/>
          <w:sz w:val="24"/>
          <w:szCs w:val="24"/>
          <w:highlight w:val="none"/>
          <w14:textFill>
            <w14:solidFill>
              <w14:schemeClr w14:val="tx1"/>
            </w14:solidFill>
          </w14:textFill>
        </w:rPr>
        <w:t>.3</w:t>
      </w:r>
      <w:bookmarkEnd w:id="208"/>
      <w:bookmarkEnd w:id="209"/>
      <w:r>
        <w:rPr>
          <w:rFonts w:hint="eastAsia" w:ascii="宋体" w:hAnsi="宋体"/>
          <w:color w:val="000000" w:themeColor="text1"/>
          <w:sz w:val="24"/>
          <w:szCs w:val="24"/>
          <w:highlight w:val="none"/>
          <w14:textFill>
            <w14:solidFill>
              <w14:schemeClr w14:val="tx1"/>
            </w14:solidFill>
          </w14:textFill>
        </w:rPr>
        <w:t>监理人的指</w:t>
      </w:r>
      <w:bookmarkEnd w:id="210"/>
      <w:r>
        <w:rPr>
          <w:rFonts w:hint="eastAsia" w:ascii="宋体" w:hAnsi="宋体"/>
          <w:color w:val="000000" w:themeColor="text1"/>
          <w:sz w:val="24"/>
          <w:szCs w:val="24"/>
          <w:highlight w:val="none"/>
          <w14:textFill>
            <w14:solidFill>
              <w14:schemeClr w14:val="tx1"/>
            </w14:solidFill>
          </w14:textFill>
        </w:rPr>
        <w:t>示</w:t>
      </w:r>
      <w:bookmarkEnd w:id="207"/>
    </w:p>
    <w:p w14:paraId="5A5D0A51">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w:t>
      </w:r>
      <w:r>
        <w:rPr>
          <w:rFonts w:ascii="宋体" w:hAnsi="宋体"/>
          <w:color w:val="000000" w:themeColor="text1"/>
          <w:kern w:val="0"/>
          <w:sz w:val="24"/>
          <w:szCs w:val="24"/>
          <w:highlight w:val="none"/>
          <w14:textFill>
            <w14:solidFill>
              <w14:schemeClr w14:val="tx1"/>
            </w14:solidFill>
          </w14:textFill>
        </w:rPr>
        <w:t>24小时内补发书面监理指示，补发的书面监理指示应与口头指示一致。</w:t>
      </w:r>
    </w:p>
    <w:p w14:paraId="20AEF243">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监理人发出的指示应送达承包人项目经理或经项目经理授权接收的人员。因监理人未能按合同约定发出指示、指示延误或发出了错误指示而导致承包人费用增加和（或）工期延误的，由发包人承担相应责任。除专用合同条款另有约定外，总监理工程师不应将第4.4款〔商定或确定〕约定应由总监理工程师作出确定的权力授权或委托给其他监理人员。</w:t>
      </w:r>
    </w:p>
    <w:p w14:paraId="1232110C">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承包人对监理人发出的指示有疑问的，应向监理人提出书面异议，监理人应在48小时内对该指示予以确认、更改或撤销，监理人逾期未回复的，承包人有权拒绝执行上述指示。</w:t>
      </w:r>
    </w:p>
    <w:p w14:paraId="1979F711">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监理人对承包人的任何工作、工程或其采用的材料和工程设备未在约定的或合理期限内提出意见的，视为批准，但不免除或减轻承包人对该工作、工程、材料、工程设备等应承担的责任和义务。</w:t>
      </w:r>
    </w:p>
    <w:p w14:paraId="3AE05B63">
      <w:pPr>
        <w:spacing w:before="100" w:after="100" w:line="360" w:lineRule="auto"/>
        <w:ind w:firstLine="480" w:firstLineChars="200"/>
        <w:outlineLvl w:val="9"/>
        <w:rPr>
          <w:rFonts w:ascii="宋体" w:hAnsi="宋体"/>
          <w:color w:val="000000" w:themeColor="text1"/>
          <w:sz w:val="24"/>
          <w:szCs w:val="24"/>
          <w:highlight w:val="none"/>
          <w14:textFill>
            <w14:solidFill>
              <w14:schemeClr w14:val="tx1"/>
            </w14:solidFill>
          </w14:textFill>
        </w:rPr>
      </w:pPr>
      <w:bookmarkStart w:id="211" w:name="_Toc351203531"/>
      <w:r>
        <w:rPr>
          <w:rFonts w:hint="eastAsia" w:ascii="宋体" w:hAnsi="宋体"/>
          <w:color w:val="000000" w:themeColor="text1"/>
          <w:sz w:val="24"/>
          <w:szCs w:val="24"/>
          <w:highlight w:val="none"/>
          <w14:textFill>
            <w14:solidFill>
              <w14:schemeClr w14:val="tx1"/>
            </w14:solidFill>
          </w14:textFill>
        </w:rPr>
        <w:t>4</w:t>
      </w:r>
      <w:bookmarkStart w:id="212" w:name="_Toc296503057"/>
      <w:bookmarkStart w:id="213" w:name="_Toc337558757"/>
      <w:bookmarkStart w:id="214" w:name="_Toc296346558"/>
      <w:r>
        <w:rPr>
          <w:rFonts w:hint="eastAsia" w:ascii="宋体" w:hAnsi="宋体"/>
          <w:color w:val="000000" w:themeColor="text1"/>
          <w:sz w:val="24"/>
          <w:szCs w:val="24"/>
          <w:highlight w:val="none"/>
          <w14:textFill>
            <w14:solidFill>
              <w14:schemeClr w14:val="tx1"/>
            </w14:solidFill>
          </w14:textFill>
        </w:rPr>
        <w:t>.4 商定或确定</w:t>
      </w:r>
      <w:bookmarkEnd w:id="211"/>
    </w:p>
    <w:bookmarkEnd w:id="212"/>
    <w:bookmarkEnd w:id="213"/>
    <w:bookmarkEnd w:id="214"/>
    <w:p w14:paraId="6B480445">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合同当事人进行商定或确定时，总监理工程师应当会同合同当事人尽量通过协商达成一致，不能达成一致的，由总监理工程师按照合同约定审慎做出公正的确定。</w:t>
      </w:r>
    </w:p>
    <w:p w14:paraId="48DA7529">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总监理工程师应将确定以书面形式通知发包人和承包人，并附详细依据。合同当事人对总监理工程师的确定没有异议的，按照总监理工程师的确定执行。任何一方合同当事人有异议，按照第20条〔争议解决〕约定处理。争议解决前，合同当事人暂按总监理工程师的确定执行；争议解决后，争议解决的结果与总监理工程师的确定不一致的，按照争议解决的结果执行，由此造成的损失由责任人承担。</w:t>
      </w:r>
    </w:p>
    <w:p w14:paraId="4B4807BA">
      <w:pPr>
        <w:spacing w:line="360" w:lineRule="auto"/>
        <w:ind w:firstLine="480" w:firstLineChars="200"/>
        <w:outlineLvl w:val="9"/>
        <w:rPr>
          <w:rFonts w:ascii="宋体" w:hAnsi="宋体" w:eastAsia="宋体"/>
          <w:b w:val="0"/>
          <w:color w:val="000000" w:themeColor="text1"/>
          <w:sz w:val="24"/>
          <w:szCs w:val="24"/>
          <w:highlight w:val="none"/>
          <w14:textFill>
            <w14:solidFill>
              <w14:schemeClr w14:val="tx1"/>
            </w14:solidFill>
          </w14:textFill>
        </w:rPr>
      </w:pPr>
      <w:bookmarkStart w:id="215" w:name="_Toc351203532"/>
      <w:r>
        <w:rPr>
          <w:rFonts w:hint="eastAsia" w:ascii="宋体" w:hAnsi="宋体" w:eastAsia="宋体"/>
          <w:b w:val="0"/>
          <w:color w:val="000000" w:themeColor="text1"/>
          <w:sz w:val="24"/>
          <w:szCs w:val="24"/>
          <w:highlight w:val="none"/>
          <w14:textFill>
            <w14:solidFill>
              <w14:schemeClr w14:val="tx1"/>
            </w14:solidFill>
          </w14:textFill>
        </w:rPr>
        <w:t>5</w:t>
      </w:r>
      <w:bookmarkStart w:id="216" w:name="_Toc337558758"/>
      <w:r>
        <w:rPr>
          <w:rFonts w:hint="eastAsia" w:ascii="宋体" w:hAnsi="宋体" w:eastAsia="宋体"/>
          <w:b w:val="0"/>
          <w:color w:val="000000" w:themeColor="text1"/>
          <w:sz w:val="24"/>
          <w:szCs w:val="24"/>
          <w:highlight w:val="none"/>
          <w14:textFill>
            <w14:solidFill>
              <w14:schemeClr w14:val="tx1"/>
            </w14:solidFill>
          </w14:textFill>
        </w:rPr>
        <w:t>. 工程质量</w:t>
      </w:r>
      <w:bookmarkEnd w:id="215"/>
    </w:p>
    <w:bookmarkEnd w:id="216"/>
    <w:p w14:paraId="3CCAD1D7">
      <w:pPr>
        <w:spacing w:before="100" w:after="100" w:line="360" w:lineRule="auto"/>
        <w:ind w:firstLine="480" w:firstLineChars="200"/>
        <w:outlineLvl w:val="9"/>
        <w:rPr>
          <w:rFonts w:ascii="宋体" w:hAnsi="宋体"/>
          <w:color w:val="000000" w:themeColor="text1"/>
          <w:sz w:val="24"/>
          <w:szCs w:val="24"/>
          <w:highlight w:val="none"/>
          <w14:textFill>
            <w14:solidFill>
              <w14:schemeClr w14:val="tx1"/>
            </w14:solidFill>
          </w14:textFill>
        </w:rPr>
      </w:pPr>
      <w:bookmarkStart w:id="217" w:name="_Toc351203533"/>
      <w:r>
        <w:rPr>
          <w:rFonts w:hint="eastAsia" w:ascii="宋体" w:hAnsi="宋体"/>
          <w:color w:val="000000" w:themeColor="text1"/>
          <w:sz w:val="24"/>
          <w:szCs w:val="24"/>
          <w:highlight w:val="none"/>
          <w14:textFill>
            <w14:solidFill>
              <w14:schemeClr w14:val="tx1"/>
            </w14:solidFill>
          </w14:textFill>
        </w:rPr>
        <w:t>5</w:t>
      </w:r>
      <w:bookmarkStart w:id="218" w:name="_Toc337558759"/>
      <w:r>
        <w:rPr>
          <w:rFonts w:hint="eastAsia" w:ascii="宋体" w:hAnsi="宋体"/>
          <w:color w:val="000000" w:themeColor="text1"/>
          <w:sz w:val="24"/>
          <w:szCs w:val="24"/>
          <w:highlight w:val="none"/>
          <w14:textFill>
            <w14:solidFill>
              <w14:schemeClr w14:val="tx1"/>
            </w14:solidFill>
          </w14:textFill>
        </w:rPr>
        <w:t>.1质量要求</w:t>
      </w:r>
      <w:bookmarkEnd w:id="217"/>
    </w:p>
    <w:bookmarkEnd w:id="218"/>
    <w:p w14:paraId="35E3B563">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5.1.1 工程质量标准必须符合现行国家有关工程施工质量验收规范和标准的要求。有关工程质量的特殊标准或要求由合同当事人在专用合同条款中约定。</w:t>
      </w:r>
    </w:p>
    <w:p w14:paraId="470850D1">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5.1.2 因发包人原因造成工程质量未达到合同约定标准的，由发包人承担由此增加的费用和（或）延误的工期，并支付承包人合理的利润。</w:t>
      </w:r>
    </w:p>
    <w:p w14:paraId="5D4B5ED9">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5.1.3 因承包人原因造成工程质量未达到合同约定标准的，发包人有权要求承包人返工直至工程质量达到合同约定的标准为止，并由承包人承担由此增加的费用和（或）延误的工期。</w:t>
      </w:r>
    </w:p>
    <w:p w14:paraId="2047F0F0">
      <w:pPr>
        <w:spacing w:before="100" w:after="100" w:line="360" w:lineRule="auto"/>
        <w:ind w:firstLine="480" w:firstLineChars="200"/>
        <w:outlineLvl w:val="9"/>
        <w:rPr>
          <w:rFonts w:ascii="宋体" w:hAnsi="宋体"/>
          <w:color w:val="000000" w:themeColor="text1"/>
          <w:sz w:val="24"/>
          <w:szCs w:val="24"/>
          <w:highlight w:val="none"/>
          <w14:textFill>
            <w14:solidFill>
              <w14:schemeClr w14:val="tx1"/>
            </w14:solidFill>
          </w14:textFill>
        </w:rPr>
      </w:pPr>
      <w:bookmarkStart w:id="219" w:name="_Toc351203534"/>
      <w:r>
        <w:rPr>
          <w:rFonts w:hint="eastAsia" w:ascii="宋体" w:hAnsi="宋体"/>
          <w:color w:val="000000" w:themeColor="text1"/>
          <w:sz w:val="24"/>
          <w:szCs w:val="24"/>
          <w:highlight w:val="none"/>
          <w14:textFill>
            <w14:solidFill>
              <w14:schemeClr w14:val="tx1"/>
            </w14:solidFill>
          </w14:textFill>
        </w:rPr>
        <w:t>5</w:t>
      </w:r>
      <w:bookmarkStart w:id="220" w:name="_Toc337558760"/>
      <w:r>
        <w:rPr>
          <w:rFonts w:hint="eastAsia" w:ascii="宋体" w:hAnsi="宋体"/>
          <w:color w:val="000000" w:themeColor="text1"/>
          <w:sz w:val="24"/>
          <w:szCs w:val="24"/>
          <w:highlight w:val="none"/>
          <w14:textFill>
            <w14:solidFill>
              <w14:schemeClr w14:val="tx1"/>
            </w14:solidFill>
          </w14:textFill>
        </w:rPr>
        <w:t>.2质量保证措施</w:t>
      </w:r>
      <w:bookmarkEnd w:id="219"/>
    </w:p>
    <w:bookmarkEnd w:id="220"/>
    <w:p w14:paraId="0E98D469">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5.2.1 发包人的质量管理</w:t>
      </w:r>
    </w:p>
    <w:p w14:paraId="7BC0139B">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发包人应按照法律规定及合同约定完成与工程质量有关的各项工作。</w:t>
      </w:r>
    </w:p>
    <w:p w14:paraId="598D33CC">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5.2.2 承包人的质量管理</w:t>
      </w:r>
    </w:p>
    <w:p w14:paraId="74EBC5A5">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按照第7.1款〔施工组织设计〕约定向发包人和监理人提交工程质量保证体系及措施文件，建立完善的质量检查制度，并提交相应的工程质量文件。对于发包人和监理人违反法律规定和合同约定的错误指示，承包人有权拒绝实施。</w:t>
      </w:r>
    </w:p>
    <w:p w14:paraId="4459940C">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承包人应对施工人员进行质量教育和技术培训，定期考核施工人员的劳动技能，严格执行施工规范和操作规程。</w:t>
      </w:r>
    </w:p>
    <w:p w14:paraId="76F6EED5">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p>
    <w:p w14:paraId="0BBDC9CA">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5.2.3 监理人的质量检查和检验</w:t>
      </w:r>
    </w:p>
    <w:p w14:paraId="1C42B66E">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p>
    <w:p w14:paraId="301F25E4">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p>
    <w:p w14:paraId="7A0EE924">
      <w:pPr>
        <w:spacing w:before="100" w:after="100" w:line="360" w:lineRule="auto"/>
        <w:ind w:firstLine="480" w:firstLineChars="200"/>
        <w:outlineLvl w:val="9"/>
        <w:rPr>
          <w:rFonts w:ascii="宋体" w:hAnsi="宋体"/>
          <w:color w:val="000000" w:themeColor="text1"/>
          <w:sz w:val="24"/>
          <w:szCs w:val="24"/>
          <w:highlight w:val="none"/>
          <w14:textFill>
            <w14:solidFill>
              <w14:schemeClr w14:val="tx1"/>
            </w14:solidFill>
          </w14:textFill>
        </w:rPr>
      </w:pPr>
      <w:bookmarkStart w:id="221" w:name="_Toc351203535"/>
      <w:r>
        <w:rPr>
          <w:rFonts w:hint="eastAsia" w:ascii="宋体" w:hAnsi="宋体"/>
          <w:color w:val="000000" w:themeColor="text1"/>
          <w:sz w:val="24"/>
          <w:szCs w:val="24"/>
          <w:highlight w:val="none"/>
          <w14:textFill>
            <w14:solidFill>
              <w14:schemeClr w14:val="tx1"/>
            </w14:solidFill>
          </w14:textFill>
        </w:rPr>
        <w:t>5</w:t>
      </w:r>
      <w:bookmarkStart w:id="222" w:name="_Toc337558761"/>
      <w:r>
        <w:rPr>
          <w:rFonts w:hint="eastAsia" w:ascii="宋体" w:hAnsi="宋体"/>
          <w:color w:val="000000" w:themeColor="text1"/>
          <w:sz w:val="24"/>
          <w:szCs w:val="24"/>
          <w:highlight w:val="none"/>
          <w14:textFill>
            <w14:solidFill>
              <w14:schemeClr w14:val="tx1"/>
            </w14:solidFill>
          </w14:textFill>
        </w:rPr>
        <w:t>.3 隐蔽工程检查</w:t>
      </w:r>
      <w:bookmarkEnd w:id="221"/>
    </w:p>
    <w:bookmarkEnd w:id="222"/>
    <w:p w14:paraId="1D3FC371">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5.3.1承包人自检</w:t>
      </w:r>
    </w:p>
    <w:p w14:paraId="213538A8">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承包人应当对工程隐蔽部位进行自检，并经自检确认是否具备覆盖条件。</w:t>
      </w:r>
    </w:p>
    <w:p w14:paraId="189A0467">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5.3.2检查程序</w:t>
      </w:r>
    </w:p>
    <w:p w14:paraId="270F8E46">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工程隐蔽部位经承包人自检确认具备覆盖条件的，承包人应在共同检查前48小时书面通知监理人检查，通知中应载明隐蔽检查的内容、时间和地点，并应附有自检记录和必要的检查资料。</w:t>
      </w:r>
    </w:p>
    <w:p w14:paraId="24100428">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加的费用和（或）延误的工期由承包人承担。</w:t>
      </w:r>
    </w:p>
    <w:p w14:paraId="1338A48A">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重新检查〕的约定重新检查。</w:t>
      </w:r>
    </w:p>
    <w:p w14:paraId="2A8308FE">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5.3.3 重新检查</w:t>
      </w:r>
    </w:p>
    <w:p w14:paraId="1113DA03">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p>
    <w:p w14:paraId="637A4288">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5.3.4 承包人私自覆盖</w:t>
      </w:r>
    </w:p>
    <w:p w14:paraId="36B047A6">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承包人未通知监理人到场检查，私自将工程隐蔽部位覆盖的，监理人有权指示承包人钻孔探测或揭开检查，无论工程隐蔽部位质量是否合格，由此增加的费用和（或）延误的工期均由承包人承担。</w:t>
      </w:r>
    </w:p>
    <w:p w14:paraId="088CD2F2">
      <w:pPr>
        <w:spacing w:before="100" w:after="100" w:line="360" w:lineRule="auto"/>
        <w:ind w:firstLine="480" w:firstLineChars="200"/>
        <w:outlineLvl w:val="9"/>
        <w:rPr>
          <w:rFonts w:ascii="宋体" w:hAnsi="宋体"/>
          <w:color w:val="000000" w:themeColor="text1"/>
          <w:sz w:val="24"/>
          <w:szCs w:val="24"/>
          <w:highlight w:val="none"/>
          <w14:textFill>
            <w14:solidFill>
              <w14:schemeClr w14:val="tx1"/>
            </w14:solidFill>
          </w14:textFill>
        </w:rPr>
      </w:pPr>
      <w:bookmarkStart w:id="223" w:name="_Toc351203536"/>
      <w:r>
        <w:rPr>
          <w:rFonts w:hint="eastAsia" w:ascii="宋体" w:hAnsi="宋体"/>
          <w:color w:val="000000" w:themeColor="text1"/>
          <w:sz w:val="24"/>
          <w:szCs w:val="24"/>
          <w:highlight w:val="none"/>
          <w14:textFill>
            <w14:solidFill>
              <w14:schemeClr w14:val="tx1"/>
            </w14:solidFill>
          </w14:textFill>
        </w:rPr>
        <w:t>5</w:t>
      </w:r>
      <w:bookmarkStart w:id="224" w:name="_Toc337558762"/>
      <w:r>
        <w:rPr>
          <w:rFonts w:hint="eastAsia" w:ascii="宋体" w:hAnsi="宋体"/>
          <w:color w:val="000000" w:themeColor="text1"/>
          <w:sz w:val="24"/>
          <w:szCs w:val="24"/>
          <w:highlight w:val="none"/>
          <w14:textFill>
            <w14:solidFill>
              <w14:schemeClr w14:val="tx1"/>
            </w14:solidFill>
          </w14:textFill>
        </w:rPr>
        <w:t>.4不合格工程的处理</w:t>
      </w:r>
      <w:bookmarkEnd w:id="223"/>
    </w:p>
    <w:bookmarkEnd w:id="224"/>
    <w:p w14:paraId="4B830943">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 xml:space="preserve">5.4.1 因承包人原因造成工程不合格的，发包人有权随时要求承包人采取补救措施，直至达到合同要求的质量标准，由此增加的费用和（或）延误的工期由承包人承担。无法补救的，按照第13.2.4项〔拒绝接收全部或部分工程〕约定执行。 </w:t>
      </w:r>
    </w:p>
    <w:p w14:paraId="2BE4FA3F">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5.4.2 因发包人原因造成工程不合格的，由此增加的费用和（或）延误的工期由发包人承担，并支付承包人合理的利润。</w:t>
      </w:r>
    </w:p>
    <w:p w14:paraId="3FF11284">
      <w:pPr>
        <w:spacing w:before="100" w:after="100" w:line="360" w:lineRule="auto"/>
        <w:ind w:firstLine="480" w:firstLineChars="200"/>
        <w:outlineLvl w:val="9"/>
        <w:rPr>
          <w:rFonts w:ascii="宋体" w:hAnsi="宋体"/>
          <w:color w:val="000000" w:themeColor="text1"/>
          <w:sz w:val="24"/>
          <w:szCs w:val="24"/>
          <w:highlight w:val="none"/>
          <w14:textFill>
            <w14:solidFill>
              <w14:schemeClr w14:val="tx1"/>
            </w14:solidFill>
          </w14:textFill>
        </w:rPr>
      </w:pPr>
      <w:bookmarkStart w:id="225" w:name="_Toc351203537"/>
      <w:r>
        <w:rPr>
          <w:rFonts w:hint="eastAsia" w:ascii="宋体" w:hAnsi="宋体"/>
          <w:color w:val="000000" w:themeColor="text1"/>
          <w:sz w:val="24"/>
          <w:szCs w:val="24"/>
          <w:highlight w:val="none"/>
          <w14:textFill>
            <w14:solidFill>
              <w14:schemeClr w14:val="tx1"/>
            </w14:solidFill>
          </w14:textFill>
        </w:rPr>
        <w:t>5.5 质量争议检测</w:t>
      </w:r>
      <w:bookmarkEnd w:id="225"/>
    </w:p>
    <w:p w14:paraId="281B036E">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合同当事人对工程质量有争议的，由双方协商确定的工程质量检测机构鉴定，由此产生的费用及因此造成的损失，由责任方承担。</w:t>
      </w:r>
    </w:p>
    <w:p w14:paraId="4B1FACC0">
      <w:pPr>
        <w:autoSpaceDE w:val="0"/>
        <w:autoSpaceDN w:val="0"/>
        <w:adjustRightInd w:val="0"/>
        <w:spacing w:line="360" w:lineRule="auto"/>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合同当事人均有责任的，由双方根据其责任分别承担。合同当事人无法达成一致的，按照第4.4款〔商定或确定〕执行。</w:t>
      </w:r>
    </w:p>
    <w:p w14:paraId="752474C1">
      <w:pPr>
        <w:spacing w:line="360" w:lineRule="auto"/>
        <w:ind w:firstLine="480" w:firstLineChars="200"/>
        <w:outlineLvl w:val="9"/>
        <w:rPr>
          <w:rFonts w:ascii="宋体" w:hAnsi="宋体" w:eastAsia="宋体"/>
          <w:b w:val="0"/>
          <w:color w:val="000000" w:themeColor="text1"/>
          <w:sz w:val="24"/>
          <w:szCs w:val="24"/>
          <w:highlight w:val="none"/>
          <w14:textFill>
            <w14:solidFill>
              <w14:schemeClr w14:val="tx1"/>
            </w14:solidFill>
          </w14:textFill>
        </w:rPr>
      </w:pPr>
      <w:bookmarkStart w:id="226" w:name="_Toc351203538"/>
      <w:r>
        <w:rPr>
          <w:rFonts w:hint="eastAsia" w:ascii="宋体" w:hAnsi="宋体" w:eastAsia="宋体"/>
          <w:b w:val="0"/>
          <w:color w:val="000000" w:themeColor="text1"/>
          <w:sz w:val="24"/>
          <w:szCs w:val="24"/>
          <w:highlight w:val="none"/>
          <w14:textFill>
            <w14:solidFill>
              <w14:schemeClr w14:val="tx1"/>
            </w14:solidFill>
          </w14:textFill>
        </w:rPr>
        <w:t>6</w:t>
      </w:r>
      <w:bookmarkStart w:id="227" w:name="_Toc337558763"/>
      <w:r>
        <w:rPr>
          <w:rFonts w:hint="eastAsia" w:ascii="宋体" w:hAnsi="宋体" w:eastAsia="宋体"/>
          <w:b w:val="0"/>
          <w:color w:val="000000" w:themeColor="text1"/>
          <w:sz w:val="24"/>
          <w:szCs w:val="24"/>
          <w:highlight w:val="none"/>
          <w14:textFill>
            <w14:solidFill>
              <w14:schemeClr w14:val="tx1"/>
            </w14:solidFill>
          </w14:textFill>
        </w:rPr>
        <w:t>. 安全文明施工与环境保护</w:t>
      </w:r>
      <w:bookmarkEnd w:id="226"/>
    </w:p>
    <w:bookmarkEnd w:id="227"/>
    <w:p w14:paraId="28B28908">
      <w:pPr>
        <w:spacing w:before="100" w:after="100" w:line="360" w:lineRule="auto"/>
        <w:ind w:firstLine="480" w:firstLineChars="200"/>
        <w:outlineLvl w:val="9"/>
        <w:rPr>
          <w:rFonts w:ascii="宋体" w:hAnsi="宋体"/>
          <w:color w:val="000000" w:themeColor="text1"/>
          <w:sz w:val="24"/>
          <w:szCs w:val="24"/>
          <w:highlight w:val="none"/>
          <w14:textFill>
            <w14:solidFill>
              <w14:schemeClr w14:val="tx1"/>
            </w14:solidFill>
          </w14:textFill>
        </w:rPr>
      </w:pPr>
      <w:bookmarkStart w:id="228" w:name="_Toc351203539"/>
      <w:r>
        <w:rPr>
          <w:rFonts w:hint="eastAsia" w:ascii="宋体" w:hAnsi="宋体"/>
          <w:color w:val="000000" w:themeColor="text1"/>
          <w:sz w:val="24"/>
          <w:szCs w:val="24"/>
          <w:highlight w:val="none"/>
          <w14:textFill>
            <w14:solidFill>
              <w14:schemeClr w14:val="tx1"/>
            </w14:solidFill>
          </w14:textFill>
        </w:rPr>
        <w:t>6</w:t>
      </w:r>
      <w:bookmarkStart w:id="229" w:name="_Toc337558764"/>
      <w:r>
        <w:rPr>
          <w:rFonts w:hint="eastAsia" w:ascii="宋体" w:hAnsi="宋体"/>
          <w:color w:val="000000" w:themeColor="text1"/>
          <w:sz w:val="24"/>
          <w:szCs w:val="24"/>
          <w:highlight w:val="none"/>
          <w14:textFill>
            <w14:solidFill>
              <w14:schemeClr w14:val="tx1"/>
            </w14:solidFill>
          </w14:textFill>
        </w:rPr>
        <w:t>.1安全文明施工</w:t>
      </w:r>
      <w:bookmarkEnd w:id="228"/>
    </w:p>
    <w:bookmarkEnd w:id="229"/>
    <w:p w14:paraId="5869D135">
      <w:pPr>
        <w:spacing w:line="360" w:lineRule="auto"/>
        <w:ind w:firstLine="480" w:firstLineChars="200"/>
        <w:outlineLvl w:val="9"/>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6.1.1安全生产要求</w:t>
      </w:r>
    </w:p>
    <w:p w14:paraId="55957AAC">
      <w:pPr>
        <w:spacing w:line="360" w:lineRule="auto"/>
        <w:ind w:firstLine="480" w:firstLineChars="200"/>
        <w:outlineLvl w:val="9"/>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p>
    <w:p w14:paraId="5CD1C0D7">
      <w:pPr>
        <w:spacing w:line="360" w:lineRule="auto"/>
        <w:ind w:firstLine="480" w:firstLineChars="200"/>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在施工过程中，如遇到突发的地质变动、事先未知的地下施工障碍等影响施工安全的紧急情况，承包人应及时报告监理人和发包人，发包人应当及时下令停工并报</w:t>
      </w:r>
      <w:r>
        <w:rPr>
          <w:rFonts w:hint="eastAsia" w:ascii="宋体" w:hAnsi="宋体"/>
          <w:color w:val="000000" w:themeColor="text1"/>
          <w:kern w:val="0"/>
          <w:sz w:val="24"/>
          <w:szCs w:val="24"/>
          <w:highlight w:val="none"/>
          <w14:textFill>
            <w14:solidFill>
              <w14:schemeClr w14:val="tx1"/>
            </w14:solidFill>
          </w14:textFill>
        </w:rPr>
        <w:t>政府有关行政管理部门采取应急措施。</w:t>
      </w:r>
    </w:p>
    <w:p w14:paraId="4AA312C4">
      <w:pPr>
        <w:spacing w:line="360" w:lineRule="auto"/>
        <w:ind w:firstLine="480" w:firstLineChars="200"/>
        <w:outlineLvl w:val="9"/>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因安全生产需要暂停施工的，按照第7.8款〔暂停施工〕的约定执行。</w:t>
      </w:r>
    </w:p>
    <w:p w14:paraId="4B09147C">
      <w:pPr>
        <w:spacing w:line="360" w:lineRule="auto"/>
        <w:ind w:firstLine="480" w:firstLineChars="200"/>
        <w:outlineLvl w:val="9"/>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6.1.2 安全生产保证措施</w:t>
      </w:r>
    </w:p>
    <w:p w14:paraId="6518FD2F">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承包人应当按照有关</w:t>
      </w:r>
      <w:r>
        <w:rPr>
          <w:rFonts w:hint="eastAsia" w:ascii="宋体" w:hAnsi="宋体"/>
          <w:color w:val="000000" w:themeColor="text1"/>
          <w:kern w:val="0"/>
          <w:sz w:val="24"/>
          <w:szCs w:val="24"/>
          <w:highlight w:val="none"/>
          <w14:textFill>
            <w14:solidFill>
              <w14:schemeClr w14:val="tx1"/>
            </w14:solidFill>
          </w14:textFill>
        </w:rPr>
        <w:t>规定编制安全技术措施或者专项施工方案，建立安全生产责任制度、治安保卫制度及安全生产教育培训制度，并按安全生产法律规定及合同约定履行安全职责，如实编制工程安全生产的有关记录，接受发包人、监理人及政府安全监督部门的检查与监督。</w:t>
      </w:r>
    </w:p>
    <w:p w14:paraId="52023FCF">
      <w:pPr>
        <w:spacing w:line="360" w:lineRule="auto"/>
        <w:ind w:firstLine="480" w:firstLineChars="200"/>
        <w:outlineLvl w:val="9"/>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6.1.3特别安全生产事项</w:t>
      </w:r>
    </w:p>
    <w:p w14:paraId="72B23998">
      <w:pPr>
        <w:spacing w:line="360" w:lineRule="auto"/>
        <w:ind w:firstLine="480" w:firstLineChars="200"/>
        <w:outlineLvl w:val="9"/>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承包人应按照法律规定进行施工，开工前做好安全技术交底工作，施工过程中做好各项安全防护措施。承包人为实施合同而雇用的特殊工种的人员应受过专门的培训并已取得政府有关管理机构颁发的上岗证书。</w:t>
      </w:r>
    </w:p>
    <w:p w14:paraId="5D5D67A2">
      <w:pPr>
        <w:spacing w:line="360" w:lineRule="auto"/>
        <w:ind w:firstLine="480" w:firstLineChars="200"/>
        <w:outlineLvl w:val="9"/>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承包人在动力设备、输电线路、地下管道、密封防震车间、易燃易爆地段以及临街交通要道附近施工时，施工开始前应向发包人和监理人提出安全防护措施，经发包人认可后实施。 </w:t>
      </w:r>
    </w:p>
    <w:p w14:paraId="60D51FA6">
      <w:pPr>
        <w:spacing w:line="360" w:lineRule="auto"/>
        <w:ind w:firstLine="480" w:firstLineChars="200"/>
        <w:outlineLvl w:val="9"/>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实施爆破作业，在放射、毒害性环境中施工（含储存、运输、使用）及使用毒害性、腐蚀性物品施工时，承包人应在施工前7天以书面通知发包人和监理人，并报送相应的安全防护措施，经发包人认可后实施。</w:t>
      </w:r>
    </w:p>
    <w:p w14:paraId="4C20BFC2">
      <w:pPr>
        <w:spacing w:line="360" w:lineRule="auto"/>
        <w:ind w:firstLine="480" w:firstLineChars="200"/>
        <w:outlineLvl w:val="9"/>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需单独编制危险性较大分部分项专项工程施工方案的，及要求进行专家论证的超过一定规模的危险性较大的分部分项工程，承包人应及时编制和组织论证。</w:t>
      </w:r>
    </w:p>
    <w:p w14:paraId="21DEA8CE">
      <w:pPr>
        <w:spacing w:line="360" w:lineRule="auto"/>
        <w:ind w:firstLine="480" w:firstLineChars="200"/>
        <w:outlineLvl w:val="9"/>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6.1.4 治安保卫</w:t>
      </w:r>
    </w:p>
    <w:p w14:paraId="26431E6D">
      <w:pPr>
        <w:spacing w:line="360" w:lineRule="auto"/>
        <w:ind w:firstLine="480" w:firstLineChars="200"/>
        <w:outlineLvl w:val="9"/>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除专用合同条款另有约定外，发包人应与当地公安部门协商，在现场建立治安管理机构或联防组织，统一管理施工场地的治安保卫事项，履行合同工程的治安保卫职责。</w:t>
      </w:r>
    </w:p>
    <w:p w14:paraId="049A5E92">
      <w:pPr>
        <w:spacing w:line="360" w:lineRule="auto"/>
        <w:ind w:firstLine="480" w:firstLineChars="200"/>
        <w:outlineLvl w:val="9"/>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发包人和承包人除应协助现场治安管理机构或联防组织维护施工场地的社会治安外，还应做好包括生活区在内的各自管辖区的治安保卫工作。</w:t>
      </w:r>
    </w:p>
    <w:p w14:paraId="4D2C262A">
      <w:pPr>
        <w:spacing w:line="360" w:lineRule="auto"/>
        <w:ind w:firstLine="480" w:firstLineChars="200"/>
        <w:outlineLvl w:val="9"/>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p>
    <w:p w14:paraId="5642C848">
      <w:pPr>
        <w:spacing w:line="360" w:lineRule="auto"/>
        <w:ind w:firstLine="480" w:firstLineChars="200"/>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6.1.5 文明施工</w:t>
      </w:r>
    </w:p>
    <w:p w14:paraId="1C08E8E4">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承包人在工程施工期间，应当采取措施保持施工现场平整，物料堆放整齐。工程所在地有关政府行政管理部门有特殊要求的，按照其要求执行。合同当事人对文明施工有其他要求的，可以在专用合同条款中明确。</w:t>
      </w:r>
    </w:p>
    <w:p w14:paraId="41170CE6">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p>
    <w:p w14:paraId="0E102C73">
      <w:pPr>
        <w:spacing w:line="360" w:lineRule="auto"/>
        <w:ind w:firstLine="480" w:firstLineChars="200"/>
        <w:outlineLvl w:val="9"/>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6.1.6 安全文明施工费</w:t>
      </w:r>
    </w:p>
    <w:p w14:paraId="6E3539DB">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安全文明施工费由发包人承担，发包人不得以任何形式扣减该部分费用。因基准日期后合同所适用的法律或政府有关规定发生变化，增加的安全文明施工费由发包人承担。</w:t>
      </w:r>
    </w:p>
    <w:p w14:paraId="135B9E5F">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p>
    <w:p w14:paraId="59848F65">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发包人违约的情形〕执行。</w:t>
      </w:r>
    </w:p>
    <w:p w14:paraId="56CD2797">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对安全文明施工费应专款专用，承包人应在财务账目中单独列项备查，不得挪作他用，否则发包人有权责令其限期改正；逾期未改正的，可以责令其暂停施工，由此增加的费用和（或）延误的工期由承包人承担。</w:t>
      </w:r>
    </w:p>
    <w:p w14:paraId="119988EB">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6.1.7 紧急情况处理</w:t>
      </w:r>
    </w:p>
    <w:p w14:paraId="4D3B13CA">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p>
    <w:p w14:paraId="0263E2A9">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6.1.8 事故处理</w:t>
      </w:r>
    </w:p>
    <w:p w14:paraId="0B56BF40">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14:paraId="543C30C5">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6.1.9 安全生产责任</w:t>
      </w:r>
    </w:p>
    <w:p w14:paraId="6778D100">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6.1.9.1 发包人的安全责任</w:t>
      </w:r>
    </w:p>
    <w:p w14:paraId="4A7422FD">
      <w:pPr>
        <w:spacing w:line="360" w:lineRule="auto"/>
        <w:ind w:firstLine="480" w:firstLineChars="200"/>
        <w:outlineLvl w:val="9"/>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发包人应负责赔偿以下各种情况造成的损失：</w:t>
      </w:r>
    </w:p>
    <w:p w14:paraId="05F9815D">
      <w:pPr>
        <w:spacing w:line="360" w:lineRule="auto"/>
        <w:ind w:firstLine="480" w:firstLineChars="200"/>
        <w:outlineLvl w:val="9"/>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（1）工程或工程的任何部分对土地的占用所造成的第三者财产损失；</w:t>
      </w:r>
    </w:p>
    <w:p w14:paraId="293C7970">
      <w:pPr>
        <w:spacing w:line="360" w:lineRule="auto"/>
        <w:ind w:firstLine="480" w:firstLineChars="200"/>
        <w:outlineLvl w:val="9"/>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（2）由于发包人原因在施工场地及其毗邻地带造成的第三者人身伤亡和财产损失；</w:t>
      </w:r>
    </w:p>
    <w:p w14:paraId="41FA20AF">
      <w:pPr>
        <w:spacing w:line="360" w:lineRule="auto"/>
        <w:ind w:firstLine="480" w:firstLineChars="200"/>
        <w:outlineLvl w:val="9"/>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（3）由于发包人原因对承包人、监理人造成的人员人身伤亡和财产损失；</w:t>
      </w:r>
    </w:p>
    <w:p w14:paraId="6221DE44">
      <w:pPr>
        <w:spacing w:line="360" w:lineRule="auto"/>
        <w:ind w:firstLine="480" w:firstLineChars="200"/>
        <w:outlineLvl w:val="9"/>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（4）由于发包人原因造成的发包人自身人员的人身伤害以及财产损失。</w:t>
      </w:r>
    </w:p>
    <w:p w14:paraId="2640621F">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6.1.9.2 承包人的安全责任</w:t>
      </w:r>
    </w:p>
    <w:p w14:paraId="64C7A028">
      <w:pPr>
        <w:spacing w:line="360" w:lineRule="auto"/>
        <w:ind w:firstLine="480" w:firstLineChars="200"/>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由于承包人原因在施工场地内及其毗邻地带造成的发包人、监理人以及第三者人员伤亡和财产损失，由承包人负责赔偿。</w:t>
      </w:r>
    </w:p>
    <w:p w14:paraId="22D09E01">
      <w:pPr>
        <w:spacing w:before="100" w:after="100" w:line="360" w:lineRule="auto"/>
        <w:ind w:firstLine="480" w:firstLineChars="200"/>
        <w:outlineLvl w:val="9"/>
        <w:rPr>
          <w:rFonts w:ascii="宋体" w:hAnsi="宋体"/>
          <w:color w:val="000000" w:themeColor="text1"/>
          <w:sz w:val="24"/>
          <w:szCs w:val="24"/>
          <w:highlight w:val="none"/>
          <w14:textFill>
            <w14:solidFill>
              <w14:schemeClr w14:val="tx1"/>
            </w14:solidFill>
          </w14:textFill>
        </w:rPr>
      </w:pPr>
      <w:bookmarkStart w:id="230" w:name="_Toc351203540"/>
      <w:r>
        <w:rPr>
          <w:rFonts w:hint="eastAsia" w:ascii="宋体" w:hAnsi="宋体"/>
          <w:color w:val="000000" w:themeColor="text1"/>
          <w:sz w:val="24"/>
          <w:szCs w:val="24"/>
          <w:highlight w:val="none"/>
          <w14:textFill>
            <w14:solidFill>
              <w14:schemeClr w14:val="tx1"/>
            </w14:solidFill>
          </w14:textFill>
        </w:rPr>
        <w:t>6</w:t>
      </w:r>
      <w:bookmarkStart w:id="231" w:name="_Toc337558765"/>
      <w:r>
        <w:rPr>
          <w:rFonts w:hint="eastAsia" w:ascii="宋体" w:hAnsi="宋体"/>
          <w:color w:val="000000" w:themeColor="text1"/>
          <w:sz w:val="24"/>
          <w:szCs w:val="24"/>
          <w:highlight w:val="none"/>
          <w14:textFill>
            <w14:solidFill>
              <w14:schemeClr w14:val="tx1"/>
            </w14:solidFill>
          </w14:textFill>
        </w:rPr>
        <w:t>.2 职业健康</w:t>
      </w:r>
      <w:bookmarkEnd w:id="230"/>
    </w:p>
    <w:bookmarkEnd w:id="231"/>
    <w:p w14:paraId="14BBC64A">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6.2.1 劳动保护</w:t>
      </w:r>
    </w:p>
    <w:p w14:paraId="538858EA">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p>
    <w:p w14:paraId="43B881A8">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p>
    <w:p w14:paraId="2724E065">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承包人应按法律规定安排工作时间，保证其雇佣人员享有休息和休假的权利。因工程施工的特殊需要占用休假日或延长工作时间的，应不超过法律规定的限度，并按法律规定给予补休或付酬。</w:t>
      </w:r>
    </w:p>
    <w:p w14:paraId="36DA17B3">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6.2.2 生活条件</w:t>
      </w:r>
    </w:p>
    <w:p w14:paraId="14DB584C">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承包人应为其履行合同所雇用的人员提供必要的膳宿条件和生活环境；承包人应采取有效措施预防传染病，保证施工人员的健康，并定期对施工现场、施工人员生活基地和工程进行防疫和卫生的专业检查和处理, 在远离城镇的施工场地，还应配备必要的伤病防治和急救的医务人员与医疗设施。</w:t>
      </w:r>
    </w:p>
    <w:p w14:paraId="2FF01CB7">
      <w:pPr>
        <w:spacing w:before="100" w:after="100" w:line="360" w:lineRule="auto"/>
        <w:ind w:firstLine="480" w:firstLineChars="200"/>
        <w:outlineLvl w:val="9"/>
        <w:rPr>
          <w:rFonts w:ascii="宋体" w:hAnsi="宋体"/>
          <w:color w:val="000000" w:themeColor="text1"/>
          <w:sz w:val="24"/>
          <w:szCs w:val="24"/>
          <w:highlight w:val="none"/>
          <w14:textFill>
            <w14:solidFill>
              <w14:schemeClr w14:val="tx1"/>
            </w14:solidFill>
          </w14:textFill>
        </w:rPr>
      </w:pPr>
      <w:bookmarkStart w:id="232" w:name="_Toc351203541"/>
      <w:r>
        <w:rPr>
          <w:rFonts w:hint="eastAsia" w:ascii="宋体" w:hAnsi="宋体"/>
          <w:color w:val="000000" w:themeColor="text1"/>
          <w:sz w:val="24"/>
          <w:szCs w:val="24"/>
          <w:highlight w:val="none"/>
          <w14:textFill>
            <w14:solidFill>
              <w14:schemeClr w14:val="tx1"/>
            </w14:solidFill>
          </w14:textFill>
        </w:rPr>
        <w:t>6</w:t>
      </w:r>
      <w:bookmarkStart w:id="233" w:name="_Toc337558766"/>
      <w:r>
        <w:rPr>
          <w:rFonts w:hint="eastAsia" w:ascii="宋体" w:hAnsi="宋体"/>
          <w:color w:val="000000" w:themeColor="text1"/>
          <w:sz w:val="24"/>
          <w:szCs w:val="24"/>
          <w:highlight w:val="none"/>
          <w14:textFill>
            <w14:solidFill>
              <w14:schemeClr w14:val="tx1"/>
            </w14:solidFill>
          </w14:textFill>
        </w:rPr>
        <w:t>.3 环境保护</w:t>
      </w:r>
      <w:bookmarkEnd w:id="232"/>
    </w:p>
    <w:bookmarkEnd w:id="233"/>
    <w:p w14:paraId="630B07CA">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承包人应在施工组织设计中列明环境保护的具体措施。在合同履行期间，承包人应采取合理措施保护施工现场环境。对施工作业过程中可能引起的大气、水、噪音以及固体废物污染采取具体可行的防范措施。</w:t>
      </w:r>
    </w:p>
    <w:p w14:paraId="22C54FEF">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承包人应当承担因其原因引起的环境污染侵权损害赔偿责任，因上述环境污染引起纠纷而导致暂停施工的，由此增加的费用和（或）延误的工期由承包人承担。</w:t>
      </w:r>
    </w:p>
    <w:p w14:paraId="2DDFE68A">
      <w:pPr>
        <w:spacing w:line="360" w:lineRule="auto"/>
        <w:ind w:firstLine="480" w:firstLineChars="200"/>
        <w:outlineLvl w:val="9"/>
        <w:rPr>
          <w:rFonts w:ascii="宋体" w:hAnsi="宋体" w:eastAsia="宋体"/>
          <w:b w:val="0"/>
          <w:color w:val="000000" w:themeColor="text1"/>
          <w:sz w:val="24"/>
          <w:szCs w:val="24"/>
          <w:highlight w:val="none"/>
          <w14:textFill>
            <w14:solidFill>
              <w14:schemeClr w14:val="tx1"/>
            </w14:solidFill>
          </w14:textFill>
        </w:rPr>
      </w:pPr>
      <w:bookmarkStart w:id="234" w:name="_Toc351203542"/>
      <w:r>
        <w:rPr>
          <w:rFonts w:hint="eastAsia" w:ascii="宋体" w:hAnsi="宋体" w:eastAsia="宋体"/>
          <w:b w:val="0"/>
          <w:color w:val="000000" w:themeColor="text1"/>
          <w:sz w:val="24"/>
          <w:szCs w:val="24"/>
          <w:highlight w:val="none"/>
          <w14:textFill>
            <w14:solidFill>
              <w14:schemeClr w14:val="tx1"/>
            </w14:solidFill>
          </w14:textFill>
        </w:rPr>
        <w:t>7</w:t>
      </w:r>
      <w:bookmarkStart w:id="235" w:name="_Toc337558767"/>
      <w:r>
        <w:rPr>
          <w:rFonts w:hint="eastAsia" w:ascii="宋体" w:hAnsi="宋体" w:eastAsia="宋体"/>
          <w:b w:val="0"/>
          <w:color w:val="000000" w:themeColor="text1"/>
          <w:sz w:val="24"/>
          <w:szCs w:val="24"/>
          <w:highlight w:val="none"/>
          <w14:textFill>
            <w14:solidFill>
              <w14:schemeClr w14:val="tx1"/>
            </w14:solidFill>
          </w14:textFill>
        </w:rPr>
        <w:t>. 工期和进度</w:t>
      </w:r>
      <w:bookmarkEnd w:id="234"/>
    </w:p>
    <w:bookmarkEnd w:id="235"/>
    <w:p w14:paraId="3632C162">
      <w:pPr>
        <w:spacing w:before="100" w:after="100" w:line="360" w:lineRule="auto"/>
        <w:ind w:firstLine="480" w:firstLineChars="200"/>
        <w:outlineLvl w:val="9"/>
        <w:rPr>
          <w:rFonts w:ascii="宋体" w:hAnsi="宋体"/>
          <w:color w:val="000000" w:themeColor="text1"/>
          <w:sz w:val="24"/>
          <w:szCs w:val="24"/>
          <w:highlight w:val="none"/>
          <w14:textFill>
            <w14:solidFill>
              <w14:schemeClr w14:val="tx1"/>
            </w14:solidFill>
          </w14:textFill>
        </w:rPr>
      </w:pPr>
      <w:bookmarkStart w:id="236" w:name="_Toc351203543"/>
      <w:r>
        <w:rPr>
          <w:rFonts w:hint="eastAsia" w:ascii="宋体" w:hAnsi="宋体"/>
          <w:color w:val="000000" w:themeColor="text1"/>
          <w:sz w:val="24"/>
          <w:szCs w:val="24"/>
          <w:highlight w:val="none"/>
          <w14:textFill>
            <w14:solidFill>
              <w14:schemeClr w14:val="tx1"/>
            </w14:solidFill>
          </w14:textFill>
        </w:rPr>
        <w:t>7</w:t>
      </w:r>
      <w:bookmarkStart w:id="237" w:name="_Toc337558768"/>
      <w:bookmarkStart w:id="238" w:name="_Toc296503066"/>
      <w:bookmarkStart w:id="239" w:name="_Toc296346567"/>
      <w:r>
        <w:rPr>
          <w:rFonts w:hint="eastAsia" w:ascii="宋体" w:hAnsi="宋体"/>
          <w:color w:val="000000" w:themeColor="text1"/>
          <w:sz w:val="24"/>
          <w:szCs w:val="24"/>
          <w:highlight w:val="none"/>
          <w14:textFill>
            <w14:solidFill>
              <w14:schemeClr w14:val="tx1"/>
            </w14:solidFill>
          </w14:textFill>
        </w:rPr>
        <w:t>.1施工组织设计</w:t>
      </w:r>
      <w:bookmarkEnd w:id="236"/>
    </w:p>
    <w:bookmarkEnd w:id="237"/>
    <w:p w14:paraId="09313898">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7.1.1</w:t>
      </w:r>
      <w:r>
        <w:rPr>
          <w:rFonts w:hint="eastAsia" w:ascii="宋体" w:hAnsi="宋体"/>
          <w:color w:val="000000" w:themeColor="text1"/>
          <w:kern w:val="0"/>
          <w:sz w:val="24"/>
          <w:szCs w:val="24"/>
          <w:highlight w:val="none"/>
          <w14:textFill>
            <w14:solidFill>
              <w14:schemeClr w14:val="tx1"/>
            </w14:solidFill>
          </w14:textFill>
        </w:rPr>
        <w:t>施工组织设计的内容</w:t>
      </w:r>
    </w:p>
    <w:p w14:paraId="1EF9D689">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施工组织设计应包含以下内容：</w:t>
      </w:r>
    </w:p>
    <w:p w14:paraId="0A906A59">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 xml:space="preserve">（1）施工方案； </w:t>
      </w:r>
    </w:p>
    <w:p w14:paraId="7AB37BCE">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（2）施工现场平面布置图；</w:t>
      </w:r>
    </w:p>
    <w:p w14:paraId="4824CA83">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 xml:space="preserve">（3）施工进度计划和保证措施； </w:t>
      </w:r>
    </w:p>
    <w:p w14:paraId="5FFC2BC2">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（4）劳动力及材料供应计划；</w:t>
      </w:r>
    </w:p>
    <w:p w14:paraId="7D0EB2BA">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（5）施工机械设备的选用；</w:t>
      </w:r>
    </w:p>
    <w:p w14:paraId="2F11A8CE">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（6）质量保证体系及措施；</w:t>
      </w:r>
    </w:p>
    <w:p w14:paraId="17170A55">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（7）安全生产、文明施工措施；</w:t>
      </w:r>
    </w:p>
    <w:p w14:paraId="2619F348">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（8）环境保护、成本控制措施；</w:t>
      </w:r>
    </w:p>
    <w:p w14:paraId="0D910C6C">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（9）合同当事人约定的其他内容。</w:t>
      </w:r>
    </w:p>
    <w:p w14:paraId="79B53513">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7.1.2</w:t>
      </w:r>
      <w:r>
        <w:rPr>
          <w:rFonts w:hint="eastAsia" w:ascii="宋体" w:hAnsi="宋体"/>
          <w:color w:val="000000" w:themeColor="text1"/>
          <w:kern w:val="0"/>
          <w:sz w:val="24"/>
          <w:szCs w:val="24"/>
          <w:highlight w:val="none"/>
          <w14:textFill>
            <w14:solidFill>
              <w14:schemeClr w14:val="tx1"/>
            </w14:solidFill>
          </w14:textFill>
        </w:rPr>
        <w:t>施工组织设计的提交和修改</w:t>
      </w:r>
    </w:p>
    <w:p w14:paraId="4C00E824">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承包人应在合同签订后14天内，但至迟不得晚于第7.3.2项〔开工通知〕载明的开工日期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w:t>
      </w:r>
    </w:p>
    <w:p w14:paraId="4E1F5A17">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施工进度计划的编制和修改按照第7.2款〔施工进度计划〕执行。</w:t>
      </w:r>
    </w:p>
    <w:p w14:paraId="478EE348">
      <w:pPr>
        <w:spacing w:before="100" w:after="100" w:line="360" w:lineRule="auto"/>
        <w:ind w:firstLine="480" w:firstLineChars="200"/>
        <w:outlineLvl w:val="9"/>
        <w:rPr>
          <w:rFonts w:ascii="宋体" w:hAnsi="宋体"/>
          <w:color w:val="000000" w:themeColor="text1"/>
          <w:sz w:val="24"/>
          <w:szCs w:val="24"/>
          <w:highlight w:val="none"/>
          <w14:textFill>
            <w14:solidFill>
              <w14:schemeClr w14:val="tx1"/>
            </w14:solidFill>
          </w14:textFill>
        </w:rPr>
      </w:pPr>
      <w:bookmarkStart w:id="240" w:name="_Toc351203544"/>
      <w:r>
        <w:rPr>
          <w:rFonts w:hint="eastAsia" w:ascii="宋体" w:hAnsi="宋体"/>
          <w:color w:val="000000" w:themeColor="text1"/>
          <w:sz w:val="24"/>
          <w:szCs w:val="24"/>
          <w:highlight w:val="none"/>
          <w14:textFill>
            <w14:solidFill>
              <w14:schemeClr w14:val="tx1"/>
            </w14:solidFill>
          </w14:textFill>
        </w:rPr>
        <w:t>7</w:t>
      </w:r>
      <w:bookmarkStart w:id="241" w:name="_Toc337558769"/>
      <w:r>
        <w:rPr>
          <w:rFonts w:hint="eastAsia" w:ascii="宋体" w:hAnsi="宋体"/>
          <w:color w:val="000000" w:themeColor="text1"/>
          <w:sz w:val="24"/>
          <w:szCs w:val="24"/>
          <w:highlight w:val="none"/>
          <w14:textFill>
            <w14:solidFill>
              <w14:schemeClr w14:val="tx1"/>
            </w14:solidFill>
          </w14:textFill>
        </w:rPr>
        <w:t>.2 施工进度计划</w:t>
      </w:r>
      <w:bookmarkEnd w:id="240"/>
    </w:p>
    <w:bookmarkEnd w:id="241"/>
    <w:p w14:paraId="1BF32F0B">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7.2.1 施工进度计划的编制</w:t>
      </w:r>
    </w:p>
    <w:p w14:paraId="69C93C40">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按照第7.1款〔施工组织设计〕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p>
    <w:p w14:paraId="4F5F4340">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7.2.2 施工进度计划的修订</w:t>
      </w:r>
    </w:p>
    <w:p w14:paraId="12809D9C">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度计划后7天内完成审核和批准或提出修改意见。发包人和监理人对承包人提交的施工进度计划的确认，不能减轻或免除承包人根据法律规定和合同约定应承担的任何责任或义务。</w:t>
      </w:r>
    </w:p>
    <w:p w14:paraId="20108516">
      <w:pPr>
        <w:spacing w:before="100" w:after="100" w:line="360" w:lineRule="auto"/>
        <w:ind w:firstLine="480" w:firstLineChars="200"/>
        <w:outlineLvl w:val="9"/>
        <w:rPr>
          <w:rFonts w:ascii="宋体" w:hAnsi="宋体"/>
          <w:color w:val="000000" w:themeColor="text1"/>
          <w:sz w:val="24"/>
          <w:szCs w:val="24"/>
          <w:highlight w:val="none"/>
          <w14:textFill>
            <w14:solidFill>
              <w14:schemeClr w14:val="tx1"/>
            </w14:solidFill>
          </w14:textFill>
        </w:rPr>
      </w:pPr>
      <w:bookmarkStart w:id="242" w:name="_Toc351203545"/>
      <w:r>
        <w:rPr>
          <w:rFonts w:hint="eastAsia" w:ascii="宋体" w:hAnsi="宋体"/>
          <w:color w:val="000000" w:themeColor="text1"/>
          <w:sz w:val="24"/>
          <w:szCs w:val="24"/>
          <w:highlight w:val="none"/>
          <w14:textFill>
            <w14:solidFill>
              <w14:schemeClr w14:val="tx1"/>
            </w14:solidFill>
          </w14:textFill>
        </w:rPr>
        <w:t>7</w:t>
      </w:r>
      <w:bookmarkStart w:id="243" w:name="_Toc337558770"/>
      <w:r>
        <w:rPr>
          <w:rFonts w:hint="eastAsia" w:ascii="宋体" w:hAnsi="宋体"/>
          <w:color w:val="000000" w:themeColor="text1"/>
          <w:sz w:val="24"/>
          <w:szCs w:val="24"/>
          <w:highlight w:val="none"/>
          <w14:textFill>
            <w14:solidFill>
              <w14:schemeClr w14:val="tx1"/>
            </w14:solidFill>
          </w14:textFill>
        </w:rPr>
        <w:t>.3 开工</w:t>
      </w:r>
      <w:bookmarkEnd w:id="242"/>
    </w:p>
    <w:p w14:paraId="3D7F195F">
      <w:pPr>
        <w:spacing w:line="360" w:lineRule="auto"/>
        <w:ind w:firstLine="480" w:firstLineChars="200"/>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7.3.1 开工准备</w:t>
      </w:r>
    </w:p>
    <w:p w14:paraId="5F3CA3E7">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承包人应按照第7.1款〔施工组织设计〕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p>
    <w:p w14:paraId="7513A5E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除专用合同条款另有约定外，合同当事人应按约定完成开工准备工作。</w:t>
      </w:r>
    </w:p>
    <w:p w14:paraId="5655C36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7.3.2 开工通知</w:t>
      </w:r>
    </w:p>
    <w:bookmarkEnd w:id="243"/>
    <w:p w14:paraId="10F754C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发包人应按照法律规定获得工程施工所需的许可。经发包人同意后，监理人发出的开工通知应符合法律规定。监理人应在计划开工日期7天前向承包人发出开工通知，工期自开工通知中载明的开工日期起算。</w:t>
      </w:r>
    </w:p>
    <w:p w14:paraId="16047C5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因发包人原因造成监理人未能在计划开工日期之日起90天内发出开工通知的，承包人有权提出价格调整要求，或者解除合同。发包人应当承担由此增加的费用和（或）延误的工期，并向承包人支付合理利润。</w:t>
      </w:r>
    </w:p>
    <w:p w14:paraId="2AB62D2E">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44" w:name="_Toc351203546"/>
      <w:r>
        <w:rPr>
          <w:rFonts w:hint="eastAsia" w:ascii="宋体" w:hAnsi="宋体"/>
          <w:color w:val="000000" w:themeColor="text1"/>
          <w:sz w:val="24"/>
          <w:szCs w:val="24"/>
          <w:highlight w:val="none"/>
          <w14:textFill>
            <w14:solidFill>
              <w14:schemeClr w14:val="tx1"/>
            </w14:solidFill>
          </w14:textFill>
        </w:rPr>
        <w:t>7.4测量放线</w:t>
      </w:r>
      <w:bookmarkEnd w:id="244"/>
    </w:p>
    <w:p w14:paraId="460CC98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7.4.1 除专用合同条款另有约定外，发包人应在至迟不得晚于第7.3.2项〔开工通知〕载明的开工日期前7天通过监理人向承包人提供测量基准点、基准线和水准点及其书面资料。发包人应对其提供的测量基准点、基准线和水准点及其书面资料的真实性、准确性和完整性负责。</w:t>
      </w:r>
    </w:p>
    <w:p w14:paraId="7B49C34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p>
    <w:p w14:paraId="6943737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7.4.2 承包人负责施工过程中的全部施工测量放线工作，并配置具有相应资质的人员、合格的仪器、设备和其他物品。承包人应矫正工程的位置、标高、尺寸或准线中出现的任何差错，并对工程各部分的定位负责。</w:t>
      </w:r>
    </w:p>
    <w:p w14:paraId="24113B4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施工过程中对施工现场内水准点等测量标志物的保护工作由承包人负责。</w:t>
      </w:r>
      <w:bookmarkStart w:id="245" w:name="_Toc351203547"/>
    </w:p>
    <w:p w14:paraId="45DE324F">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7</w:t>
      </w:r>
      <w:bookmarkEnd w:id="238"/>
      <w:bookmarkEnd w:id="239"/>
      <w:bookmarkStart w:id="246" w:name="_Toc337558772"/>
      <w:bookmarkStart w:id="247" w:name="_Toc296346574"/>
      <w:bookmarkStart w:id="248" w:name="_Toc296503073"/>
      <w:r>
        <w:rPr>
          <w:rFonts w:hint="eastAsia" w:ascii="宋体" w:hAnsi="宋体"/>
          <w:color w:val="000000" w:themeColor="text1"/>
          <w:sz w:val="24"/>
          <w:szCs w:val="24"/>
          <w:highlight w:val="none"/>
          <w14:textFill>
            <w14:solidFill>
              <w14:schemeClr w14:val="tx1"/>
            </w14:solidFill>
          </w14:textFill>
        </w:rPr>
        <w:t>.5工期延误</w:t>
      </w:r>
      <w:bookmarkEnd w:id="245"/>
    </w:p>
    <w:bookmarkEnd w:id="246"/>
    <w:bookmarkEnd w:id="247"/>
    <w:bookmarkEnd w:id="248"/>
    <w:p w14:paraId="661E707D">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7.5.1 因发包人原因导致工期延误</w:t>
      </w:r>
    </w:p>
    <w:p w14:paraId="1A11361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 xml:space="preserve">在合同履行过程中，因下列情况导致工期延误和（或）费用增加的，由发包人承担由此延误的工期和（或）增加的费用，且发包人应支付承包人合理的利润： </w:t>
      </w:r>
    </w:p>
    <w:p w14:paraId="3734850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（1）发包人未能按合同约定提供图纸或所提供图纸不符合合同约定的；</w:t>
      </w:r>
    </w:p>
    <w:p w14:paraId="755AA750">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（2）发包人未能按合同约定提供施工现场、施工条件、基础资料、许可、批准等开工条件的；</w:t>
      </w:r>
    </w:p>
    <w:p w14:paraId="6794E3A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（3）发包人提供的测量基准点、基准线和水准点及其书面资料存在错误或疏漏的；</w:t>
      </w:r>
    </w:p>
    <w:p w14:paraId="7C0B8F5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（4）发包人未能在计划开工日期之日起7天内同意下达开工通知的；</w:t>
      </w:r>
    </w:p>
    <w:p w14:paraId="0CC3C98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（5）发包人未能按合同约定日期支付工程预付款、进度款或竣工结算款的；</w:t>
      </w:r>
    </w:p>
    <w:p w14:paraId="4F4268E0">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（6）监理人未按合同约定发出指示、批准等文件的；</w:t>
      </w:r>
    </w:p>
    <w:p w14:paraId="083D860E">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（7）专用合同条款中约定的其他情形。</w:t>
      </w:r>
    </w:p>
    <w:p w14:paraId="41EC099D">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发包人原因未按计划开工日期开工的，发包人应按实际开工日期顺延竣工日期，确保实际工期不低于合同约定的工期总日历天数。因发包人原因导致工期延误需要修订施工进度计划的，按照第7.2.2项〔施工进度计划的修订〕执行。</w:t>
      </w:r>
    </w:p>
    <w:p w14:paraId="372A0DE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7.5.2 因承包人原因导致工期延误</w:t>
      </w:r>
    </w:p>
    <w:p w14:paraId="3DC64CF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bookmarkStart w:id="249" w:name="_Toc296346577"/>
      <w:bookmarkStart w:id="250" w:name="_Toc296503076"/>
      <w:r>
        <w:rPr>
          <w:rFonts w:hint="eastAsia" w:ascii="宋体" w:hAnsi="宋体"/>
          <w:color w:val="000000" w:themeColor="text1"/>
          <w:kern w:val="0"/>
          <w:sz w:val="24"/>
          <w:szCs w:val="24"/>
          <w:highlight w:val="none"/>
          <w14:textFill>
            <w14:solidFill>
              <w14:schemeClr w14:val="tx1"/>
            </w14:solidFill>
          </w14:textFill>
        </w:rPr>
        <w:t>因</w:t>
      </w:r>
      <w:bookmarkEnd w:id="249"/>
      <w:bookmarkEnd w:id="250"/>
      <w:r>
        <w:rPr>
          <w:rFonts w:hint="eastAsia" w:ascii="宋体" w:hAnsi="宋体"/>
          <w:color w:val="000000" w:themeColor="text1"/>
          <w:kern w:val="0"/>
          <w:sz w:val="24"/>
          <w:szCs w:val="24"/>
          <w:highlight w:val="none"/>
          <w14:textFill>
            <w14:solidFill>
              <w14:schemeClr w14:val="tx1"/>
            </w14:solidFill>
          </w14:textFill>
        </w:rPr>
        <w:t>承包人原因造成工期延误的，可以在专用合同条款中约定逾期竣工违约金的计算方法和逾期竣工违约金的上限。承包人支付逾期竣工违约金后，不免除承包人继续完成工程及修补缺陷的义务。</w:t>
      </w:r>
    </w:p>
    <w:p w14:paraId="5D3FB69E">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51" w:name="_Toc351203548"/>
      <w:r>
        <w:rPr>
          <w:rFonts w:hint="eastAsia" w:ascii="宋体" w:hAnsi="宋体"/>
          <w:color w:val="000000" w:themeColor="text1"/>
          <w:sz w:val="24"/>
          <w:szCs w:val="24"/>
          <w:highlight w:val="none"/>
          <w14:textFill>
            <w14:solidFill>
              <w14:schemeClr w14:val="tx1"/>
            </w14:solidFill>
          </w14:textFill>
        </w:rPr>
        <w:t>7</w:t>
      </w:r>
      <w:bookmarkStart w:id="252" w:name="_Toc296503074"/>
      <w:bookmarkStart w:id="253" w:name="_Toc296346575"/>
      <w:bookmarkStart w:id="254" w:name="_Toc337558773"/>
      <w:bookmarkStart w:id="255" w:name="_Toc296346578"/>
      <w:bookmarkStart w:id="256" w:name="_Toc296503077"/>
      <w:r>
        <w:rPr>
          <w:rFonts w:hint="eastAsia" w:ascii="宋体" w:hAnsi="宋体"/>
          <w:color w:val="000000" w:themeColor="text1"/>
          <w:sz w:val="24"/>
          <w:szCs w:val="24"/>
          <w:highlight w:val="none"/>
          <w14:textFill>
            <w14:solidFill>
              <w14:schemeClr w14:val="tx1"/>
            </w14:solidFill>
          </w14:textFill>
        </w:rPr>
        <w:t>.6 不利物质条件</w:t>
      </w:r>
      <w:bookmarkEnd w:id="251"/>
    </w:p>
    <w:bookmarkEnd w:id="252"/>
    <w:bookmarkEnd w:id="253"/>
    <w:bookmarkEnd w:id="254"/>
    <w:p w14:paraId="05CAD8C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不利物质条件是指有经验的承包人在施工现场遇到的不可预见的自然物质条件、非自然的物质障碍和污染物，包括地表以下物质条件和水文条件以及专用合同条款约定的其他情形，但不包括气候条件。</w:t>
      </w:r>
    </w:p>
    <w:p w14:paraId="611ECE6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变更〕约定执行。承包人因采取合理措施而增加的费用和（或）延误的工期由发包人承担。</w:t>
      </w:r>
    </w:p>
    <w:p w14:paraId="40D54040">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57" w:name="_Toc351203549"/>
      <w:r>
        <w:rPr>
          <w:rFonts w:hint="eastAsia" w:ascii="宋体" w:hAnsi="宋体"/>
          <w:color w:val="000000" w:themeColor="text1"/>
          <w:sz w:val="24"/>
          <w:szCs w:val="24"/>
          <w:highlight w:val="none"/>
          <w14:textFill>
            <w14:solidFill>
              <w14:schemeClr w14:val="tx1"/>
            </w14:solidFill>
          </w14:textFill>
        </w:rPr>
        <w:t>7</w:t>
      </w:r>
      <w:bookmarkStart w:id="258" w:name="_Toc296346576"/>
      <w:bookmarkStart w:id="259" w:name="_Toc296503075"/>
      <w:bookmarkStart w:id="260" w:name="_Toc337558774"/>
      <w:r>
        <w:rPr>
          <w:rFonts w:hint="eastAsia" w:ascii="宋体" w:hAnsi="宋体"/>
          <w:color w:val="000000" w:themeColor="text1"/>
          <w:sz w:val="24"/>
          <w:szCs w:val="24"/>
          <w:highlight w:val="none"/>
          <w14:textFill>
            <w14:solidFill>
              <w14:schemeClr w14:val="tx1"/>
            </w14:solidFill>
          </w14:textFill>
        </w:rPr>
        <w:t>.7异常恶劣的气候条件</w:t>
      </w:r>
      <w:bookmarkEnd w:id="257"/>
    </w:p>
    <w:bookmarkEnd w:id="258"/>
    <w:bookmarkEnd w:id="259"/>
    <w:bookmarkEnd w:id="260"/>
    <w:p w14:paraId="34807C5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p>
    <w:p w14:paraId="39651CB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采取克服异常恶劣的气候条件的合理措施继续施工，并及时通知发包人和监理人。监理人经发包人同意后应当及时发出指示，指示构成变更的，按第10条〔变更〕约定办理。承包人因采取合理措施而增加的费用和（或）延误的工期由发包人承担。</w:t>
      </w:r>
      <w:bookmarkStart w:id="261" w:name="_Toc351203550"/>
    </w:p>
    <w:p w14:paraId="27A4329A">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7</w:t>
      </w:r>
      <w:bookmarkStart w:id="262" w:name="_Toc337558775"/>
      <w:r>
        <w:rPr>
          <w:rFonts w:hint="eastAsia" w:ascii="宋体" w:hAnsi="宋体"/>
          <w:color w:val="000000" w:themeColor="text1"/>
          <w:sz w:val="24"/>
          <w:szCs w:val="24"/>
          <w:highlight w:val="none"/>
          <w14:textFill>
            <w14:solidFill>
              <w14:schemeClr w14:val="tx1"/>
            </w14:solidFill>
          </w14:textFill>
        </w:rPr>
        <w:t>.8暂停施工</w:t>
      </w:r>
      <w:bookmarkEnd w:id="261"/>
    </w:p>
    <w:bookmarkEnd w:id="255"/>
    <w:bookmarkEnd w:id="256"/>
    <w:bookmarkEnd w:id="262"/>
    <w:p w14:paraId="3796A16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7.8.1发包人原因引起的暂停施工</w:t>
      </w:r>
    </w:p>
    <w:p w14:paraId="11C99B8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因发包人原因引起暂停施工的，监理人经发包人同意后，应及时下达暂停施工指示。情况紧急且监理人未及时下达暂停施工指示的，按照第7.8.4项〔紧急情况下的暂停施工〕执行。</w:t>
      </w:r>
    </w:p>
    <w:p w14:paraId="23A4F0EF">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因发包人原因引起的暂停施工，发包人应承担由此增加的费用和（或）延误的工期，并支付承包人合理的利润。</w:t>
      </w:r>
    </w:p>
    <w:p w14:paraId="5A0F016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7.8.2 承包人原因引起的暂停施工</w:t>
      </w:r>
    </w:p>
    <w:p w14:paraId="0F7F3F7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承包人原因引起的暂停施工，承包人应承担由此增加的费用和（或）延误的工期，且承包人在收到监理人复工指示后84天内仍未复工的，视为第16.2.1项〔承包人违约的情形〕第（7）目约定的承包人无法继续履行合同的情形。</w:t>
      </w:r>
    </w:p>
    <w:p w14:paraId="2839A82C">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7.8.3 指示暂停施工</w:t>
      </w:r>
    </w:p>
    <w:p w14:paraId="0323451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监理人认为有必要时，并经发包人批准后，可向承包人作出暂停施工的指示，承包人应按监理人指示暂停施工。</w:t>
      </w:r>
    </w:p>
    <w:p w14:paraId="490CEF6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7.8.4 紧急情况下的暂停施工</w:t>
      </w:r>
    </w:p>
    <w:p w14:paraId="31CACAA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争议解决〕约定处理。</w:t>
      </w:r>
    </w:p>
    <w:p w14:paraId="13C704A4">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7.8.5 暂停施工后的复工</w:t>
      </w:r>
    </w:p>
    <w:p w14:paraId="6FDB8C5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p>
    <w:p w14:paraId="47B6936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承包人无故拖延和拒绝复工的，承包人承担由此增加的费用和（或）延误的工期；因发包人原因无法按时复工的，按照第7.5.1项〔因发包人原因导致工期延误〕约定办理。</w:t>
      </w:r>
    </w:p>
    <w:p w14:paraId="2F4E104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7.8.6 暂停施工持续56天以上</w:t>
      </w:r>
    </w:p>
    <w:p w14:paraId="1D203034">
      <w:pPr>
        <w:spacing w:line="360" w:lineRule="auto"/>
        <w:ind w:firstLine="468" w:firstLineChars="195"/>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监理人发出暂停施工指示后56天内未向承包人发出复工通知，除该项停工属于第7.8.2项〔承包人原因引起的暂停施工〕及第17条〔不可抗力〕约定的情形外，承包人可向发包人提交书面通知，要求发包人在收到书面通知后28天内准许已暂停施工的部分或全部工程继续施工。发包人逾期不予批准的，则承包人可以通知发包人，将工程受影响的部分视为按第10.1款〔变更的范围〕第（2）项的可取消工作。</w:t>
      </w:r>
    </w:p>
    <w:p w14:paraId="6EFB31DA">
      <w:pPr>
        <w:spacing w:line="360" w:lineRule="auto"/>
        <w:ind w:firstLine="468" w:firstLineChars="195"/>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暂停施工持续84天以上不复工的，且不属于第7.8.2项〔承包人原因引起的暂停施工〕及第17条〔不可抗力〕约定的情形，并影响到整个工程以及合同目的实现的，承包人有权提出价格调整要求，或者解除合同。解除合同的，按照第16.1.3项〔因发包人违约解除合同〕执行。</w:t>
      </w:r>
    </w:p>
    <w:p w14:paraId="594C9A61">
      <w:pPr>
        <w:spacing w:line="360" w:lineRule="auto"/>
        <w:ind w:left="16" w:firstLine="468" w:firstLineChars="195"/>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7.8.7 暂停施工期间的工程照管</w:t>
      </w:r>
    </w:p>
    <w:p w14:paraId="7ACD696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暂停施工期间，承包人应负责妥善照管工程并提供安全保障，由此增加的费用由责任方承担。</w:t>
      </w:r>
    </w:p>
    <w:p w14:paraId="0E7B4F4B">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7.8.8 暂停施工的措施</w:t>
      </w:r>
    </w:p>
    <w:p w14:paraId="39A3C18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暂停施工期间，发包人和承包人均应采取必要的措施确保工程质量及安全，防止因暂停施工扩大损失。</w:t>
      </w:r>
    </w:p>
    <w:p w14:paraId="11B71516">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263" w:name="_Toc351203551"/>
      <w:r>
        <w:rPr>
          <w:rFonts w:hint="eastAsia" w:ascii="宋体" w:hAnsi="宋体"/>
          <w:color w:val="000000" w:themeColor="text1"/>
          <w:sz w:val="24"/>
          <w:szCs w:val="24"/>
          <w:highlight w:val="none"/>
          <w14:textFill>
            <w14:solidFill>
              <w14:schemeClr w14:val="tx1"/>
            </w14:solidFill>
          </w14:textFill>
        </w:rPr>
        <w:t>7.9提前竣工</w:t>
      </w:r>
      <w:bookmarkEnd w:id="263"/>
    </w:p>
    <w:p w14:paraId="05240AB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承包人认为提前竣工指示无法执行的，应向监理人和发包人提出书面异议，发包人和监理人应在收到异议后7天内予以答复。任何情况下，发包人不得压缩合理工期。</w:t>
      </w:r>
    </w:p>
    <w:p w14:paraId="739DA2E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7.9.2 发包人要求承包人提前竣工，或承包人提出提前竣工的建议能够给发包人带来效益的，合同当事人可以在专用合同条款中约定提前竣工的奖励。</w:t>
      </w:r>
    </w:p>
    <w:p w14:paraId="30B5535B">
      <w:pPr>
        <w:spacing w:line="360" w:lineRule="auto"/>
        <w:ind w:firstLine="480" w:firstLineChars="200"/>
        <w:outlineLvl w:val="9"/>
        <w:rPr>
          <w:rFonts w:ascii="宋体" w:hAnsi="宋体" w:eastAsia="宋体"/>
          <w:b w:val="0"/>
          <w:color w:val="000000" w:themeColor="text1"/>
          <w:sz w:val="24"/>
          <w:szCs w:val="24"/>
          <w:highlight w:val="none"/>
          <w14:textFill>
            <w14:solidFill>
              <w14:schemeClr w14:val="tx1"/>
            </w14:solidFill>
          </w14:textFill>
        </w:rPr>
      </w:pPr>
      <w:bookmarkStart w:id="264" w:name="_Toc351203552"/>
      <w:r>
        <w:rPr>
          <w:rFonts w:hint="eastAsia" w:ascii="宋体" w:hAnsi="宋体" w:eastAsia="宋体"/>
          <w:b w:val="0"/>
          <w:color w:val="000000" w:themeColor="text1"/>
          <w:sz w:val="24"/>
          <w:szCs w:val="24"/>
          <w:highlight w:val="none"/>
          <w14:textFill>
            <w14:solidFill>
              <w14:schemeClr w14:val="tx1"/>
            </w14:solidFill>
          </w14:textFill>
        </w:rPr>
        <w:t>8</w:t>
      </w:r>
      <w:bookmarkStart w:id="265" w:name="_Toc337558776"/>
      <w:bookmarkStart w:id="266" w:name="_Toc296503058"/>
      <w:bookmarkStart w:id="267" w:name="_Toc296346559"/>
      <w:r>
        <w:rPr>
          <w:rFonts w:hint="eastAsia" w:ascii="宋体" w:hAnsi="宋体" w:eastAsia="宋体"/>
          <w:b w:val="0"/>
          <w:color w:val="000000" w:themeColor="text1"/>
          <w:sz w:val="24"/>
          <w:szCs w:val="24"/>
          <w:highlight w:val="none"/>
          <w14:textFill>
            <w14:solidFill>
              <w14:schemeClr w14:val="tx1"/>
            </w14:solidFill>
          </w14:textFill>
        </w:rPr>
        <w:t>. 材料与设备</w:t>
      </w:r>
      <w:bookmarkEnd w:id="264"/>
    </w:p>
    <w:bookmarkEnd w:id="265"/>
    <w:bookmarkEnd w:id="266"/>
    <w:bookmarkEnd w:id="267"/>
    <w:p w14:paraId="27F82174">
      <w:pPr>
        <w:spacing w:before="100" w:after="100" w:line="360" w:lineRule="auto"/>
        <w:ind w:firstLine="480" w:firstLineChars="200"/>
        <w:outlineLvl w:val="9"/>
        <w:rPr>
          <w:rFonts w:ascii="宋体" w:hAnsi="宋体"/>
          <w:color w:val="000000" w:themeColor="text1"/>
          <w:sz w:val="24"/>
          <w:szCs w:val="24"/>
          <w:highlight w:val="none"/>
          <w14:textFill>
            <w14:solidFill>
              <w14:schemeClr w14:val="tx1"/>
            </w14:solidFill>
          </w14:textFill>
        </w:rPr>
      </w:pPr>
      <w:bookmarkStart w:id="268" w:name="_Toc351203553"/>
      <w:r>
        <w:rPr>
          <w:rFonts w:hint="eastAsia" w:ascii="宋体" w:hAnsi="宋体"/>
          <w:color w:val="000000" w:themeColor="text1"/>
          <w:sz w:val="24"/>
          <w:szCs w:val="24"/>
          <w:highlight w:val="none"/>
          <w14:textFill>
            <w14:solidFill>
              <w14:schemeClr w14:val="tx1"/>
            </w14:solidFill>
          </w14:textFill>
        </w:rPr>
        <w:t>8</w:t>
      </w:r>
      <w:bookmarkStart w:id="269" w:name="_Toc296503059"/>
      <w:bookmarkStart w:id="270" w:name="_Toc296346560"/>
      <w:bookmarkStart w:id="271" w:name="_Toc337558777"/>
      <w:bookmarkStart w:id="272" w:name="_Toc468936960"/>
      <w:r>
        <w:rPr>
          <w:rFonts w:hint="eastAsia" w:ascii="宋体" w:hAnsi="宋体"/>
          <w:color w:val="000000" w:themeColor="text1"/>
          <w:sz w:val="24"/>
          <w:szCs w:val="24"/>
          <w:highlight w:val="none"/>
          <w14:textFill>
            <w14:solidFill>
              <w14:schemeClr w14:val="tx1"/>
            </w14:solidFill>
          </w14:textFill>
        </w:rPr>
        <w:t>.1发包人供应材料与工程设备</w:t>
      </w:r>
      <w:bookmarkEnd w:id="268"/>
    </w:p>
    <w:bookmarkEnd w:id="269"/>
    <w:bookmarkEnd w:id="270"/>
    <w:bookmarkEnd w:id="271"/>
    <w:p w14:paraId="0EC0CD6D">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发包人自行供应材料、工程设备的，应在签订合同时在专用合同条款的附件《发包人供应材料设备一览表》中明确材料、工程设备的品种、规格、型号、数量、单价、质量等级和送达地点。</w:t>
      </w:r>
    </w:p>
    <w:p w14:paraId="5210F13C">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提前30天通过监理人以书面形式通知发包人供应材料与工程设备进场。承包人按照第7.2.2项〔施工进度计划的修订〕约定修订施工进度计划时，需同时提交经修订后的发包人供应材料与工程设备的进场计划。</w:t>
      </w:r>
    </w:p>
    <w:p w14:paraId="5FE7FDCD">
      <w:pPr>
        <w:spacing w:before="100" w:after="100" w:line="360" w:lineRule="auto"/>
        <w:ind w:firstLine="480" w:firstLineChars="200"/>
        <w:outlineLvl w:val="9"/>
        <w:rPr>
          <w:rFonts w:ascii="宋体" w:hAnsi="宋体"/>
          <w:color w:val="000000" w:themeColor="text1"/>
          <w:sz w:val="24"/>
          <w:szCs w:val="24"/>
          <w:highlight w:val="none"/>
          <w14:textFill>
            <w14:solidFill>
              <w14:schemeClr w14:val="tx1"/>
            </w14:solidFill>
          </w14:textFill>
        </w:rPr>
      </w:pPr>
      <w:bookmarkStart w:id="273" w:name="_Toc351203554"/>
      <w:r>
        <w:rPr>
          <w:rFonts w:hint="eastAsia" w:ascii="宋体" w:hAnsi="宋体"/>
          <w:color w:val="000000" w:themeColor="text1"/>
          <w:sz w:val="24"/>
          <w:szCs w:val="24"/>
          <w:highlight w:val="none"/>
          <w14:textFill>
            <w14:solidFill>
              <w14:schemeClr w14:val="tx1"/>
            </w14:solidFill>
          </w14:textFill>
        </w:rPr>
        <w:t>8</w:t>
      </w:r>
      <w:bookmarkStart w:id="274" w:name="_Toc296346561"/>
      <w:bookmarkStart w:id="275" w:name="_Toc337558778"/>
      <w:bookmarkStart w:id="276" w:name="_Toc296503060"/>
      <w:r>
        <w:rPr>
          <w:rFonts w:hint="eastAsia" w:ascii="宋体" w:hAnsi="宋体"/>
          <w:color w:val="000000" w:themeColor="text1"/>
          <w:sz w:val="24"/>
          <w:szCs w:val="24"/>
          <w:highlight w:val="none"/>
          <w14:textFill>
            <w14:solidFill>
              <w14:schemeClr w14:val="tx1"/>
            </w14:solidFill>
          </w14:textFill>
        </w:rPr>
        <w:t>.2承包人采购材料与工程设备</w:t>
      </w:r>
      <w:bookmarkEnd w:id="273"/>
    </w:p>
    <w:bookmarkEnd w:id="274"/>
    <w:bookmarkEnd w:id="275"/>
    <w:bookmarkEnd w:id="276"/>
    <w:p w14:paraId="32382CEE">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p>
    <w:p w14:paraId="4709E10C">
      <w:pPr>
        <w:spacing w:before="100" w:after="100" w:line="360" w:lineRule="auto"/>
        <w:ind w:firstLine="480" w:firstLineChars="200"/>
        <w:outlineLvl w:val="9"/>
        <w:rPr>
          <w:rFonts w:ascii="宋体" w:hAnsi="宋体"/>
          <w:color w:val="000000" w:themeColor="text1"/>
          <w:sz w:val="24"/>
          <w:szCs w:val="24"/>
          <w:highlight w:val="none"/>
          <w14:textFill>
            <w14:solidFill>
              <w14:schemeClr w14:val="tx1"/>
            </w14:solidFill>
          </w14:textFill>
        </w:rPr>
      </w:pPr>
      <w:bookmarkStart w:id="277" w:name="_Toc351203555"/>
      <w:r>
        <w:rPr>
          <w:rFonts w:hint="eastAsia" w:ascii="宋体" w:hAnsi="宋体"/>
          <w:color w:val="000000" w:themeColor="text1"/>
          <w:sz w:val="24"/>
          <w:szCs w:val="24"/>
          <w:highlight w:val="none"/>
          <w14:textFill>
            <w14:solidFill>
              <w14:schemeClr w14:val="tx1"/>
            </w14:solidFill>
          </w14:textFill>
        </w:rPr>
        <w:t>8</w:t>
      </w:r>
      <w:bookmarkStart w:id="278" w:name="_Toc296503061"/>
      <w:bookmarkStart w:id="279" w:name="_Toc337558779"/>
      <w:bookmarkStart w:id="280" w:name="_Toc296346562"/>
      <w:r>
        <w:rPr>
          <w:rFonts w:hint="eastAsia" w:ascii="宋体" w:hAnsi="宋体"/>
          <w:color w:val="000000" w:themeColor="text1"/>
          <w:sz w:val="24"/>
          <w:szCs w:val="24"/>
          <w:highlight w:val="none"/>
          <w14:textFill>
            <w14:solidFill>
              <w14:schemeClr w14:val="tx1"/>
            </w14:solidFill>
          </w14:textFill>
        </w:rPr>
        <w:t>.3材料与工程设备的接收与拒收</w:t>
      </w:r>
      <w:bookmarkEnd w:id="277"/>
    </w:p>
    <w:bookmarkEnd w:id="278"/>
    <w:bookmarkEnd w:id="279"/>
    <w:bookmarkEnd w:id="280"/>
    <w:p w14:paraId="0FCE423F">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8.3.1 发包人应按《发包人供应材料设备一览表》约定的内容提供材料和工程设备，并向承包人提供产品合格证明及出厂证明，对其质量负责。发包人应提前24小时以书面形式通知承包人、监理人材料和工程设备到货时间，承包人负责材料和工程设备的清点、检验和接收。</w:t>
      </w:r>
    </w:p>
    <w:p w14:paraId="2C9021FC">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发包人提供的材料和工程设备的规格、数量或质量不符合合同约定的，或因发包人原因导致交货日期延误或交货地点变更等情况的，按照第16.1款〔发包人违约〕约定办理。</w:t>
      </w:r>
    </w:p>
    <w:p w14:paraId="3A2AAF6D">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8.3.2 承包人采购的材料和工程设备，应保证产品质量合格，承包人应在材料和工程设备到货前24小时通知监理人检验。承</w:t>
      </w:r>
      <w:bookmarkStart w:id="281" w:name="_Toc250655469"/>
      <w:r>
        <w:rPr>
          <w:rFonts w:hint="eastAsia" w:ascii="宋体" w:hAnsi="宋体"/>
          <w:color w:val="000000" w:themeColor="text1"/>
          <w:kern w:val="0"/>
          <w:sz w:val="24"/>
          <w:szCs w:val="24"/>
          <w:highlight w:val="none"/>
          <w14:textFill>
            <w14:solidFill>
              <w14:schemeClr w14:val="tx1"/>
            </w14:solidFill>
          </w14:textFill>
        </w:rPr>
        <w:t>包人进行永久设备、材料的制造和生产的，应符合相关质量标准，并向监理人提交材料的样本以及有关资料，并应在使用该材料或工程设备之前获得监理人同意。</w:t>
      </w:r>
    </w:p>
    <w:bookmarkEnd w:id="281"/>
    <w:p w14:paraId="38D0599F">
      <w:pPr>
        <w:autoSpaceDE w:val="0"/>
        <w:autoSpaceDN w:val="0"/>
        <w:adjustRightInd w:val="0"/>
        <w:spacing w:line="360" w:lineRule="auto"/>
        <w:ind w:firstLine="360" w:firstLineChars="15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 xml:space="preserve"> 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p>
    <w:p w14:paraId="57BFFE40">
      <w:pPr>
        <w:spacing w:before="100" w:after="100" w:line="360" w:lineRule="auto"/>
        <w:ind w:firstLine="480" w:firstLineChars="200"/>
        <w:outlineLvl w:val="9"/>
        <w:rPr>
          <w:rFonts w:ascii="宋体" w:hAnsi="宋体"/>
          <w:color w:val="000000" w:themeColor="text1"/>
          <w:sz w:val="24"/>
          <w:szCs w:val="24"/>
          <w:highlight w:val="none"/>
          <w14:textFill>
            <w14:solidFill>
              <w14:schemeClr w14:val="tx1"/>
            </w14:solidFill>
          </w14:textFill>
        </w:rPr>
      </w:pPr>
      <w:bookmarkStart w:id="282" w:name="_Toc351203556"/>
      <w:r>
        <w:rPr>
          <w:rFonts w:hint="eastAsia" w:ascii="宋体" w:hAnsi="宋体"/>
          <w:color w:val="000000" w:themeColor="text1"/>
          <w:sz w:val="24"/>
          <w:szCs w:val="24"/>
          <w:highlight w:val="none"/>
          <w14:textFill>
            <w14:solidFill>
              <w14:schemeClr w14:val="tx1"/>
            </w14:solidFill>
          </w14:textFill>
        </w:rPr>
        <w:t>8</w:t>
      </w:r>
      <w:bookmarkStart w:id="283" w:name="_Toc337558780"/>
      <w:bookmarkStart w:id="284" w:name="_Toc296346563"/>
      <w:bookmarkStart w:id="285" w:name="_Toc296503062"/>
      <w:r>
        <w:rPr>
          <w:rFonts w:hint="eastAsia" w:ascii="宋体" w:hAnsi="宋体"/>
          <w:color w:val="000000" w:themeColor="text1"/>
          <w:sz w:val="24"/>
          <w:szCs w:val="24"/>
          <w:highlight w:val="none"/>
          <w14:textFill>
            <w14:solidFill>
              <w14:schemeClr w14:val="tx1"/>
            </w14:solidFill>
          </w14:textFill>
        </w:rPr>
        <w:t>.4材料与工程设备的保管与使用</w:t>
      </w:r>
      <w:bookmarkEnd w:id="282"/>
    </w:p>
    <w:bookmarkEnd w:id="283"/>
    <w:bookmarkEnd w:id="284"/>
    <w:bookmarkEnd w:id="285"/>
    <w:p w14:paraId="20498440">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8.4.1 发包人供应材料与工程设备的保管与使用</w:t>
      </w:r>
    </w:p>
    <w:p w14:paraId="7967227A">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p>
    <w:p w14:paraId="33C23036">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发包人供应的材料和工程设备使用前，由承包人负责检验，检验费用由发包人承担，不合格的不得使用。</w:t>
      </w:r>
    </w:p>
    <w:p w14:paraId="57914998">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8.4.2 承包人采购材料与工程设备的保管与使用</w:t>
      </w:r>
    </w:p>
    <w:p w14:paraId="7508720B">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p>
    <w:p w14:paraId="3EEEF638">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发包人或监理人发现承包人使用不符合设计或有关标准要求的材料和工程设备时，有权要求承包人进行修复、拆除或重新采购，由此增加的费用和（或）延误的工期，由承包人承担。</w:t>
      </w:r>
    </w:p>
    <w:p w14:paraId="7F7C3631">
      <w:pPr>
        <w:spacing w:before="100" w:after="100" w:line="360" w:lineRule="auto"/>
        <w:ind w:firstLine="480" w:firstLineChars="200"/>
        <w:outlineLvl w:val="9"/>
        <w:rPr>
          <w:rFonts w:ascii="宋体" w:hAnsi="宋体"/>
          <w:color w:val="000000" w:themeColor="text1"/>
          <w:sz w:val="24"/>
          <w:szCs w:val="24"/>
          <w:highlight w:val="none"/>
          <w14:textFill>
            <w14:solidFill>
              <w14:schemeClr w14:val="tx1"/>
            </w14:solidFill>
          </w14:textFill>
        </w:rPr>
      </w:pPr>
      <w:bookmarkStart w:id="286" w:name="_Toc351203557"/>
      <w:r>
        <w:rPr>
          <w:rFonts w:hint="eastAsia" w:ascii="宋体" w:hAnsi="宋体"/>
          <w:color w:val="000000" w:themeColor="text1"/>
          <w:sz w:val="24"/>
          <w:szCs w:val="24"/>
          <w:highlight w:val="none"/>
          <w14:textFill>
            <w14:solidFill>
              <w14:schemeClr w14:val="tx1"/>
            </w14:solidFill>
          </w14:textFill>
        </w:rPr>
        <w:t>8.5禁止使用不合格的材料和工程设备</w:t>
      </w:r>
      <w:bookmarkEnd w:id="286"/>
    </w:p>
    <w:p w14:paraId="34624B47">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8.5.1 监理人有权拒绝承包人提供的不合格材料或工程设备，并要求承包人立即进行更换。监理人应在更换后再次进行检查和检验，由此增加的费用和（或）延误的工期由承包人承担。</w:t>
      </w:r>
    </w:p>
    <w:p w14:paraId="2EF5A781">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8.5.2 监理人发现承包人使用了不合格的材料和工程设备，承包人应按照监理人的指示立即改正，并禁止在工程中继续使用不合格的材料和工程设备。</w:t>
      </w:r>
    </w:p>
    <w:p w14:paraId="348D8A29">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8.5.3 发包人提供的材料或工程设备不符合合同要求的，承包人有权拒绝，并可要求发包人更换，由此增加的费用和（或）延误的工期由发包人承担，并支付承包人合理的利润。</w:t>
      </w:r>
    </w:p>
    <w:p w14:paraId="13A236CB">
      <w:pPr>
        <w:spacing w:before="100" w:after="100" w:line="360" w:lineRule="auto"/>
        <w:ind w:firstLine="480" w:firstLineChars="200"/>
        <w:outlineLvl w:val="9"/>
        <w:rPr>
          <w:rFonts w:ascii="宋体" w:hAnsi="宋体"/>
          <w:color w:val="000000" w:themeColor="text1"/>
          <w:sz w:val="24"/>
          <w:szCs w:val="24"/>
          <w:highlight w:val="none"/>
          <w14:textFill>
            <w14:solidFill>
              <w14:schemeClr w14:val="tx1"/>
            </w14:solidFill>
          </w14:textFill>
        </w:rPr>
      </w:pPr>
      <w:bookmarkStart w:id="287" w:name="_Toc351203558"/>
      <w:r>
        <w:rPr>
          <w:rFonts w:hint="eastAsia" w:ascii="宋体" w:hAnsi="宋体"/>
          <w:color w:val="000000" w:themeColor="text1"/>
          <w:sz w:val="24"/>
          <w:szCs w:val="24"/>
          <w:highlight w:val="none"/>
          <w14:textFill>
            <w14:solidFill>
              <w14:schemeClr w14:val="tx1"/>
            </w14:solidFill>
          </w14:textFill>
        </w:rPr>
        <w:t>8.6 样品</w:t>
      </w:r>
      <w:bookmarkEnd w:id="287"/>
    </w:p>
    <w:p w14:paraId="3882F4A1">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8.6.1</w:t>
      </w:r>
      <w:r>
        <w:rPr>
          <w:rFonts w:hint="eastAsia" w:ascii="宋体" w:hAnsi="宋体"/>
          <w:color w:val="000000" w:themeColor="text1"/>
          <w:kern w:val="0"/>
          <w:sz w:val="24"/>
          <w:szCs w:val="24"/>
          <w:highlight w:val="none"/>
          <w14:textFill>
            <w14:solidFill>
              <w14:schemeClr w14:val="tx1"/>
            </w14:solidFill>
          </w14:textFill>
        </w:rPr>
        <w:tab/>
      </w:r>
      <w:r>
        <w:rPr>
          <w:rFonts w:hint="eastAsia" w:ascii="宋体" w:hAnsi="宋体"/>
          <w:color w:val="000000" w:themeColor="text1"/>
          <w:kern w:val="0"/>
          <w:sz w:val="24"/>
          <w:szCs w:val="24"/>
          <w:highlight w:val="none"/>
          <w14:textFill>
            <w14:solidFill>
              <w14:schemeClr w14:val="tx1"/>
            </w14:solidFill>
          </w14:textFill>
        </w:rPr>
        <w:t>样品的报送与封存</w:t>
      </w:r>
    </w:p>
    <w:p w14:paraId="607082D5">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需要承包人报送样品的材料或工程设备，样品的种类、名称、规格、数量等要求均应在专用合同条款中约定。样品的报送程序如下：</w:t>
      </w:r>
    </w:p>
    <w:p w14:paraId="335B4D7F">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承包人应在计划采购前28天向监理人报送样品。承包人报送的样品均应来自供应材料的实际生产地，且提供的样品的规格、数量足以表明材料或工程设备的质量、型号、颜色、表面处理、质地、误差和其他要求的特征。</w:t>
      </w:r>
    </w:p>
    <w:p w14:paraId="6DEE1B25">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p>
    <w:p w14:paraId="39B63E63">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（3）经发包人和监理人审批确认的样品应按约定的方法封样，封存的样品作为检验工程相关部分的标准之一。承包人在施工过程中不得使用与样品不符的材料或工程设备。</w:t>
      </w:r>
    </w:p>
    <w:p w14:paraId="3C7B4EAE">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4）发包人和监理人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p>
    <w:p w14:paraId="05F21C76">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8.6.2 样品的保管</w:t>
      </w:r>
    </w:p>
    <w:p w14:paraId="1D4ACA06">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经批准的样品应由监理人负责封存于现场，承包人应在现场为保存样品提供适当和固定的场所并保持适当和良好的存储环境条件。</w:t>
      </w:r>
    </w:p>
    <w:p w14:paraId="40C28079">
      <w:pPr>
        <w:spacing w:before="100" w:after="100" w:line="360" w:lineRule="auto"/>
        <w:ind w:firstLine="480" w:firstLineChars="200"/>
        <w:outlineLvl w:val="9"/>
        <w:rPr>
          <w:rFonts w:ascii="宋体" w:hAnsi="宋体"/>
          <w:color w:val="000000" w:themeColor="text1"/>
          <w:sz w:val="24"/>
          <w:szCs w:val="24"/>
          <w:highlight w:val="none"/>
          <w14:textFill>
            <w14:solidFill>
              <w14:schemeClr w14:val="tx1"/>
            </w14:solidFill>
          </w14:textFill>
        </w:rPr>
      </w:pPr>
      <w:bookmarkStart w:id="288" w:name="_Toc351203559"/>
      <w:r>
        <w:rPr>
          <w:rFonts w:hint="eastAsia" w:ascii="宋体" w:hAnsi="宋体"/>
          <w:color w:val="000000" w:themeColor="text1"/>
          <w:sz w:val="24"/>
          <w:szCs w:val="24"/>
          <w:highlight w:val="none"/>
          <w14:textFill>
            <w14:solidFill>
              <w14:schemeClr w14:val="tx1"/>
            </w14:solidFill>
          </w14:textFill>
        </w:rPr>
        <w:t>8.7材料与工程设备的替代</w:t>
      </w:r>
      <w:bookmarkEnd w:id="288"/>
    </w:p>
    <w:p w14:paraId="066808DB">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8.7.1 出现下列情况需要使用替代材料和工程设备的，承包人应按照第8.7.2项约定的程序执行：</w:t>
      </w:r>
    </w:p>
    <w:p w14:paraId="6E3E3328">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（1）基准日期后生效的法律规定禁止使用的；</w:t>
      </w:r>
    </w:p>
    <w:p w14:paraId="2EA96397">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（2）发包人要求使用替代品的；</w:t>
      </w:r>
    </w:p>
    <w:p w14:paraId="2476383A">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（3）因其他原因必须使用替代品的。</w:t>
      </w:r>
    </w:p>
    <w:p w14:paraId="6B0A421B">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8.7.2 承包人应在使用替代材料和工程设备28天前书面通知监理人，并附下列文件：</w:t>
      </w:r>
    </w:p>
    <w:p w14:paraId="6E33F132">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（1）被替代的材料和工程设备的名称、数量、规格、型号、品牌、性能、价格及其他相关资料；</w:t>
      </w:r>
    </w:p>
    <w:p w14:paraId="28A35928">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（2）替代品的名称、数量、规格、型号、品牌、性能、价格及其他相关资料；</w:t>
      </w:r>
    </w:p>
    <w:p w14:paraId="245DB0AA">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（3）替代品与被替代产品之间的差异以及使用替代品可能对工程产生的影响；</w:t>
      </w:r>
    </w:p>
    <w:p w14:paraId="38EB3AC1">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（4）替代品与被替代产品的价格差异；</w:t>
      </w:r>
    </w:p>
    <w:p w14:paraId="3552A09C">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（5）使用替代品的理由和原因说明；</w:t>
      </w:r>
    </w:p>
    <w:p w14:paraId="7057AEB7">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（6）监理人要求的其他文件。</w:t>
      </w:r>
    </w:p>
    <w:p w14:paraId="57DCB1A2">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监理人应在收到通知后14天内向承包人发出经发包人签认的书面指示；监理人逾期发出书面指示的，视为发包人和监理人同意使用替代品。</w:t>
      </w:r>
    </w:p>
    <w:p w14:paraId="5D8C2CE0">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8.7.3 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4.4款〔商定或确定〕确定价格。</w:t>
      </w:r>
    </w:p>
    <w:p w14:paraId="65EC50EF">
      <w:pPr>
        <w:spacing w:before="100" w:after="100" w:line="360" w:lineRule="auto"/>
        <w:ind w:firstLine="480" w:firstLineChars="200"/>
        <w:outlineLvl w:val="9"/>
        <w:rPr>
          <w:rFonts w:ascii="宋体" w:hAnsi="宋体"/>
          <w:color w:val="000000" w:themeColor="text1"/>
          <w:sz w:val="24"/>
          <w:szCs w:val="24"/>
          <w:highlight w:val="none"/>
          <w14:textFill>
            <w14:solidFill>
              <w14:schemeClr w14:val="tx1"/>
            </w14:solidFill>
          </w14:textFill>
        </w:rPr>
      </w:pPr>
      <w:bookmarkStart w:id="289" w:name="_Toc351203560"/>
      <w:r>
        <w:rPr>
          <w:rFonts w:hint="eastAsia" w:ascii="宋体" w:hAnsi="宋体"/>
          <w:color w:val="000000" w:themeColor="text1"/>
          <w:sz w:val="24"/>
          <w:szCs w:val="24"/>
          <w:highlight w:val="none"/>
          <w14:textFill>
            <w14:solidFill>
              <w14:schemeClr w14:val="tx1"/>
            </w14:solidFill>
          </w14:textFill>
        </w:rPr>
        <w:t>8.8施工设备和临时设施</w:t>
      </w:r>
      <w:bookmarkEnd w:id="289"/>
    </w:p>
    <w:p w14:paraId="0579F85E">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8.8.1 承包人提供的施工设备和临时设施</w:t>
      </w:r>
    </w:p>
    <w:p w14:paraId="6FEAF313">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承包人应按合同进度计划的要求，及时配置施工设备和修建临时设施。进入施工场地的承包人设备需经监理人核查后才能投入使用。承包人更换合同约定的承包人设备的，应报监理人批准。</w:t>
      </w:r>
    </w:p>
    <w:p w14:paraId="4A2B6DFA">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除专用合同条款另有约定外，承包人应自行承担修建临时设施的费用，需要临时占地的，应由发包人办理申请手续并承担相应费用。</w:t>
      </w:r>
    </w:p>
    <w:p w14:paraId="541D5B3C">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8.8.2发包人提供的施工设备和临时设施</w:t>
      </w:r>
    </w:p>
    <w:p w14:paraId="77E9A23A">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发包人提供的施工设备或临时设施在专用合同条款中约定。</w:t>
      </w:r>
    </w:p>
    <w:p w14:paraId="5099A53C">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8.8.3要求承包人增加或更换施工设备</w:t>
      </w:r>
    </w:p>
    <w:p w14:paraId="6F8E2C7C">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承包人使用的施工设备不能满足合同进度计划和（或）质量要求时，监理人有权要求承包人增加或更换施工设备，承包人应及时增加或更换，由此增加的费用和（或）延误的工期由承包人承担。</w:t>
      </w:r>
    </w:p>
    <w:p w14:paraId="162392F5">
      <w:pPr>
        <w:spacing w:before="100" w:after="100" w:line="360" w:lineRule="auto"/>
        <w:ind w:firstLine="480" w:firstLineChars="200"/>
        <w:outlineLvl w:val="9"/>
        <w:rPr>
          <w:rFonts w:ascii="宋体" w:hAnsi="宋体"/>
          <w:color w:val="000000" w:themeColor="text1"/>
          <w:sz w:val="24"/>
          <w:szCs w:val="24"/>
          <w:highlight w:val="none"/>
          <w14:textFill>
            <w14:solidFill>
              <w14:schemeClr w14:val="tx1"/>
            </w14:solidFill>
          </w14:textFill>
        </w:rPr>
      </w:pPr>
      <w:bookmarkStart w:id="290" w:name="_Toc351203561"/>
      <w:r>
        <w:rPr>
          <w:rFonts w:hint="eastAsia" w:ascii="宋体" w:hAnsi="宋体"/>
          <w:color w:val="000000" w:themeColor="text1"/>
          <w:sz w:val="24"/>
          <w:szCs w:val="24"/>
          <w:highlight w:val="none"/>
          <w14:textFill>
            <w14:solidFill>
              <w14:schemeClr w14:val="tx1"/>
            </w14:solidFill>
          </w14:textFill>
        </w:rPr>
        <w:t>8</w:t>
      </w:r>
      <w:bookmarkStart w:id="291" w:name="_Toc337558781"/>
      <w:bookmarkStart w:id="292" w:name="_Toc296503063"/>
      <w:bookmarkStart w:id="293" w:name="_Toc296346564"/>
      <w:r>
        <w:rPr>
          <w:rFonts w:hint="eastAsia" w:ascii="宋体" w:hAnsi="宋体"/>
          <w:color w:val="000000" w:themeColor="text1"/>
          <w:sz w:val="24"/>
          <w:szCs w:val="24"/>
          <w:highlight w:val="none"/>
          <w14:textFill>
            <w14:solidFill>
              <w14:schemeClr w14:val="tx1"/>
            </w14:solidFill>
          </w14:textFill>
        </w:rPr>
        <w:t>.9材料与设备专用</w:t>
      </w:r>
      <w:bookmarkEnd w:id="290"/>
      <w:r>
        <w:rPr>
          <w:rFonts w:hint="eastAsia" w:ascii="宋体" w:hAnsi="宋体"/>
          <w:color w:val="000000" w:themeColor="text1"/>
          <w:sz w:val="24"/>
          <w:szCs w:val="24"/>
          <w:highlight w:val="none"/>
          <w14:textFill>
            <w14:solidFill>
              <w14:schemeClr w14:val="tx1"/>
            </w14:solidFill>
          </w14:textFill>
        </w:rPr>
        <w:t>要求</w:t>
      </w:r>
    </w:p>
    <w:bookmarkEnd w:id="291"/>
    <w:bookmarkEnd w:id="292"/>
    <w:bookmarkEnd w:id="293"/>
    <w:p w14:paraId="56CDE131">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承包人运入施工现场的材料、工程设备、施工设备以及在施工场地建设的临时设施，包括备品备件、安装工具与资料，必须专用于工程。未经发包人批准，承包人不得运出施工现场或挪作他用；</w:t>
      </w:r>
      <w:bookmarkEnd w:id="272"/>
      <w:r>
        <w:rPr>
          <w:rFonts w:hint="eastAsia" w:ascii="宋体" w:hAnsi="宋体"/>
          <w:color w:val="000000" w:themeColor="text1"/>
          <w:kern w:val="0"/>
          <w:sz w:val="24"/>
          <w:szCs w:val="24"/>
          <w:highlight w:val="none"/>
          <w14:textFill>
            <w14:solidFill>
              <w14:schemeClr w14:val="tx1"/>
            </w14:solidFill>
          </w14:textFill>
        </w:rPr>
        <w:t>经发包人批准，承包人可以根据施工进度计划撤走闲置的施工设备和其他物品。</w:t>
      </w:r>
    </w:p>
    <w:p w14:paraId="0027F448">
      <w:pPr>
        <w:spacing w:line="360" w:lineRule="auto"/>
        <w:ind w:firstLine="480" w:firstLineChars="200"/>
        <w:outlineLvl w:val="9"/>
        <w:rPr>
          <w:rFonts w:ascii="宋体" w:hAnsi="宋体" w:eastAsia="宋体"/>
          <w:b w:val="0"/>
          <w:color w:val="000000" w:themeColor="text1"/>
          <w:sz w:val="24"/>
          <w:szCs w:val="24"/>
          <w:highlight w:val="none"/>
          <w14:textFill>
            <w14:solidFill>
              <w14:schemeClr w14:val="tx1"/>
            </w14:solidFill>
          </w14:textFill>
        </w:rPr>
      </w:pPr>
      <w:bookmarkStart w:id="294" w:name="_Toc351203562"/>
      <w:r>
        <w:rPr>
          <w:rFonts w:hint="eastAsia" w:ascii="宋体" w:hAnsi="宋体" w:eastAsia="宋体"/>
          <w:b w:val="0"/>
          <w:color w:val="000000" w:themeColor="text1"/>
          <w:sz w:val="24"/>
          <w:szCs w:val="24"/>
          <w:highlight w:val="none"/>
          <w14:textFill>
            <w14:solidFill>
              <w14:schemeClr w14:val="tx1"/>
            </w14:solidFill>
          </w14:textFill>
        </w:rPr>
        <w:t>9</w:t>
      </w:r>
      <w:bookmarkStart w:id="295" w:name="_Toc337558782"/>
      <w:bookmarkStart w:id="296" w:name="_Toc296346584"/>
      <w:bookmarkStart w:id="297" w:name="_Toc296503083"/>
      <w:r>
        <w:rPr>
          <w:rFonts w:hint="eastAsia" w:ascii="宋体" w:hAnsi="宋体" w:eastAsia="宋体"/>
          <w:b w:val="0"/>
          <w:color w:val="000000" w:themeColor="text1"/>
          <w:sz w:val="24"/>
          <w:szCs w:val="24"/>
          <w:highlight w:val="none"/>
          <w14:textFill>
            <w14:solidFill>
              <w14:schemeClr w14:val="tx1"/>
            </w14:solidFill>
          </w14:textFill>
        </w:rPr>
        <w:t>. 试验与检验</w:t>
      </w:r>
      <w:bookmarkEnd w:id="294"/>
    </w:p>
    <w:bookmarkEnd w:id="295"/>
    <w:p w14:paraId="40024A14">
      <w:pPr>
        <w:spacing w:before="100" w:after="100" w:line="360" w:lineRule="auto"/>
        <w:ind w:firstLine="480" w:firstLineChars="200"/>
        <w:outlineLvl w:val="9"/>
        <w:rPr>
          <w:rFonts w:ascii="宋体" w:hAnsi="宋体"/>
          <w:color w:val="000000" w:themeColor="text1"/>
          <w:sz w:val="24"/>
          <w:szCs w:val="24"/>
          <w:highlight w:val="none"/>
          <w14:textFill>
            <w14:solidFill>
              <w14:schemeClr w14:val="tx1"/>
            </w14:solidFill>
          </w14:textFill>
        </w:rPr>
      </w:pPr>
      <w:bookmarkStart w:id="298" w:name="_Toc351203563"/>
      <w:r>
        <w:rPr>
          <w:rFonts w:hint="eastAsia" w:ascii="宋体" w:hAnsi="宋体"/>
          <w:color w:val="000000" w:themeColor="text1"/>
          <w:sz w:val="24"/>
          <w:szCs w:val="24"/>
          <w:highlight w:val="none"/>
          <w14:textFill>
            <w14:solidFill>
              <w14:schemeClr w14:val="tx1"/>
            </w14:solidFill>
          </w14:textFill>
        </w:rPr>
        <w:t>9</w:t>
      </w:r>
      <w:bookmarkStart w:id="299" w:name="_Toc337558783"/>
      <w:r>
        <w:rPr>
          <w:rFonts w:hint="eastAsia" w:ascii="宋体" w:hAnsi="宋体"/>
          <w:color w:val="000000" w:themeColor="text1"/>
          <w:sz w:val="24"/>
          <w:szCs w:val="24"/>
          <w:highlight w:val="none"/>
          <w14:textFill>
            <w14:solidFill>
              <w14:schemeClr w14:val="tx1"/>
            </w14:solidFill>
          </w14:textFill>
        </w:rPr>
        <w:t>.1试验设备与试验人员</w:t>
      </w:r>
      <w:bookmarkEnd w:id="298"/>
    </w:p>
    <w:bookmarkEnd w:id="299"/>
    <w:p w14:paraId="32EA6BD3">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p>
    <w:p w14:paraId="4D2BA7AC">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9.1.2 承包人应按专用合同条款的约定提供试验设备、取样装置、试验场所和试验条件，并向监理人提交相应进场计划表。</w:t>
      </w:r>
    </w:p>
    <w:p w14:paraId="50B18C75">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承包人配置的试验设备要符合相应试验规程的要求并经过具有资质的检测单位检测，且在正式使用该试验设备前，需要经过监理人与承包人共同校定。</w:t>
      </w:r>
    </w:p>
    <w:p w14:paraId="5984A0C0">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9.1.3 承包人应向监理人提交试验人员的名单及其岗位、资格等证明资料，试验人员必须能够熟练进行相应的检测试验，承包人对试验人员的试验程序和试验结果的正确性负责。</w:t>
      </w:r>
    </w:p>
    <w:p w14:paraId="6A22A730">
      <w:pPr>
        <w:spacing w:before="100" w:after="100" w:line="360" w:lineRule="auto"/>
        <w:ind w:firstLine="480" w:firstLineChars="200"/>
        <w:outlineLvl w:val="9"/>
        <w:rPr>
          <w:rFonts w:ascii="宋体" w:hAnsi="宋体"/>
          <w:color w:val="000000" w:themeColor="text1"/>
          <w:sz w:val="24"/>
          <w:szCs w:val="24"/>
          <w:highlight w:val="none"/>
          <w14:textFill>
            <w14:solidFill>
              <w14:schemeClr w14:val="tx1"/>
            </w14:solidFill>
          </w14:textFill>
        </w:rPr>
      </w:pPr>
      <w:bookmarkStart w:id="300" w:name="_Toc351203564"/>
      <w:r>
        <w:rPr>
          <w:rFonts w:hint="eastAsia" w:ascii="宋体" w:hAnsi="宋体"/>
          <w:color w:val="000000" w:themeColor="text1"/>
          <w:sz w:val="24"/>
          <w:szCs w:val="24"/>
          <w:highlight w:val="none"/>
          <w14:textFill>
            <w14:solidFill>
              <w14:schemeClr w14:val="tx1"/>
            </w14:solidFill>
          </w14:textFill>
        </w:rPr>
        <w:t>9</w:t>
      </w:r>
      <w:bookmarkStart w:id="301" w:name="_Toc337558784"/>
      <w:r>
        <w:rPr>
          <w:rFonts w:hint="eastAsia" w:ascii="宋体" w:hAnsi="宋体"/>
          <w:color w:val="000000" w:themeColor="text1"/>
          <w:sz w:val="24"/>
          <w:szCs w:val="24"/>
          <w:highlight w:val="none"/>
          <w14:textFill>
            <w14:solidFill>
              <w14:schemeClr w14:val="tx1"/>
            </w14:solidFill>
          </w14:textFill>
        </w:rPr>
        <w:t>.2取样</w:t>
      </w:r>
      <w:bookmarkEnd w:id="300"/>
    </w:p>
    <w:bookmarkEnd w:id="301"/>
    <w:p w14:paraId="4275D177">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试验属于自检性质的，承包人可以单独取样。试验属于监理人抽检性质的，可由监理人取样，也可由承包人的试验人员在监理人的监督下取样。</w:t>
      </w:r>
    </w:p>
    <w:p w14:paraId="108213FD">
      <w:pPr>
        <w:spacing w:before="100" w:after="100" w:line="360" w:lineRule="auto"/>
        <w:ind w:firstLine="480" w:firstLineChars="200"/>
        <w:outlineLvl w:val="9"/>
        <w:rPr>
          <w:rFonts w:ascii="宋体" w:hAnsi="宋体"/>
          <w:color w:val="000000" w:themeColor="text1"/>
          <w:sz w:val="24"/>
          <w:szCs w:val="24"/>
          <w:highlight w:val="none"/>
          <w14:textFill>
            <w14:solidFill>
              <w14:schemeClr w14:val="tx1"/>
            </w14:solidFill>
          </w14:textFill>
        </w:rPr>
      </w:pPr>
      <w:bookmarkStart w:id="302" w:name="_Toc351203565"/>
      <w:r>
        <w:rPr>
          <w:rFonts w:hint="eastAsia" w:ascii="宋体" w:hAnsi="宋体"/>
          <w:color w:val="000000" w:themeColor="text1"/>
          <w:sz w:val="24"/>
          <w:szCs w:val="24"/>
          <w:highlight w:val="none"/>
          <w14:textFill>
            <w14:solidFill>
              <w14:schemeClr w14:val="tx1"/>
            </w14:solidFill>
          </w14:textFill>
        </w:rPr>
        <w:t>9</w:t>
      </w:r>
      <w:bookmarkStart w:id="303" w:name="_Toc337558785"/>
      <w:r>
        <w:rPr>
          <w:rFonts w:hint="eastAsia" w:ascii="宋体" w:hAnsi="宋体"/>
          <w:color w:val="000000" w:themeColor="text1"/>
          <w:sz w:val="24"/>
          <w:szCs w:val="24"/>
          <w:highlight w:val="none"/>
          <w14:textFill>
            <w14:solidFill>
              <w14:schemeClr w14:val="tx1"/>
            </w14:solidFill>
          </w14:textFill>
        </w:rPr>
        <w:t>.3材料、工程设备和工程的试验和检验</w:t>
      </w:r>
      <w:bookmarkEnd w:id="302"/>
    </w:p>
    <w:bookmarkEnd w:id="303"/>
    <w:p w14:paraId="4C979195">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14:paraId="4969617D">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p>
    <w:p w14:paraId="0225FB21">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p>
    <w:p w14:paraId="74BFA988">
      <w:pPr>
        <w:spacing w:before="100" w:after="100" w:line="360" w:lineRule="auto"/>
        <w:ind w:firstLine="480" w:firstLineChars="200"/>
        <w:outlineLvl w:val="9"/>
        <w:rPr>
          <w:rFonts w:ascii="宋体" w:hAnsi="宋体"/>
          <w:color w:val="000000" w:themeColor="text1"/>
          <w:sz w:val="24"/>
          <w:szCs w:val="24"/>
          <w:highlight w:val="none"/>
          <w14:textFill>
            <w14:solidFill>
              <w14:schemeClr w14:val="tx1"/>
            </w14:solidFill>
          </w14:textFill>
        </w:rPr>
      </w:pPr>
      <w:bookmarkStart w:id="304" w:name="_Toc351203566"/>
      <w:r>
        <w:rPr>
          <w:rFonts w:hint="eastAsia" w:ascii="宋体" w:hAnsi="宋体"/>
          <w:color w:val="000000" w:themeColor="text1"/>
          <w:sz w:val="24"/>
          <w:szCs w:val="24"/>
          <w:highlight w:val="none"/>
          <w14:textFill>
            <w14:solidFill>
              <w14:schemeClr w14:val="tx1"/>
            </w14:solidFill>
          </w14:textFill>
        </w:rPr>
        <w:t>9</w:t>
      </w:r>
      <w:bookmarkStart w:id="305" w:name="_Toc337558786"/>
      <w:r>
        <w:rPr>
          <w:rFonts w:hint="eastAsia" w:ascii="宋体" w:hAnsi="宋体"/>
          <w:color w:val="000000" w:themeColor="text1"/>
          <w:sz w:val="24"/>
          <w:szCs w:val="24"/>
          <w:highlight w:val="none"/>
          <w14:textFill>
            <w14:solidFill>
              <w14:schemeClr w14:val="tx1"/>
            </w14:solidFill>
          </w14:textFill>
        </w:rPr>
        <w:t>.4现场工艺试验</w:t>
      </w:r>
      <w:bookmarkEnd w:id="304"/>
    </w:p>
    <w:bookmarkEnd w:id="305"/>
    <w:p w14:paraId="0A7B527B">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承包人应按合同约定或监理人指示进行现场工艺试验。对大型的现场工艺试验，监理人认为必要时，承包人应根据监理人提出的工艺试验要求，编制工艺试验措施计划，报送监理人审查。</w:t>
      </w:r>
    </w:p>
    <w:p w14:paraId="1B45B142">
      <w:pPr>
        <w:spacing w:line="360" w:lineRule="auto"/>
        <w:ind w:firstLine="480" w:firstLineChars="200"/>
        <w:outlineLvl w:val="9"/>
        <w:rPr>
          <w:rFonts w:ascii="宋体" w:hAnsi="宋体" w:eastAsia="宋体"/>
          <w:b w:val="0"/>
          <w:color w:val="000000" w:themeColor="text1"/>
          <w:sz w:val="24"/>
          <w:szCs w:val="24"/>
          <w:highlight w:val="none"/>
          <w14:textFill>
            <w14:solidFill>
              <w14:schemeClr w14:val="tx1"/>
            </w14:solidFill>
          </w14:textFill>
        </w:rPr>
      </w:pPr>
      <w:bookmarkStart w:id="306" w:name="_Toc351203567"/>
      <w:r>
        <w:rPr>
          <w:rFonts w:hint="eastAsia" w:ascii="宋体" w:hAnsi="宋体" w:eastAsia="宋体"/>
          <w:b w:val="0"/>
          <w:color w:val="000000" w:themeColor="text1"/>
          <w:sz w:val="24"/>
          <w:szCs w:val="24"/>
          <w:highlight w:val="none"/>
          <w14:textFill>
            <w14:solidFill>
              <w14:schemeClr w14:val="tx1"/>
            </w14:solidFill>
          </w14:textFill>
        </w:rPr>
        <w:t>1</w:t>
      </w:r>
      <w:bookmarkStart w:id="307" w:name="_Toc337558787"/>
      <w:r>
        <w:rPr>
          <w:rFonts w:hint="eastAsia" w:ascii="宋体" w:hAnsi="宋体" w:eastAsia="宋体"/>
          <w:b w:val="0"/>
          <w:color w:val="000000" w:themeColor="text1"/>
          <w:sz w:val="24"/>
          <w:szCs w:val="24"/>
          <w:highlight w:val="none"/>
          <w14:textFill>
            <w14:solidFill>
              <w14:schemeClr w14:val="tx1"/>
            </w14:solidFill>
          </w14:textFill>
        </w:rPr>
        <w:t>0. 变更</w:t>
      </w:r>
      <w:bookmarkEnd w:id="296"/>
      <w:bookmarkEnd w:id="297"/>
      <w:bookmarkEnd w:id="306"/>
    </w:p>
    <w:bookmarkEnd w:id="307"/>
    <w:p w14:paraId="0B5C97EF">
      <w:pPr>
        <w:spacing w:before="100" w:after="100" w:line="360" w:lineRule="auto"/>
        <w:ind w:firstLine="480" w:firstLineChars="200"/>
        <w:outlineLvl w:val="9"/>
        <w:rPr>
          <w:rFonts w:ascii="宋体" w:hAnsi="宋体"/>
          <w:color w:val="000000" w:themeColor="text1"/>
          <w:sz w:val="24"/>
          <w:szCs w:val="24"/>
          <w:highlight w:val="none"/>
          <w14:textFill>
            <w14:solidFill>
              <w14:schemeClr w14:val="tx1"/>
            </w14:solidFill>
          </w14:textFill>
        </w:rPr>
      </w:pPr>
      <w:bookmarkStart w:id="308" w:name="_Toc351203568"/>
      <w:r>
        <w:rPr>
          <w:rFonts w:hint="eastAsia" w:ascii="宋体" w:hAnsi="宋体"/>
          <w:color w:val="000000" w:themeColor="text1"/>
          <w:sz w:val="24"/>
          <w:szCs w:val="24"/>
          <w:highlight w:val="none"/>
          <w14:textFill>
            <w14:solidFill>
              <w14:schemeClr w14:val="tx1"/>
            </w14:solidFill>
          </w14:textFill>
        </w:rPr>
        <w:t>1</w:t>
      </w:r>
      <w:bookmarkStart w:id="309" w:name="_Toc296346585"/>
      <w:bookmarkStart w:id="310" w:name="_Toc337558788"/>
      <w:bookmarkStart w:id="311" w:name="_Toc296503084"/>
      <w:r>
        <w:rPr>
          <w:rFonts w:hint="eastAsia" w:ascii="宋体" w:hAnsi="宋体"/>
          <w:color w:val="000000" w:themeColor="text1"/>
          <w:sz w:val="24"/>
          <w:szCs w:val="24"/>
          <w:highlight w:val="none"/>
          <w14:textFill>
            <w14:solidFill>
              <w14:schemeClr w14:val="tx1"/>
            </w14:solidFill>
          </w14:textFill>
        </w:rPr>
        <w:t>0.1变更的范围</w:t>
      </w:r>
      <w:bookmarkEnd w:id="308"/>
    </w:p>
    <w:bookmarkEnd w:id="309"/>
    <w:bookmarkEnd w:id="310"/>
    <w:bookmarkEnd w:id="311"/>
    <w:p w14:paraId="0E686C7F">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除专用合同条款另有约定外，合同履行过程中发生以下情形的，应按照本条约定进行变更：</w:t>
      </w:r>
    </w:p>
    <w:p w14:paraId="6970A4B0">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（1）增加或减少合同中任何工作，或追加额外的工作；</w:t>
      </w:r>
    </w:p>
    <w:p w14:paraId="6B1205F7">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（2）取消合同中任何工作，但转由他人实施的工作除外；</w:t>
      </w:r>
    </w:p>
    <w:p w14:paraId="395ACCBD">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（3）改变合同中任何工作的质量标准或其他特性；</w:t>
      </w:r>
    </w:p>
    <w:p w14:paraId="648129B7">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（4）改变工程的基线、标高、位置和尺寸；</w:t>
      </w:r>
    </w:p>
    <w:p w14:paraId="06B0860A">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（5）改变工程的时间安排或实施顺序。</w:t>
      </w:r>
    </w:p>
    <w:p w14:paraId="5D3AB682">
      <w:pPr>
        <w:spacing w:before="100" w:after="100" w:line="360" w:lineRule="auto"/>
        <w:ind w:firstLine="480" w:firstLineChars="200"/>
        <w:outlineLvl w:val="9"/>
        <w:rPr>
          <w:rFonts w:ascii="宋体" w:hAnsi="宋体"/>
          <w:color w:val="000000" w:themeColor="text1"/>
          <w:sz w:val="24"/>
          <w:szCs w:val="24"/>
          <w:highlight w:val="none"/>
          <w14:textFill>
            <w14:solidFill>
              <w14:schemeClr w14:val="tx1"/>
            </w14:solidFill>
          </w14:textFill>
        </w:rPr>
      </w:pPr>
      <w:bookmarkStart w:id="312" w:name="_Toc351203569"/>
      <w:r>
        <w:rPr>
          <w:rFonts w:hint="eastAsia" w:ascii="宋体" w:hAnsi="宋体"/>
          <w:color w:val="000000" w:themeColor="text1"/>
          <w:sz w:val="24"/>
          <w:szCs w:val="24"/>
          <w:highlight w:val="none"/>
          <w14:textFill>
            <w14:solidFill>
              <w14:schemeClr w14:val="tx1"/>
            </w14:solidFill>
          </w14:textFill>
        </w:rPr>
        <w:t>1</w:t>
      </w:r>
      <w:bookmarkStart w:id="313" w:name="_Toc337558789"/>
      <w:bookmarkStart w:id="314" w:name="_Toc296346586"/>
      <w:bookmarkStart w:id="315" w:name="_Toc296503085"/>
      <w:r>
        <w:rPr>
          <w:rFonts w:hint="eastAsia" w:ascii="宋体" w:hAnsi="宋体"/>
          <w:color w:val="000000" w:themeColor="text1"/>
          <w:sz w:val="24"/>
          <w:szCs w:val="24"/>
          <w:highlight w:val="none"/>
          <w14:textFill>
            <w14:solidFill>
              <w14:schemeClr w14:val="tx1"/>
            </w14:solidFill>
          </w14:textFill>
        </w:rPr>
        <w:t>0.2变更权</w:t>
      </w:r>
      <w:bookmarkEnd w:id="312"/>
    </w:p>
    <w:bookmarkEnd w:id="313"/>
    <w:bookmarkEnd w:id="314"/>
    <w:bookmarkEnd w:id="315"/>
    <w:p w14:paraId="5B1A155F">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和监理人均可以提出变更。变更指示均通过监理人发出，监理人发出变更指示前应征得发包人同意。承包人收到经发包人签认的变更指示后，方可实施变更。未经许可，承包人不得擅自对工程的任何部分进行变更。</w:t>
      </w:r>
    </w:p>
    <w:p w14:paraId="792AA05C">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涉及设计变更的，应由设计人提供变更后的图纸和说明。如变更超过原设计标准或批准的建设规模时，发包人应及时办理规划、设计变更等审批手续。</w:t>
      </w:r>
    </w:p>
    <w:p w14:paraId="2892C3E0">
      <w:pPr>
        <w:spacing w:before="100" w:after="100" w:line="360" w:lineRule="auto"/>
        <w:ind w:firstLine="480" w:firstLineChars="200"/>
        <w:outlineLvl w:val="9"/>
        <w:rPr>
          <w:rFonts w:ascii="宋体" w:hAnsi="宋体"/>
          <w:color w:val="000000" w:themeColor="text1"/>
          <w:sz w:val="24"/>
          <w:szCs w:val="24"/>
          <w:highlight w:val="none"/>
          <w14:textFill>
            <w14:solidFill>
              <w14:schemeClr w14:val="tx1"/>
            </w14:solidFill>
          </w14:textFill>
        </w:rPr>
      </w:pPr>
      <w:bookmarkStart w:id="316" w:name="_Toc351203570"/>
      <w:r>
        <w:rPr>
          <w:rFonts w:hint="eastAsia" w:ascii="宋体" w:hAnsi="宋体"/>
          <w:color w:val="000000" w:themeColor="text1"/>
          <w:sz w:val="24"/>
          <w:szCs w:val="24"/>
          <w:highlight w:val="none"/>
          <w14:textFill>
            <w14:solidFill>
              <w14:schemeClr w14:val="tx1"/>
            </w14:solidFill>
          </w14:textFill>
        </w:rPr>
        <w:t>1</w:t>
      </w:r>
      <w:bookmarkStart w:id="317" w:name="_Toc337558790"/>
      <w:bookmarkStart w:id="318" w:name="_Toc296503086"/>
      <w:bookmarkStart w:id="319" w:name="_Toc296346587"/>
      <w:r>
        <w:rPr>
          <w:rFonts w:hint="eastAsia" w:ascii="宋体" w:hAnsi="宋体"/>
          <w:color w:val="000000" w:themeColor="text1"/>
          <w:sz w:val="24"/>
          <w:szCs w:val="24"/>
          <w:highlight w:val="none"/>
          <w14:textFill>
            <w14:solidFill>
              <w14:schemeClr w14:val="tx1"/>
            </w14:solidFill>
          </w14:textFill>
        </w:rPr>
        <w:t>0.3变更程序</w:t>
      </w:r>
      <w:bookmarkEnd w:id="316"/>
    </w:p>
    <w:bookmarkEnd w:id="317"/>
    <w:bookmarkEnd w:id="318"/>
    <w:bookmarkEnd w:id="319"/>
    <w:p w14:paraId="5DDD4436">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10</w:t>
      </w:r>
      <w:r>
        <w:rPr>
          <w:rFonts w:hint="eastAsia" w:ascii="宋体" w:hAnsi="宋体"/>
          <w:color w:val="000000" w:themeColor="text1"/>
          <w:kern w:val="0"/>
          <w:sz w:val="24"/>
          <w:szCs w:val="24"/>
          <w:highlight w:val="none"/>
          <w14:textFill>
            <w14:solidFill>
              <w14:schemeClr w14:val="tx1"/>
            </w14:solidFill>
          </w14:textFill>
        </w:rPr>
        <w:t>.3.1 发包人提出变更</w:t>
      </w:r>
    </w:p>
    <w:p w14:paraId="13643761">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发包人提出变更的，应通过监理人向承包人发出变更指示，变更指示应说明计划变更的工程范围和变更的内容。</w:t>
      </w:r>
    </w:p>
    <w:p w14:paraId="7C98733F">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10</w:t>
      </w:r>
      <w:r>
        <w:rPr>
          <w:rFonts w:hint="eastAsia" w:ascii="宋体" w:hAnsi="宋体"/>
          <w:color w:val="000000" w:themeColor="text1"/>
          <w:kern w:val="0"/>
          <w:sz w:val="24"/>
          <w:szCs w:val="24"/>
          <w:highlight w:val="none"/>
          <w14:textFill>
            <w14:solidFill>
              <w14:schemeClr w14:val="tx1"/>
            </w14:solidFill>
          </w14:textFill>
        </w:rPr>
        <w:t>.3.2 监理人提出变更建议</w:t>
      </w:r>
    </w:p>
    <w:p w14:paraId="18FBF56B">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p>
    <w:p w14:paraId="792987A8">
      <w:pPr>
        <w:autoSpaceDE w:val="0"/>
        <w:autoSpaceDN w:val="0"/>
        <w:adjustRightInd w:val="0"/>
        <w:spacing w:line="360" w:lineRule="auto"/>
        <w:ind w:firstLine="480" w:firstLineChars="200"/>
        <w:jc w:val="left"/>
        <w:outlineLvl w:val="9"/>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10.3.3 变更执行</w:t>
      </w:r>
    </w:p>
    <w:p w14:paraId="07B3E62C">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收到监理人下达的变更指示后，认为不能执行，应立即提出不能执行该变更指示的理由。承包人认为可以执行变更的，应当书面说明实施该变更指示对合同价格和工期的影响，且合同当事人应当按照第10.4款〔变更估价〕约定确定变更估价。</w:t>
      </w:r>
    </w:p>
    <w:p w14:paraId="395746E5">
      <w:pPr>
        <w:spacing w:before="100" w:after="100" w:line="360" w:lineRule="auto"/>
        <w:ind w:firstLine="480" w:firstLineChars="200"/>
        <w:outlineLvl w:val="9"/>
        <w:rPr>
          <w:rFonts w:ascii="宋体" w:hAnsi="宋体"/>
          <w:color w:val="000000" w:themeColor="text1"/>
          <w:sz w:val="24"/>
          <w:szCs w:val="24"/>
          <w:highlight w:val="none"/>
          <w14:textFill>
            <w14:solidFill>
              <w14:schemeClr w14:val="tx1"/>
            </w14:solidFill>
          </w14:textFill>
        </w:rPr>
      </w:pPr>
      <w:bookmarkStart w:id="320" w:name="_Toc351203571"/>
      <w:r>
        <w:rPr>
          <w:rFonts w:hint="eastAsia" w:ascii="宋体" w:hAnsi="宋体"/>
          <w:color w:val="000000" w:themeColor="text1"/>
          <w:sz w:val="24"/>
          <w:szCs w:val="24"/>
          <w:highlight w:val="none"/>
          <w14:textFill>
            <w14:solidFill>
              <w14:schemeClr w14:val="tx1"/>
            </w14:solidFill>
          </w14:textFill>
        </w:rPr>
        <w:t>1</w:t>
      </w:r>
      <w:bookmarkStart w:id="321" w:name="_Toc296503087"/>
      <w:bookmarkStart w:id="322" w:name="_Toc296346588"/>
      <w:bookmarkStart w:id="323" w:name="_Toc337558791"/>
      <w:r>
        <w:rPr>
          <w:rFonts w:hint="eastAsia" w:ascii="宋体" w:hAnsi="宋体"/>
          <w:color w:val="000000" w:themeColor="text1"/>
          <w:sz w:val="24"/>
          <w:szCs w:val="24"/>
          <w:highlight w:val="none"/>
          <w14:textFill>
            <w14:solidFill>
              <w14:schemeClr w14:val="tx1"/>
            </w14:solidFill>
          </w14:textFill>
        </w:rPr>
        <w:t>0.4变更估价</w:t>
      </w:r>
      <w:bookmarkEnd w:id="320"/>
    </w:p>
    <w:bookmarkEnd w:id="321"/>
    <w:bookmarkEnd w:id="322"/>
    <w:bookmarkEnd w:id="323"/>
    <w:p w14:paraId="1DF9497B">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10.4.1 变更估价原则</w:t>
      </w:r>
    </w:p>
    <w:p w14:paraId="6C54F3C2">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除专用合同条款另有约定外，变更估价按照本款约定处理：</w:t>
      </w:r>
    </w:p>
    <w:p w14:paraId="3B9F5794">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（1）已标价工程量清单或预算书有相同项目的，按照相同项目单价认定；</w:t>
      </w:r>
    </w:p>
    <w:p w14:paraId="3F62A961">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（2）已标价工程量清单或预算书中无相同项目，但有类似项目的，参照类似项目的单价认定；</w:t>
      </w:r>
    </w:p>
    <w:p w14:paraId="183703C6">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3）变更导致实际完成的变更工程量与已标价工程量清单或预算书中列明的该项目工程量的变化幅度超过15%的，或已标价工程量清单或预算书中无相同项目及类似项目单价的，按照合理的成本与利润构成的原则，由合同当事人按照第4.4款〔商定或确定〕确定变更工作的单价。</w:t>
      </w:r>
    </w:p>
    <w:p w14:paraId="25AFAB11">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10.4.2 变更估价程序</w:t>
      </w:r>
    </w:p>
    <w:p w14:paraId="51A0E092">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在收到变更指示后14天内，向监理人提交变更估价申请。监理人应在收到承包人提交的变更估价申请后7天内审查完毕并报送发包人，监理人对变更估价申请有异议，通知承包人修改后重新提交。发包人应在承包人提交变更估价申请后14天内审批完毕。发包人逾期未完成审批或未提出异议的，视为认可承包人提交的变更估价申请。</w:t>
      </w:r>
    </w:p>
    <w:p w14:paraId="15DB10C5">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因变更引起的价格调整应计入最近一期的进度款中支付。</w:t>
      </w:r>
    </w:p>
    <w:p w14:paraId="4BF46F0E">
      <w:pPr>
        <w:spacing w:before="100" w:after="100" w:line="360" w:lineRule="auto"/>
        <w:ind w:firstLine="480" w:firstLineChars="200"/>
        <w:outlineLvl w:val="9"/>
        <w:rPr>
          <w:rFonts w:ascii="宋体" w:hAnsi="宋体"/>
          <w:color w:val="000000" w:themeColor="text1"/>
          <w:sz w:val="24"/>
          <w:szCs w:val="24"/>
          <w:highlight w:val="none"/>
          <w14:textFill>
            <w14:solidFill>
              <w14:schemeClr w14:val="tx1"/>
            </w14:solidFill>
          </w14:textFill>
        </w:rPr>
      </w:pPr>
      <w:bookmarkStart w:id="324" w:name="_Toc351203572"/>
      <w:r>
        <w:rPr>
          <w:rFonts w:hint="eastAsia" w:ascii="宋体" w:hAnsi="宋体"/>
          <w:color w:val="000000" w:themeColor="text1"/>
          <w:sz w:val="24"/>
          <w:szCs w:val="24"/>
          <w:highlight w:val="none"/>
          <w14:textFill>
            <w14:solidFill>
              <w14:schemeClr w14:val="tx1"/>
            </w14:solidFill>
          </w14:textFill>
        </w:rPr>
        <w:t>1</w:t>
      </w:r>
      <w:bookmarkStart w:id="325" w:name="_Toc337558792"/>
      <w:bookmarkStart w:id="326" w:name="_Toc296346595"/>
      <w:bookmarkStart w:id="327" w:name="_Toc296503094"/>
      <w:r>
        <w:rPr>
          <w:rFonts w:hint="eastAsia" w:ascii="宋体" w:hAnsi="宋体"/>
          <w:color w:val="000000" w:themeColor="text1"/>
          <w:sz w:val="24"/>
          <w:szCs w:val="24"/>
          <w:highlight w:val="none"/>
          <w14:textFill>
            <w14:solidFill>
              <w14:schemeClr w14:val="tx1"/>
            </w14:solidFill>
          </w14:textFill>
        </w:rPr>
        <w:t>0.5承包人的合理化建议</w:t>
      </w:r>
      <w:bookmarkEnd w:id="324"/>
    </w:p>
    <w:bookmarkEnd w:id="325"/>
    <w:bookmarkEnd w:id="326"/>
    <w:bookmarkEnd w:id="327"/>
    <w:p w14:paraId="69CA7975">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承包人提出合理化建议的，应向监理人提交合理化建议说明，说明建议的内容和理由，以及实施该建议对合同价格和工期的影响。</w:t>
      </w:r>
    </w:p>
    <w:p w14:paraId="53805540">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变更估价〕约定执行。发包人不同意变更的，监理人应书面通知承包人。</w:t>
      </w:r>
    </w:p>
    <w:p w14:paraId="6016678A">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合理化建议降低了合同价格或者提高了工程经济效益的，发包人可对承包人给予奖励，奖励的方法和金额在专用合同条款中约定。</w:t>
      </w:r>
    </w:p>
    <w:p w14:paraId="7F39F19F">
      <w:pPr>
        <w:spacing w:before="100" w:after="100" w:line="360" w:lineRule="auto"/>
        <w:ind w:firstLine="480" w:firstLineChars="200"/>
        <w:outlineLvl w:val="9"/>
        <w:rPr>
          <w:rFonts w:ascii="宋体" w:hAnsi="宋体"/>
          <w:color w:val="000000" w:themeColor="text1"/>
          <w:sz w:val="24"/>
          <w:szCs w:val="24"/>
          <w:highlight w:val="none"/>
          <w14:textFill>
            <w14:solidFill>
              <w14:schemeClr w14:val="tx1"/>
            </w14:solidFill>
          </w14:textFill>
        </w:rPr>
      </w:pPr>
      <w:bookmarkStart w:id="328" w:name="_Toc351203573"/>
      <w:r>
        <w:rPr>
          <w:rFonts w:hint="eastAsia" w:ascii="宋体" w:hAnsi="宋体"/>
          <w:color w:val="000000" w:themeColor="text1"/>
          <w:sz w:val="24"/>
          <w:szCs w:val="24"/>
          <w:highlight w:val="none"/>
          <w14:textFill>
            <w14:solidFill>
              <w14:schemeClr w14:val="tx1"/>
            </w14:solidFill>
          </w14:textFill>
        </w:rPr>
        <w:t>1</w:t>
      </w:r>
      <w:bookmarkStart w:id="329" w:name="_Toc337558793"/>
      <w:r>
        <w:rPr>
          <w:rFonts w:hint="eastAsia" w:ascii="宋体" w:hAnsi="宋体"/>
          <w:color w:val="000000" w:themeColor="text1"/>
          <w:sz w:val="24"/>
          <w:szCs w:val="24"/>
          <w:highlight w:val="none"/>
          <w14:textFill>
            <w14:solidFill>
              <w14:schemeClr w14:val="tx1"/>
            </w14:solidFill>
          </w14:textFill>
        </w:rPr>
        <w:t>0.6变更引起的工期调整</w:t>
      </w:r>
      <w:bookmarkEnd w:id="328"/>
      <w:bookmarkEnd w:id="329"/>
    </w:p>
    <w:p w14:paraId="78914421">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因变更引起工期变化的，合同当事人均可要求调整合同工期，由合同当事人按照第4.4款〔商定或确定〕并参考工程所在地的工期定额标准确定增减工期天数。</w:t>
      </w:r>
    </w:p>
    <w:p w14:paraId="10E076CD">
      <w:pPr>
        <w:spacing w:before="100" w:after="100" w:line="360" w:lineRule="auto"/>
        <w:ind w:firstLine="480" w:firstLineChars="200"/>
        <w:outlineLvl w:val="9"/>
        <w:rPr>
          <w:rFonts w:ascii="宋体" w:hAnsi="宋体"/>
          <w:color w:val="000000" w:themeColor="text1"/>
          <w:sz w:val="24"/>
          <w:szCs w:val="24"/>
          <w:highlight w:val="none"/>
          <w14:textFill>
            <w14:solidFill>
              <w14:schemeClr w14:val="tx1"/>
            </w14:solidFill>
          </w14:textFill>
        </w:rPr>
      </w:pPr>
      <w:bookmarkStart w:id="330" w:name="_Toc351203574"/>
      <w:r>
        <w:rPr>
          <w:rFonts w:hint="eastAsia" w:ascii="宋体" w:hAnsi="宋体"/>
          <w:color w:val="000000" w:themeColor="text1"/>
          <w:sz w:val="24"/>
          <w:szCs w:val="24"/>
          <w:highlight w:val="none"/>
          <w14:textFill>
            <w14:solidFill>
              <w14:schemeClr w14:val="tx1"/>
            </w14:solidFill>
          </w14:textFill>
        </w:rPr>
        <w:t>10.7暂估价</w:t>
      </w:r>
      <w:bookmarkEnd w:id="330"/>
    </w:p>
    <w:p w14:paraId="364F5746">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暂估价专业分包工程、服务、材料和工程设备的明细由合同当事人在专用合同条款中约定。</w:t>
      </w:r>
    </w:p>
    <w:p w14:paraId="6DEA9CCB">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10.7.1</w:t>
      </w:r>
      <w:r>
        <w:rPr>
          <w:rFonts w:hint="eastAsia" w:ascii="宋体" w:hAnsi="宋体"/>
          <w:color w:val="000000" w:themeColor="text1"/>
          <w:kern w:val="0"/>
          <w:sz w:val="24"/>
          <w:szCs w:val="24"/>
          <w:highlight w:val="none"/>
          <w14:textFill>
            <w14:solidFill>
              <w14:schemeClr w14:val="tx1"/>
            </w14:solidFill>
          </w14:textFill>
        </w:rPr>
        <w:t xml:space="preserve"> 依法必须招标的暂估价项目</w:t>
      </w:r>
    </w:p>
    <w:p w14:paraId="2F6FB746">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对于依法必须招标的暂估价项目，采取以下第1种方式确定。合同当事人也可以在专用合同条款中选择其他招标方式。</w:t>
      </w:r>
    </w:p>
    <w:p w14:paraId="2865C9F4">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第1种方式：对于依法必须招标的暂估价项目，由承包人招标，对该暂估价项目的确认和批准按照以下约定执行：</w:t>
      </w:r>
    </w:p>
    <w:p w14:paraId="71EFEA7F">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p>
    <w:p w14:paraId="2E48C8C3">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2）承包人应当根据施工进度计划，提前14天将招标文件通过监理人报送发包人审批，发包人应当在收到承包人报送的相关文件后7天内完成审批或提出修改意见；发包人有权确定招标控制价并按照法律规定参加评标；</w:t>
      </w:r>
    </w:p>
    <w:p w14:paraId="5A30F297">
      <w:pPr>
        <w:spacing w:line="360" w:lineRule="auto"/>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 xml:space="preserve">    （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p>
    <w:p w14:paraId="7A56A042">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p>
    <w:p w14:paraId="2468E3A1">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10.7.2</w:t>
      </w:r>
      <w:r>
        <w:rPr>
          <w:rFonts w:hint="eastAsia" w:ascii="宋体" w:hAnsi="宋体"/>
          <w:color w:val="000000" w:themeColor="text1"/>
          <w:kern w:val="0"/>
          <w:sz w:val="24"/>
          <w:szCs w:val="24"/>
          <w:highlight w:val="none"/>
          <w14:textFill>
            <w14:solidFill>
              <w14:schemeClr w14:val="tx1"/>
            </w14:solidFill>
          </w14:textFill>
        </w:rPr>
        <w:t>不属于依法必须招标的暂估价项目</w:t>
      </w:r>
    </w:p>
    <w:p w14:paraId="363AD2AD">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除专用合同条款另有约定外，对于不属于依法必须招标的暂估价项目，采取以下第1种方式确定：</w:t>
      </w:r>
    </w:p>
    <w:p w14:paraId="7ED2F1E1">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第1种方式：对于不属于依法必须招标的暂估价项目，按本项约定确认和批准：</w:t>
      </w:r>
    </w:p>
    <w:p w14:paraId="391647E2">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p>
    <w:p w14:paraId="72563886">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（2）发包人认为承包人确定的供应商、分包人无法满足工程质量或合同要求的，发包人可以要求承包人重新确定暂估价项目的供应商、分包人;</w:t>
      </w:r>
    </w:p>
    <w:p w14:paraId="1834292C">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（3）承包人应当在签订暂估价合同后7天内，将暂估价合同副本报送发包人留存。</w:t>
      </w:r>
    </w:p>
    <w:p w14:paraId="71F72630">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第2种方式：承包人按照第10.7.1项〔依法必须招标的暂估价项目〕约定的第1种方式确定暂估价项目。</w:t>
      </w:r>
    </w:p>
    <w:p w14:paraId="0A2075CA">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第3种方式：</w:t>
      </w:r>
      <w:r>
        <w:rPr>
          <w:rFonts w:hint="eastAsia" w:ascii="宋体" w:hAnsi="宋体"/>
          <w:color w:val="000000" w:themeColor="text1"/>
          <w:kern w:val="0"/>
          <w:sz w:val="24"/>
          <w:szCs w:val="24"/>
          <w:highlight w:val="none"/>
          <w14:textFill>
            <w14:solidFill>
              <w14:schemeClr w14:val="tx1"/>
            </w14:solidFill>
          </w14:textFill>
        </w:rPr>
        <w:t>承包人直接实施的暂估价项目</w:t>
      </w:r>
    </w:p>
    <w:p w14:paraId="50351631">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承包人具备实施暂估价项目的资格和条件的，经发包人和承包人协商一致后，可由承包人自行实施暂估价项目，合同当事人可以在专用合同条款约定具体事项。</w:t>
      </w:r>
    </w:p>
    <w:p w14:paraId="33239318">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p>
    <w:p w14:paraId="2D66D2C3">
      <w:pPr>
        <w:spacing w:before="100" w:after="100" w:line="360" w:lineRule="auto"/>
        <w:ind w:firstLine="480" w:firstLineChars="200"/>
        <w:outlineLvl w:val="9"/>
        <w:rPr>
          <w:rFonts w:ascii="宋体" w:hAnsi="宋体"/>
          <w:color w:val="000000" w:themeColor="text1"/>
          <w:sz w:val="24"/>
          <w:szCs w:val="24"/>
          <w:highlight w:val="none"/>
          <w14:textFill>
            <w14:solidFill>
              <w14:schemeClr w14:val="tx1"/>
            </w14:solidFill>
          </w14:textFill>
        </w:rPr>
      </w:pPr>
      <w:bookmarkStart w:id="331" w:name="_Toc351203575"/>
      <w:r>
        <w:rPr>
          <w:rFonts w:hint="eastAsia" w:ascii="宋体" w:hAnsi="宋体"/>
          <w:color w:val="000000" w:themeColor="text1"/>
          <w:sz w:val="24"/>
          <w:szCs w:val="24"/>
          <w:highlight w:val="none"/>
          <w14:textFill>
            <w14:solidFill>
              <w14:schemeClr w14:val="tx1"/>
            </w14:solidFill>
          </w14:textFill>
        </w:rPr>
        <w:t>1</w:t>
      </w:r>
      <w:bookmarkStart w:id="332" w:name="_Toc337558794"/>
      <w:bookmarkStart w:id="333" w:name="_Toc322522561"/>
      <w:bookmarkStart w:id="334" w:name="_Toc296346591"/>
      <w:bookmarkStart w:id="335" w:name="_Toc296503090"/>
      <w:r>
        <w:rPr>
          <w:rFonts w:hint="eastAsia" w:ascii="宋体" w:hAnsi="宋体"/>
          <w:color w:val="000000" w:themeColor="text1"/>
          <w:sz w:val="24"/>
          <w:szCs w:val="24"/>
          <w:highlight w:val="none"/>
          <w14:textFill>
            <w14:solidFill>
              <w14:schemeClr w14:val="tx1"/>
            </w14:solidFill>
          </w14:textFill>
        </w:rPr>
        <w:t>0.8暂列金额</w:t>
      </w:r>
      <w:bookmarkEnd w:id="331"/>
    </w:p>
    <w:bookmarkEnd w:id="332"/>
    <w:p w14:paraId="7FFB10F9">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暂列金额应按照发包人的要求使用，发包人的要求应通过监理人发出。合同当事人可以在专用合同条款中协商确定有关事项。</w:t>
      </w:r>
    </w:p>
    <w:bookmarkEnd w:id="333"/>
    <w:bookmarkEnd w:id="334"/>
    <w:bookmarkEnd w:id="335"/>
    <w:p w14:paraId="48093AE4">
      <w:pPr>
        <w:spacing w:before="100" w:after="100" w:line="360" w:lineRule="auto"/>
        <w:ind w:firstLine="480" w:firstLineChars="200"/>
        <w:outlineLvl w:val="9"/>
        <w:rPr>
          <w:rFonts w:ascii="宋体" w:hAnsi="宋体"/>
          <w:color w:val="000000" w:themeColor="text1"/>
          <w:sz w:val="24"/>
          <w:szCs w:val="24"/>
          <w:highlight w:val="none"/>
          <w14:textFill>
            <w14:solidFill>
              <w14:schemeClr w14:val="tx1"/>
            </w14:solidFill>
          </w14:textFill>
        </w:rPr>
      </w:pPr>
      <w:bookmarkStart w:id="336" w:name="_Toc351203576"/>
      <w:r>
        <w:rPr>
          <w:rFonts w:hint="eastAsia" w:ascii="宋体" w:hAnsi="宋体"/>
          <w:color w:val="000000" w:themeColor="text1"/>
          <w:sz w:val="24"/>
          <w:szCs w:val="24"/>
          <w:highlight w:val="none"/>
          <w14:textFill>
            <w14:solidFill>
              <w14:schemeClr w14:val="tx1"/>
            </w14:solidFill>
          </w14:textFill>
        </w:rPr>
        <w:t>1</w:t>
      </w:r>
      <w:bookmarkStart w:id="337" w:name="_Toc296346592"/>
      <w:bookmarkStart w:id="338" w:name="_Toc296503091"/>
      <w:bookmarkStart w:id="339" w:name="_Toc337558796"/>
      <w:r>
        <w:rPr>
          <w:rFonts w:hint="eastAsia" w:ascii="宋体" w:hAnsi="宋体"/>
          <w:color w:val="000000" w:themeColor="text1"/>
          <w:sz w:val="24"/>
          <w:szCs w:val="24"/>
          <w:highlight w:val="none"/>
          <w14:textFill>
            <w14:solidFill>
              <w14:schemeClr w14:val="tx1"/>
            </w14:solidFill>
          </w14:textFill>
        </w:rPr>
        <w:t>0.9计日工</w:t>
      </w:r>
      <w:bookmarkEnd w:id="336"/>
      <w:bookmarkEnd w:id="337"/>
      <w:bookmarkEnd w:id="338"/>
      <w:bookmarkEnd w:id="339"/>
    </w:p>
    <w:p w14:paraId="22F3CF12">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需要采用计日工方式的，经发包人同意后，由监理人通知承包人以计日工计价方式实施相应的工作，其价款按列入已标价工程量清单或预算书中的计日工计价项目及其单价进行计算；已标价工程量清单或预算书中无相应的计日工单价的，按照合理的成本与利润构成的原则，由合同当事人按照第4.4款〔商定或确定〕确定计日工的单价。</w:t>
      </w:r>
    </w:p>
    <w:p w14:paraId="5B0E7518">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采用计日工计价的任何一项工作，承包人应在该项工作实施过程中，每天提交以下报表和有关凭证报送监理人审查：</w:t>
      </w:r>
    </w:p>
    <w:p w14:paraId="743B79D8">
      <w:pPr>
        <w:spacing w:line="360" w:lineRule="auto"/>
        <w:ind w:firstLine="360" w:firstLineChars="15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（1）工作名称、内容和数量；</w:t>
      </w:r>
    </w:p>
    <w:p w14:paraId="5785010F">
      <w:pPr>
        <w:spacing w:line="360" w:lineRule="auto"/>
        <w:ind w:firstLine="360" w:firstLineChars="15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（2）投入该工作的所有人员的姓名、专业、工种、级别和耗用工时；</w:t>
      </w:r>
    </w:p>
    <w:p w14:paraId="182E5BF6">
      <w:pPr>
        <w:spacing w:line="360" w:lineRule="auto"/>
        <w:ind w:firstLine="360" w:firstLineChars="15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（3）投入该工作的材料类别和数量；</w:t>
      </w:r>
    </w:p>
    <w:p w14:paraId="7F3386F0">
      <w:pPr>
        <w:spacing w:line="360" w:lineRule="auto"/>
        <w:ind w:firstLine="360" w:firstLineChars="15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（4）投入该工作的施工设备型号、台数和耗用台时；</w:t>
      </w:r>
    </w:p>
    <w:p w14:paraId="6C1798B6">
      <w:pPr>
        <w:spacing w:line="360" w:lineRule="auto"/>
        <w:ind w:firstLine="360" w:firstLineChars="15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（5）其他有关资料和凭证。</w:t>
      </w:r>
    </w:p>
    <w:p w14:paraId="614F55CC">
      <w:pPr>
        <w:spacing w:line="360" w:lineRule="auto"/>
        <w:ind w:firstLine="360" w:firstLineChars="15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 xml:space="preserve"> 计日工由承包人汇总后，列入最近一期进度付款申请单，由监理人审查并经发包人批准后列入进度付款。</w:t>
      </w:r>
    </w:p>
    <w:p w14:paraId="5F52075B">
      <w:pPr>
        <w:spacing w:line="360" w:lineRule="auto"/>
        <w:ind w:firstLine="480" w:firstLineChars="200"/>
        <w:outlineLvl w:val="9"/>
        <w:rPr>
          <w:rFonts w:ascii="宋体" w:hAnsi="宋体" w:eastAsia="宋体"/>
          <w:b w:val="0"/>
          <w:color w:val="000000" w:themeColor="text1"/>
          <w:sz w:val="24"/>
          <w:szCs w:val="24"/>
          <w:highlight w:val="none"/>
          <w14:textFill>
            <w14:solidFill>
              <w14:schemeClr w14:val="tx1"/>
            </w14:solidFill>
          </w14:textFill>
        </w:rPr>
      </w:pPr>
      <w:bookmarkStart w:id="340" w:name="_Toc351203577"/>
      <w:r>
        <w:rPr>
          <w:rFonts w:hint="eastAsia" w:ascii="宋体" w:hAnsi="宋体" w:eastAsia="宋体"/>
          <w:b w:val="0"/>
          <w:color w:val="000000" w:themeColor="text1"/>
          <w:sz w:val="24"/>
          <w:szCs w:val="24"/>
          <w:highlight w:val="none"/>
          <w14:textFill>
            <w14:solidFill>
              <w14:schemeClr w14:val="tx1"/>
            </w14:solidFill>
          </w14:textFill>
        </w:rPr>
        <w:t>11. 价格调整</w:t>
      </w:r>
      <w:bookmarkEnd w:id="340"/>
    </w:p>
    <w:p w14:paraId="37F08C94">
      <w:pPr>
        <w:spacing w:before="100" w:after="100" w:line="360" w:lineRule="auto"/>
        <w:ind w:firstLine="480" w:firstLineChars="200"/>
        <w:outlineLvl w:val="9"/>
        <w:rPr>
          <w:rFonts w:ascii="宋体" w:hAnsi="宋体"/>
          <w:color w:val="000000" w:themeColor="text1"/>
          <w:sz w:val="24"/>
          <w:szCs w:val="24"/>
          <w:highlight w:val="none"/>
          <w14:textFill>
            <w14:solidFill>
              <w14:schemeClr w14:val="tx1"/>
            </w14:solidFill>
          </w14:textFill>
        </w:rPr>
      </w:pPr>
      <w:bookmarkStart w:id="341" w:name="_Toc351203578"/>
      <w:bookmarkStart w:id="342" w:name="_Toc296346593"/>
      <w:bookmarkStart w:id="343" w:name="_Toc337558797"/>
      <w:bookmarkStart w:id="344" w:name="_Toc296503092"/>
      <w:r>
        <w:rPr>
          <w:rFonts w:hint="eastAsia" w:ascii="宋体" w:hAnsi="宋体"/>
          <w:color w:val="000000" w:themeColor="text1"/>
          <w:sz w:val="24"/>
          <w:szCs w:val="24"/>
          <w:highlight w:val="none"/>
          <w14:textFill>
            <w14:solidFill>
              <w14:schemeClr w14:val="tx1"/>
            </w14:solidFill>
          </w14:textFill>
        </w:rPr>
        <w:t>11.1市场价格波动引起的调整</w:t>
      </w:r>
      <w:bookmarkEnd w:id="341"/>
    </w:p>
    <w:bookmarkEnd w:id="342"/>
    <w:bookmarkEnd w:id="343"/>
    <w:bookmarkEnd w:id="344"/>
    <w:p w14:paraId="6956BF66">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除专用合同条款另有约定外，市场价格波动超过合同当事人约定的范围，合同价格应当调整。合同当事人可以在专用合同条款中约定选择以下一种方式对合同价格进行调整：</w:t>
      </w:r>
    </w:p>
    <w:p w14:paraId="6B203FD5">
      <w:pPr>
        <w:spacing w:line="360" w:lineRule="auto"/>
        <w:ind w:firstLine="480" w:firstLineChars="200"/>
        <w:outlineLvl w:val="9"/>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第1种方式：采用价格指数进行价格调整。</w:t>
      </w:r>
    </w:p>
    <w:p w14:paraId="388898A0">
      <w:pPr>
        <w:tabs>
          <w:tab w:val="left" w:pos="0"/>
          <w:tab w:val="left" w:pos="360"/>
          <w:tab w:val="left" w:pos="540"/>
        </w:tabs>
        <w:spacing w:line="360" w:lineRule="auto"/>
        <w:ind w:firstLine="480" w:firstLineChars="200"/>
        <w:outlineLvl w:val="9"/>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（1）价格调整公式</w:t>
      </w:r>
    </w:p>
    <w:p w14:paraId="43EEADDA">
      <w:pPr>
        <w:tabs>
          <w:tab w:val="left" w:pos="0"/>
          <w:tab w:val="left" w:pos="360"/>
          <w:tab w:val="left" w:pos="540"/>
        </w:tabs>
        <w:spacing w:line="360" w:lineRule="auto"/>
        <w:ind w:firstLine="480" w:firstLineChars="200"/>
        <w:outlineLvl w:val="9"/>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因人工、材料和设备等价格波动影响合同价格时，根据专用合同条款中约定的数据，按以下公式计算差额并调整合同价格：</w:t>
      </w:r>
    </w:p>
    <w:p w14:paraId="4AA05298">
      <w:pPr>
        <w:tabs>
          <w:tab w:val="left" w:pos="0"/>
          <w:tab w:val="left" w:pos="360"/>
          <w:tab w:val="left" w:pos="540"/>
        </w:tabs>
        <w:spacing w:line="360" w:lineRule="auto"/>
        <w:ind w:firstLine="480" w:firstLineChars="200"/>
        <w:outlineLvl w:val="9"/>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position w:val="-30"/>
          <w:sz w:val="24"/>
          <w:szCs w:val="24"/>
          <w:highlight w:val="none"/>
          <w14:textFill>
            <w14:solidFill>
              <w14:schemeClr w14:val="tx1"/>
            </w14:solidFill>
          </w14:textFill>
        </w:rPr>
        <w:object>
          <v:shape id="_x0000_i1025" o:spt="75" type="#_x0000_t75" style="height:43.5pt;width:360pt;" o:ole="t" filled="f" o:preferrelative="t" stroked="f" coordsize="21600,21600">
            <v:path/>
            <v:fill on="f" focussize="0,0"/>
            <v:stroke on="f" joinstyle="miter"/>
            <v:imagedata r:id="rId14" o:title=""/>
            <o:lock v:ext="edit" aspectratio="t"/>
            <w10:wrap type="none"/>
            <w10:anchorlock/>
          </v:shape>
          <o:OLEObject Type="Embed" ProgID="Equation.3" ShapeID="_x0000_i1025" DrawAspect="Content" ObjectID="_1468075725" r:id="rId13">
            <o:LockedField>false</o:LockedField>
          </o:OLEObject>
        </w:object>
      </w:r>
    </w:p>
    <w:p w14:paraId="04C39322">
      <w:pPr>
        <w:tabs>
          <w:tab w:val="left" w:pos="0"/>
          <w:tab w:val="left" w:pos="360"/>
          <w:tab w:val="left" w:pos="540"/>
        </w:tabs>
        <w:spacing w:line="360" w:lineRule="auto"/>
        <w:ind w:firstLine="640"/>
        <w:outlineLvl w:val="9"/>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公式中：ΔP——需调整的价格差额；</w:t>
      </w:r>
    </w:p>
    <w:p w14:paraId="2AD56D78">
      <w:pPr>
        <w:tabs>
          <w:tab w:val="left" w:pos="0"/>
          <w:tab w:val="left" w:pos="360"/>
          <w:tab w:val="left" w:pos="540"/>
        </w:tabs>
        <w:spacing w:line="360" w:lineRule="auto"/>
        <w:ind w:firstLine="480" w:firstLineChars="200"/>
        <w:outlineLvl w:val="9"/>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position w:val="-6"/>
          <w:sz w:val="24"/>
          <w:szCs w:val="24"/>
          <w:highlight w:val="none"/>
          <w14:textFill>
            <w14:solidFill>
              <w14:schemeClr w14:val="tx1"/>
            </w14:solidFill>
          </w14:textFill>
        </w:rPr>
        <w:object>
          <v:shape id="_x0000_i1026" o:spt="75" type="#_x0000_t75" style="height:12pt;width:18.75pt;" o:ole="t" filled="f" o:preferrelative="t" stroked="f" coordsize="21600,21600">
            <v:path/>
            <v:fill on="f" focussize="0,0"/>
            <v:stroke on="f" joinstyle="miter"/>
            <v:imagedata r:id="rId16" o:title=""/>
            <o:lock v:ext="edit" aspectratio="t"/>
            <w10:wrap type="none"/>
            <w10:anchorlock/>
          </v:shape>
          <o:OLEObject Type="Embed" ProgID="Equation.3" ShapeID="_x0000_i1026" DrawAspect="Content" ObjectID="_1468075726" r:id="rId15">
            <o:LockedField>false</o:LockedField>
          </o:OLEObject>
        </w:object>
      </w:r>
      <w:r>
        <w:rPr>
          <w:rFonts w:hint="eastAsia" w:ascii="宋体" w:hAnsi="宋体"/>
          <w:color w:val="000000" w:themeColor="text1"/>
          <w:sz w:val="24"/>
          <w:szCs w:val="24"/>
          <w:highlight w:val="none"/>
          <w14:textFill>
            <w14:solidFill>
              <w14:schemeClr w14:val="tx1"/>
            </w14:solidFill>
          </w14:textFill>
        </w:rPr>
        <w:t>——约定的付款证书中承包人应得到的已完成工程量的金额。此项金额应不包括价格调整、不计质量保证金的扣留和支付、预付款的支付和扣回。约定的变更及其他金额已按现行价格计价的，也不计在内；</w:t>
      </w:r>
    </w:p>
    <w:p w14:paraId="3CCFC115">
      <w:pPr>
        <w:tabs>
          <w:tab w:val="left" w:pos="0"/>
          <w:tab w:val="left" w:pos="360"/>
          <w:tab w:val="left" w:pos="540"/>
        </w:tabs>
        <w:spacing w:line="360" w:lineRule="auto"/>
        <w:ind w:firstLine="480" w:firstLineChars="200"/>
        <w:outlineLvl w:val="9"/>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A——定值权重（即不调部分的权重）；</w:t>
      </w:r>
    </w:p>
    <w:p w14:paraId="2E40FD61">
      <w:pPr>
        <w:tabs>
          <w:tab w:val="left" w:pos="0"/>
          <w:tab w:val="left" w:pos="360"/>
          <w:tab w:val="left" w:pos="540"/>
        </w:tabs>
        <w:spacing w:line="360" w:lineRule="auto"/>
        <w:ind w:firstLine="480" w:firstLineChars="200"/>
        <w:outlineLvl w:val="9"/>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position w:val="-10"/>
          <w:sz w:val="24"/>
          <w:szCs w:val="24"/>
          <w:highlight w:val="none"/>
          <w14:textFill>
            <w14:solidFill>
              <w14:schemeClr w14:val="tx1"/>
            </w14:solidFill>
          </w14:textFill>
        </w:rPr>
        <w:object>
          <v:shape id="_x0000_i1027" o:spt="75" type="#_x0000_t75" style="height:12pt;width:95.25pt;" o:ole="t" filled="f" o:preferrelative="t" stroked="f" coordsize="21600,21600">
            <v:path/>
            <v:fill on="f" focussize="0,0"/>
            <v:stroke on="f" joinstyle="miter"/>
            <v:imagedata r:id="rId18" o:title=""/>
            <o:lock v:ext="edit" aspectratio="t"/>
            <w10:wrap type="none"/>
            <w10:anchorlock/>
          </v:shape>
          <o:OLEObject Type="Embed" ProgID="Equation.3" ShapeID="_x0000_i1027" DrawAspect="Content" ObjectID="_1468075727" r:id="rId17">
            <o:LockedField>false</o:LockedField>
          </o:OLEObject>
        </w:object>
      </w:r>
      <w:r>
        <w:rPr>
          <w:rFonts w:hint="eastAsia" w:ascii="宋体" w:hAnsi="宋体"/>
          <w:color w:val="000000" w:themeColor="text1"/>
          <w:sz w:val="24"/>
          <w:szCs w:val="24"/>
          <w:highlight w:val="none"/>
          <w14:textFill>
            <w14:solidFill>
              <w14:schemeClr w14:val="tx1"/>
            </w14:solidFill>
          </w14:textFill>
        </w:rPr>
        <w:t>——各可调因子的变值权重（即可调部分的权重），为各可调因子在签约合同价中所占的比例；</w:t>
      </w:r>
    </w:p>
    <w:p w14:paraId="6E247880">
      <w:pPr>
        <w:tabs>
          <w:tab w:val="left" w:pos="0"/>
          <w:tab w:val="left" w:pos="360"/>
          <w:tab w:val="left" w:pos="540"/>
        </w:tabs>
        <w:spacing w:line="360" w:lineRule="auto"/>
        <w:ind w:firstLine="480" w:firstLineChars="200"/>
        <w:outlineLvl w:val="9"/>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position w:val="-10"/>
          <w:sz w:val="24"/>
          <w:szCs w:val="24"/>
          <w:highlight w:val="none"/>
          <w14:textFill>
            <w14:solidFill>
              <w14:schemeClr w14:val="tx1"/>
            </w14:solidFill>
          </w14:textFill>
        </w:rPr>
        <w:object>
          <v:shape id="_x0000_i1028" o:spt="75" type="#_x0000_t75" style="height:15.75pt;width:93.75pt;" o:ole="t" filled="f" o:preferrelative="t" stroked="f" coordsize="21600,21600">
            <v:path/>
            <v:fill on="f" focussize="0,0"/>
            <v:stroke on="f" joinstyle="miter"/>
            <v:imagedata r:id="rId20" o:title=""/>
            <o:lock v:ext="edit" aspectratio="t"/>
            <w10:wrap type="none"/>
            <w10:anchorlock/>
          </v:shape>
          <o:OLEObject Type="Embed" ProgID="Equation.3" ShapeID="_x0000_i1028" DrawAspect="Content" ObjectID="_1468075728" r:id="rId19">
            <o:LockedField>false</o:LockedField>
          </o:OLEObject>
        </w:object>
      </w:r>
      <w:r>
        <w:rPr>
          <w:rFonts w:hint="eastAsia" w:ascii="宋体" w:hAnsi="宋体"/>
          <w:color w:val="000000" w:themeColor="text1"/>
          <w:sz w:val="24"/>
          <w:szCs w:val="24"/>
          <w:highlight w:val="none"/>
          <w14:textFill>
            <w14:solidFill>
              <w14:schemeClr w14:val="tx1"/>
            </w14:solidFill>
          </w14:textFill>
        </w:rPr>
        <w:t>——各可调因子的现行价格指数，指约定的付款证书相关周期最后一天的前42天的各可调因子的价格指数；</w:t>
      </w:r>
    </w:p>
    <w:p w14:paraId="13EF8937">
      <w:pPr>
        <w:tabs>
          <w:tab w:val="left" w:pos="0"/>
          <w:tab w:val="left" w:pos="360"/>
          <w:tab w:val="left" w:pos="540"/>
        </w:tabs>
        <w:spacing w:line="360" w:lineRule="auto"/>
        <w:ind w:firstLine="480" w:firstLineChars="200"/>
        <w:outlineLvl w:val="9"/>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position w:val="-10"/>
          <w:sz w:val="24"/>
          <w:szCs w:val="24"/>
          <w:highlight w:val="none"/>
          <w14:textFill>
            <w14:solidFill>
              <w14:schemeClr w14:val="tx1"/>
            </w14:solidFill>
          </w14:textFill>
        </w:rPr>
        <w:object>
          <v:shape id="_x0000_i1029" o:spt="75" type="#_x0000_t75" style="height:15.75pt;width:107.25pt;" o:ole="t" filled="f" o:preferrelative="t" stroked="f" coordsize="21600,21600">
            <v:path/>
            <v:fill on="f" focussize="0,0"/>
            <v:stroke on="f" joinstyle="miter"/>
            <v:imagedata r:id="rId22" o:title=""/>
            <o:lock v:ext="edit" aspectratio="t"/>
            <w10:wrap type="none"/>
            <w10:anchorlock/>
          </v:shape>
          <o:OLEObject Type="Embed" ProgID="Equation.3" ShapeID="_x0000_i1029" DrawAspect="Content" ObjectID="_1468075729" r:id="rId21">
            <o:LockedField>false</o:LockedField>
          </o:OLEObject>
        </w:object>
      </w:r>
      <w:r>
        <w:rPr>
          <w:rFonts w:hint="eastAsia" w:ascii="宋体" w:hAnsi="宋体"/>
          <w:color w:val="000000" w:themeColor="text1"/>
          <w:sz w:val="24"/>
          <w:szCs w:val="24"/>
          <w:highlight w:val="none"/>
          <w14:textFill>
            <w14:solidFill>
              <w14:schemeClr w14:val="tx1"/>
            </w14:solidFill>
          </w14:textFill>
        </w:rPr>
        <w:t>——各可调因子的基本价格指数，指基准日期的各可调因子的价格指数。</w:t>
      </w:r>
    </w:p>
    <w:p w14:paraId="3EAE93CF">
      <w:pPr>
        <w:tabs>
          <w:tab w:val="left" w:pos="0"/>
          <w:tab w:val="left" w:pos="360"/>
          <w:tab w:val="left" w:pos="540"/>
        </w:tabs>
        <w:spacing w:line="360" w:lineRule="auto"/>
        <w:ind w:firstLine="480" w:firstLineChars="200"/>
        <w:outlineLvl w:val="9"/>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p>
    <w:p w14:paraId="0952624C">
      <w:pPr>
        <w:tabs>
          <w:tab w:val="left" w:pos="0"/>
          <w:tab w:val="left" w:pos="360"/>
          <w:tab w:val="left" w:pos="540"/>
        </w:tabs>
        <w:spacing w:line="360" w:lineRule="auto"/>
        <w:ind w:firstLine="480" w:firstLineChars="200"/>
        <w:outlineLvl w:val="9"/>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（2）暂时确定调整差额</w:t>
      </w:r>
    </w:p>
    <w:p w14:paraId="76D685D2">
      <w:pPr>
        <w:tabs>
          <w:tab w:val="left" w:pos="0"/>
          <w:tab w:val="left" w:pos="360"/>
          <w:tab w:val="left" w:pos="540"/>
        </w:tabs>
        <w:spacing w:line="360" w:lineRule="auto"/>
        <w:ind w:firstLine="480" w:firstLineChars="200"/>
        <w:outlineLvl w:val="9"/>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在计算调整差额时无现行价格指数的，合同当事人同意暂用前次价格指数计算。实际价格指数有调整的，合同当事人进行相应调整。</w:t>
      </w:r>
    </w:p>
    <w:p w14:paraId="163BB145">
      <w:pPr>
        <w:tabs>
          <w:tab w:val="left" w:pos="0"/>
          <w:tab w:val="left" w:pos="360"/>
          <w:tab w:val="left" w:pos="540"/>
        </w:tabs>
        <w:spacing w:line="360" w:lineRule="auto"/>
        <w:ind w:firstLine="480" w:firstLineChars="200"/>
        <w:outlineLvl w:val="9"/>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（3）权重的调整</w:t>
      </w:r>
    </w:p>
    <w:p w14:paraId="3F499405">
      <w:pPr>
        <w:tabs>
          <w:tab w:val="left" w:pos="0"/>
          <w:tab w:val="left" w:pos="360"/>
          <w:tab w:val="left" w:pos="540"/>
        </w:tabs>
        <w:spacing w:line="360" w:lineRule="auto"/>
        <w:ind w:firstLine="480" w:firstLineChars="200"/>
        <w:outlineLvl w:val="9"/>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因变更导致合同约定的权重不合理时，按照第4.4款〔商定或确定〕执行。</w:t>
      </w:r>
    </w:p>
    <w:p w14:paraId="1411C67A">
      <w:pPr>
        <w:tabs>
          <w:tab w:val="left" w:pos="0"/>
          <w:tab w:val="left" w:pos="360"/>
          <w:tab w:val="left" w:pos="540"/>
        </w:tabs>
        <w:spacing w:line="360" w:lineRule="auto"/>
        <w:ind w:firstLine="480" w:firstLineChars="200"/>
        <w:outlineLvl w:val="9"/>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（4）因承包人原因工期延误后的价格调整</w:t>
      </w:r>
    </w:p>
    <w:p w14:paraId="33AE4519">
      <w:pPr>
        <w:tabs>
          <w:tab w:val="left" w:pos="0"/>
          <w:tab w:val="left" w:pos="360"/>
          <w:tab w:val="left" w:pos="540"/>
        </w:tabs>
        <w:spacing w:line="360" w:lineRule="auto"/>
        <w:ind w:firstLine="480" w:firstLineChars="200"/>
        <w:outlineLvl w:val="9"/>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因承包人原因未按期竣工的，对合同约定的竣工日期后继续施工的工程，在使用价格调整公式时，应采用计划竣工日期与实际竣工日期的两个价格指数中较低的一个作为现行价格指数。</w:t>
      </w:r>
    </w:p>
    <w:p w14:paraId="1A3CAA4D">
      <w:pPr>
        <w:spacing w:line="360" w:lineRule="auto"/>
        <w:ind w:firstLine="480" w:firstLineChars="200"/>
        <w:outlineLvl w:val="9"/>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第2种方式：采用造价信息进行价格调整。</w:t>
      </w:r>
    </w:p>
    <w:p w14:paraId="6C862C25">
      <w:pPr>
        <w:spacing w:line="360" w:lineRule="auto"/>
        <w:ind w:firstLine="480" w:firstLineChars="200"/>
        <w:outlineLvl w:val="9"/>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的依据。</w:t>
      </w:r>
    </w:p>
    <w:p w14:paraId="3D0B5B64">
      <w:pPr>
        <w:spacing w:line="360" w:lineRule="auto"/>
        <w:ind w:firstLine="480" w:firstLineChars="200"/>
        <w:outlineLvl w:val="9"/>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p>
    <w:p w14:paraId="0810577A">
      <w:pPr>
        <w:spacing w:line="360" w:lineRule="auto"/>
        <w:ind w:firstLine="480" w:firstLineChars="200"/>
        <w:outlineLvl w:val="9"/>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（2）材料、工程设备价格变化的价款调整按照发包人提供的基准价格，按以下风险范围规定执行:</w:t>
      </w:r>
    </w:p>
    <w:p w14:paraId="4844C42E">
      <w:pPr>
        <w:spacing w:line="360" w:lineRule="auto"/>
        <w:ind w:firstLine="480" w:firstLineChars="200"/>
        <w:outlineLvl w:val="9"/>
        <w:rPr>
          <w:rFonts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①</w:t>
      </w:r>
      <w:r>
        <w:rPr>
          <w:rFonts w:hint="eastAsia" w:ascii="宋体" w:hAnsi="宋体"/>
          <w:color w:val="000000" w:themeColor="text1"/>
          <w:sz w:val="24"/>
          <w:szCs w:val="24"/>
          <w:highlight w:val="none"/>
          <w14:textFill>
            <w14:solidFill>
              <w14:schemeClr w14:val="tx1"/>
            </w14:solidFill>
          </w14:textFill>
        </w:rPr>
        <w:t>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p>
    <w:p w14:paraId="5B59468F">
      <w:pPr>
        <w:spacing w:line="360" w:lineRule="auto"/>
        <w:ind w:firstLine="480" w:firstLineChars="200"/>
        <w:outlineLvl w:val="9"/>
        <w:rPr>
          <w:rFonts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②</w:t>
      </w:r>
      <w:r>
        <w:rPr>
          <w:rFonts w:hint="eastAsia" w:ascii="宋体" w:hAnsi="宋体"/>
          <w:color w:val="000000" w:themeColor="text1"/>
          <w:sz w:val="24"/>
          <w:szCs w:val="24"/>
          <w:highlight w:val="none"/>
          <w14:textFill>
            <w14:solidFill>
              <w14:schemeClr w14:val="tx1"/>
            </w14:solidFill>
          </w14:textFill>
        </w:rPr>
        <w:t>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p>
    <w:p w14:paraId="68B0558E">
      <w:pPr>
        <w:spacing w:line="360" w:lineRule="auto"/>
        <w:ind w:firstLine="480" w:firstLineChars="200"/>
        <w:outlineLvl w:val="9"/>
        <w:rPr>
          <w:rFonts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③</w:t>
      </w:r>
      <w:r>
        <w:rPr>
          <w:rFonts w:hint="eastAsia" w:ascii="宋体" w:hAnsi="宋体"/>
          <w:color w:val="000000" w:themeColor="text1"/>
          <w:sz w:val="24"/>
          <w:szCs w:val="24"/>
          <w:highlight w:val="none"/>
          <w14:textFill>
            <w14:solidFill>
              <w14:schemeClr w14:val="tx1"/>
            </w14:solidFill>
          </w14:textFill>
        </w:rPr>
        <w:t>承包人在已标价工程量清单或预算书中载明材料单价等于基准价格的：除专用合同条款另有约定外，合同履行期间材料单价涨跌幅以基准价格为基础超过±5%时，其超过部分据实调整。</w:t>
      </w:r>
    </w:p>
    <w:p w14:paraId="52B59FAA">
      <w:pPr>
        <w:spacing w:line="360" w:lineRule="auto"/>
        <w:ind w:firstLine="480" w:firstLineChars="200"/>
        <w:outlineLvl w:val="9"/>
        <w:rPr>
          <w:rFonts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④</w:t>
      </w:r>
      <w:r>
        <w:rPr>
          <w:rFonts w:hint="eastAsia" w:ascii="宋体" w:hAnsi="宋体"/>
          <w:color w:val="000000" w:themeColor="text1"/>
          <w:sz w:val="24"/>
          <w:szCs w:val="24"/>
          <w:highlight w:val="none"/>
          <w14:textFill>
            <w14:solidFill>
              <w14:schemeClr w14:val="tx1"/>
            </w14:solidFill>
          </w14:textFill>
        </w:rPr>
        <w:t>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p>
    <w:p w14:paraId="5E5E4138">
      <w:pPr>
        <w:spacing w:line="360" w:lineRule="auto"/>
        <w:ind w:firstLine="480" w:firstLineChars="200"/>
        <w:outlineLvl w:val="9"/>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前述基准价格是指由发包人在招标文件或专用合同条款中给定的材料、工程设备的价格，该价格原则上应当按照省级或行业建设主管部门或其授权的工程造价管理机构发布的信息价编制。</w:t>
      </w:r>
    </w:p>
    <w:p w14:paraId="3A1E2608">
      <w:pPr>
        <w:spacing w:line="360" w:lineRule="auto"/>
        <w:ind w:firstLine="480" w:firstLineChars="200"/>
        <w:outlineLvl w:val="9"/>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（3）施工机械台班单价或施工机械使用费发生变化超过省级或行业建设主管部门或其授权的工程造价管理机构规定的范围时，按规定调整合同价格。</w:t>
      </w:r>
    </w:p>
    <w:p w14:paraId="440976A5">
      <w:pPr>
        <w:spacing w:line="360" w:lineRule="auto"/>
        <w:ind w:firstLine="480" w:firstLineChars="200"/>
        <w:outlineLvl w:val="9"/>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第3种方式：专用合同条款约定的其他方式。</w:t>
      </w:r>
    </w:p>
    <w:p w14:paraId="7A21B31F">
      <w:pPr>
        <w:spacing w:before="100" w:after="100" w:line="360" w:lineRule="auto"/>
        <w:ind w:firstLine="480" w:firstLineChars="200"/>
        <w:outlineLvl w:val="9"/>
        <w:rPr>
          <w:rFonts w:ascii="宋体" w:hAnsi="宋体"/>
          <w:color w:val="000000" w:themeColor="text1"/>
          <w:sz w:val="24"/>
          <w:szCs w:val="24"/>
          <w:highlight w:val="none"/>
          <w14:textFill>
            <w14:solidFill>
              <w14:schemeClr w14:val="tx1"/>
            </w14:solidFill>
          </w14:textFill>
        </w:rPr>
      </w:pPr>
      <w:bookmarkStart w:id="345" w:name="_Toc351203579"/>
      <w:bookmarkStart w:id="346" w:name="_Toc296346594"/>
      <w:bookmarkStart w:id="347" w:name="_Toc296503093"/>
      <w:bookmarkStart w:id="348" w:name="_Toc337558798"/>
      <w:r>
        <w:rPr>
          <w:rFonts w:hint="eastAsia" w:ascii="宋体" w:hAnsi="宋体"/>
          <w:color w:val="000000" w:themeColor="text1"/>
          <w:sz w:val="24"/>
          <w:szCs w:val="24"/>
          <w:highlight w:val="none"/>
          <w14:textFill>
            <w14:solidFill>
              <w14:schemeClr w14:val="tx1"/>
            </w14:solidFill>
          </w14:textFill>
        </w:rPr>
        <w:t>11.2法律变化引起的调整</w:t>
      </w:r>
      <w:bookmarkEnd w:id="345"/>
    </w:p>
    <w:bookmarkEnd w:id="346"/>
    <w:bookmarkEnd w:id="347"/>
    <w:bookmarkEnd w:id="348"/>
    <w:p w14:paraId="373F7BA9">
      <w:pPr>
        <w:spacing w:line="360" w:lineRule="auto"/>
        <w:ind w:firstLine="480" w:firstLineChars="200"/>
        <w:outlineLvl w:val="9"/>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基准日期后，法律变化导致承包人在合同履行过程中所需要的费用发生除第11.1款〔市场价格波动引起的调整〕约定以外的增加时，由发包人承担由此增加的费用；减少时，应从合同价格中予以扣减。基准日期后，因法律变化造成工期延误时，工期应予以顺延。</w:t>
      </w:r>
    </w:p>
    <w:p w14:paraId="0D506D02">
      <w:pPr>
        <w:spacing w:line="360" w:lineRule="auto"/>
        <w:ind w:firstLine="480" w:firstLineChars="200"/>
        <w:outlineLvl w:val="9"/>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因法律变化引起的合同价格和工期调整，合同当事人无法达成一致的，由总监理工程师按第4.4款〔商定或确定〕的约定处理。</w:t>
      </w:r>
    </w:p>
    <w:p w14:paraId="7E04E4A9">
      <w:pPr>
        <w:spacing w:line="360" w:lineRule="auto"/>
        <w:ind w:firstLine="480" w:firstLineChars="200"/>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因承包人原因造成工期延误，在工期延误期间出现法律变化的，由此增加的费用和（或）延误的工期由承包人承担。</w:t>
      </w:r>
    </w:p>
    <w:p w14:paraId="396FAA4C">
      <w:pPr>
        <w:spacing w:line="360" w:lineRule="auto"/>
        <w:ind w:firstLine="480" w:firstLineChars="200"/>
        <w:outlineLvl w:val="9"/>
        <w:rPr>
          <w:rFonts w:ascii="宋体" w:hAnsi="宋体" w:eastAsia="宋体"/>
          <w:b w:val="0"/>
          <w:color w:val="000000" w:themeColor="text1"/>
          <w:sz w:val="24"/>
          <w:szCs w:val="24"/>
          <w:highlight w:val="none"/>
          <w14:textFill>
            <w14:solidFill>
              <w14:schemeClr w14:val="tx1"/>
            </w14:solidFill>
          </w14:textFill>
        </w:rPr>
      </w:pPr>
      <w:bookmarkStart w:id="349" w:name="_Toc351203580"/>
      <w:bookmarkStart w:id="350" w:name="_Toc337558799"/>
      <w:bookmarkStart w:id="351" w:name="_Toc296503096"/>
      <w:bookmarkStart w:id="352" w:name="_Toc296346597"/>
      <w:r>
        <w:rPr>
          <w:rFonts w:hint="eastAsia" w:ascii="宋体" w:hAnsi="宋体" w:eastAsia="宋体"/>
          <w:b w:val="0"/>
          <w:color w:val="000000" w:themeColor="text1"/>
          <w:sz w:val="24"/>
          <w:szCs w:val="24"/>
          <w:highlight w:val="none"/>
          <w14:textFill>
            <w14:solidFill>
              <w14:schemeClr w14:val="tx1"/>
            </w14:solidFill>
          </w14:textFill>
        </w:rPr>
        <w:t>12. 合同价格、计量与支付</w:t>
      </w:r>
      <w:bookmarkEnd w:id="349"/>
    </w:p>
    <w:bookmarkEnd w:id="350"/>
    <w:p w14:paraId="591E5E4C">
      <w:pPr>
        <w:spacing w:before="100" w:after="100" w:line="360" w:lineRule="auto"/>
        <w:ind w:firstLine="480" w:firstLineChars="200"/>
        <w:outlineLvl w:val="9"/>
        <w:rPr>
          <w:rFonts w:ascii="宋体" w:hAnsi="宋体"/>
          <w:color w:val="000000" w:themeColor="text1"/>
          <w:sz w:val="24"/>
          <w:szCs w:val="24"/>
          <w:highlight w:val="none"/>
          <w14:textFill>
            <w14:solidFill>
              <w14:schemeClr w14:val="tx1"/>
            </w14:solidFill>
          </w14:textFill>
        </w:rPr>
      </w:pPr>
      <w:bookmarkStart w:id="353" w:name="_Toc351203581"/>
      <w:bookmarkStart w:id="354" w:name="_Toc337558800"/>
      <w:r>
        <w:rPr>
          <w:rFonts w:hint="eastAsia" w:ascii="宋体" w:hAnsi="宋体"/>
          <w:color w:val="000000" w:themeColor="text1"/>
          <w:sz w:val="24"/>
          <w:szCs w:val="24"/>
          <w:highlight w:val="none"/>
          <w14:textFill>
            <w14:solidFill>
              <w14:schemeClr w14:val="tx1"/>
            </w14:solidFill>
          </w14:textFill>
        </w:rPr>
        <w:t>12.1 合同价</w:t>
      </w:r>
      <w:bookmarkEnd w:id="351"/>
      <w:bookmarkEnd w:id="352"/>
      <w:r>
        <w:rPr>
          <w:rFonts w:hint="eastAsia" w:ascii="宋体" w:hAnsi="宋体"/>
          <w:color w:val="000000" w:themeColor="text1"/>
          <w:sz w:val="24"/>
          <w:szCs w:val="24"/>
          <w:highlight w:val="none"/>
          <w14:textFill>
            <w14:solidFill>
              <w14:schemeClr w14:val="tx1"/>
            </w14:solidFill>
          </w14:textFill>
        </w:rPr>
        <w:t>格形式</w:t>
      </w:r>
      <w:bookmarkEnd w:id="353"/>
    </w:p>
    <w:bookmarkEnd w:id="354"/>
    <w:p w14:paraId="0B56BC67">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 xml:space="preserve">发包人和承包人应在合同协议书中选择下列一种合同价格形式： </w:t>
      </w:r>
    </w:p>
    <w:p w14:paraId="0E506FA8">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1、单价合同</w:t>
      </w:r>
    </w:p>
    <w:p w14:paraId="7B3445FC">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单价合同是指合同当事人约定以工程量清单及其综合单价进行合同价格计算、调整和确认的建设工程施工合同，在约定的范围内合同单价不作调整。合同当事人应在专用合同条款中约定综合单价包含的风险范围和风险费用的计算方法，并约定风险范围以外的合同价格的调整方法，其中因市场价格波动引起的调整按第11.1款〔市场价格波动引起的调整〕约定执行。</w:t>
      </w:r>
    </w:p>
    <w:p w14:paraId="074D9FB2">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2、总价合同</w:t>
      </w:r>
    </w:p>
    <w:p w14:paraId="29F603FC">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总价合同是指合同当事人约定以施工图、已标价工程量清单或预算书及有关条件进行合同价格计算、调整和确认的建设工程施工合同，在约定的范围内合同总价不作调整。合同当事人应在专用合同条款中约定总价包含的风险范围和风险费用的计算方法，并约定风险范围以外的合同价格的调整方法，其中因市场价格波动引起的调整按第11.1款〔市场价格波动引起的调整〕、因法律变化引起的调整按第11.2款〔法律变化引起的调整〕约定执行。</w:t>
      </w:r>
    </w:p>
    <w:p w14:paraId="10411BCF">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3、其它价格形式</w:t>
      </w:r>
    </w:p>
    <w:p w14:paraId="0EAB57BB">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合同当事人可在专用合同条款中约定其他合同价格形式。</w:t>
      </w:r>
    </w:p>
    <w:p w14:paraId="1385CEFD">
      <w:pPr>
        <w:spacing w:before="100" w:after="100" w:line="360" w:lineRule="auto"/>
        <w:ind w:firstLine="480" w:firstLineChars="200"/>
        <w:outlineLvl w:val="9"/>
        <w:rPr>
          <w:rFonts w:ascii="宋体" w:hAnsi="宋体"/>
          <w:color w:val="000000" w:themeColor="text1"/>
          <w:sz w:val="24"/>
          <w:szCs w:val="24"/>
          <w:highlight w:val="none"/>
          <w14:textFill>
            <w14:solidFill>
              <w14:schemeClr w14:val="tx1"/>
            </w14:solidFill>
          </w14:textFill>
        </w:rPr>
      </w:pPr>
      <w:bookmarkStart w:id="355" w:name="_Toc296346598"/>
      <w:bookmarkStart w:id="356" w:name="_Toc296503097"/>
      <w:bookmarkStart w:id="357" w:name="_Toc351203582"/>
      <w:bookmarkStart w:id="358" w:name="_Toc337558801"/>
      <w:r>
        <w:rPr>
          <w:rFonts w:hint="eastAsia" w:ascii="宋体" w:hAnsi="宋体"/>
          <w:color w:val="000000" w:themeColor="text1"/>
          <w:sz w:val="24"/>
          <w:szCs w:val="24"/>
          <w:highlight w:val="none"/>
          <w14:textFill>
            <w14:solidFill>
              <w14:schemeClr w14:val="tx1"/>
            </w14:solidFill>
          </w14:textFill>
        </w:rPr>
        <w:t>12.2预</w:t>
      </w:r>
      <w:bookmarkEnd w:id="355"/>
      <w:bookmarkEnd w:id="356"/>
      <w:bookmarkStart w:id="359" w:name="_Toc296503100"/>
      <w:bookmarkStart w:id="360" w:name="_Toc296346601"/>
      <w:r>
        <w:rPr>
          <w:rFonts w:hint="eastAsia" w:ascii="宋体" w:hAnsi="宋体"/>
          <w:color w:val="000000" w:themeColor="text1"/>
          <w:sz w:val="24"/>
          <w:szCs w:val="24"/>
          <w:highlight w:val="none"/>
          <w14:textFill>
            <w14:solidFill>
              <w14:schemeClr w14:val="tx1"/>
            </w14:solidFill>
          </w14:textFill>
        </w:rPr>
        <w:t>付款</w:t>
      </w:r>
      <w:bookmarkEnd w:id="357"/>
    </w:p>
    <w:bookmarkEnd w:id="358"/>
    <w:bookmarkEnd w:id="359"/>
    <w:bookmarkEnd w:id="360"/>
    <w:p w14:paraId="49845169">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12.2.</w:t>
      </w:r>
      <w:r>
        <w:rPr>
          <w:rFonts w:hint="eastAsia" w:ascii="宋体" w:hAnsi="宋体"/>
          <w:color w:val="000000" w:themeColor="text1"/>
          <w:kern w:val="0"/>
          <w:sz w:val="24"/>
          <w:szCs w:val="24"/>
          <w:highlight w:val="none"/>
          <w14:textFill>
            <w14:solidFill>
              <w14:schemeClr w14:val="tx1"/>
            </w14:solidFill>
          </w14:textFill>
        </w:rPr>
        <w:t>1预付款的支付</w:t>
      </w:r>
    </w:p>
    <w:p w14:paraId="7610DF9E">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预付款的支付按照专用合同条款约定执行，但至迟应在开工通知载明的开工日期7天前支付。预付款应当用于材料、工程设备、施工设备的采购及修建临时工程、组织施工队伍进场等。</w:t>
      </w:r>
    </w:p>
    <w:p w14:paraId="52C4A692">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除专用合同条款另有约定外，预付款在进度付款中同比例扣回。在颁发工程接收证书前，提前解除合同的，尚未扣完的预付款应与合同价款一并结算。</w:t>
      </w:r>
    </w:p>
    <w:p w14:paraId="7D711352">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发包人逾期支付预付款超过7天的，承包人有权向发包人发出要求预付的催告通知，发包人收到通知后7天内仍未支付的，承包人有权暂停施工，并按第16.1.1项〔发包人违约的情形〕执行。</w:t>
      </w:r>
    </w:p>
    <w:p w14:paraId="278D4D21">
      <w:pPr>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12.2.2 预付款担保</w:t>
      </w:r>
    </w:p>
    <w:p w14:paraId="234BC490">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要求承包人提供预付款担保的，承包人应在发包人支付预付款7天前提供预付款担保，专用合同条款另有约定除外。预付款担保可采用银行保函、担保公司担保等形式，具体由合同当事人在专用合同条款中约定。在预付款完全扣回之前，承包人应保证预付款担保持续有效。</w:t>
      </w:r>
    </w:p>
    <w:p w14:paraId="073AA5C7">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发包人在工程款中逐期扣回预付款后，预付款担保额度应相应减少，但剩余的预付款担保金额不得低于未被扣回的预付款金额。</w:t>
      </w:r>
    </w:p>
    <w:p w14:paraId="58413DE0">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61" w:name="_Toc351203583"/>
      <w:bookmarkStart w:id="362" w:name="_Toc337558802"/>
      <w:r>
        <w:rPr>
          <w:rFonts w:hint="eastAsia" w:ascii="宋体" w:hAnsi="宋体"/>
          <w:color w:val="000000" w:themeColor="text1"/>
          <w:sz w:val="24"/>
          <w:szCs w:val="24"/>
          <w:highlight w:val="none"/>
          <w14:textFill>
            <w14:solidFill>
              <w14:schemeClr w14:val="tx1"/>
            </w14:solidFill>
          </w14:textFill>
        </w:rPr>
        <w:t>12.3计量</w:t>
      </w:r>
      <w:bookmarkEnd w:id="361"/>
    </w:p>
    <w:bookmarkEnd w:id="362"/>
    <w:p w14:paraId="0ED6EFE0">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12.3.1 计量原则</w:t>
      </w:r>
    </w:p>
    <w:p w14:paraId="17F3DBB4">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工程量计量按照合同约定的工程量计算规则、图纸及变更指示等进行计量。工程量计算规则应以相关的国家标准、行业标准等为依据，由合同当事人在专用合同条款中约定。</w:t>
      </w:r>
    </w:p>
    <w:p w14:paraId="228945BB">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12.3.2 计量周期</w:t>
      </w:r>
    </w:p>
    <w:p w14:paraId="1118023F">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除专用合同条款另有约定外，工程量的计量按月进行。</w:t>
      </w:r>
    </w:p>
    <w:p w14:paraId="31ADEDA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12.3.3 单价合同的计量</w:t>
      </w:r>
    </w:p>
    <w:p w14:paraId="32C7E13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除专用合同条款另有约定外，单价合同的计量按照本项约定执行：</w:t>
      </w:r>
    </w:p>
    <w:p w14:paraId="600AEB4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（1）承包人应于每月25日向监理人报送上月20日至当月19日已完成的工程量报告，并附具进度付款申请单、已完成工程量报表和有关资料。</w:t>
      </w:r>
    </w:p>
    <w:p w14:paraId="78CC558B">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p>
    <w:p w14:paraId="481BFAA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（3）监理人未在收到承包人提交的工程量报表后的7天内完成审核的，承包人报送的工程量报告中的工程量视为承包人实际完成的工程量，据此计算工程价款。</w:t>
      </w:r>
    </w:p>
    <w:p w14:paraId="3F44152E">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12.3.4 总价合同的计量</w:t>
      </w:r>
    </w:p>
    <w:p w14:paraId="4424208D">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除专用合同条款另有约定外，按月计量支付的总价合同，按照本项约定执行：</w:t>
      </w:r>
    </w:p>
    <w:p w14:paraId="1F18AF3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（1）承包人应于每月25日向监理人报送上月20日至当月19日已完成的工程量报告，并附具进度付款申请单、已完成工程量报表和有关资料。</w:t>
      </w:r>
    </w:p>
    <w:p w14:paraId="5427907E">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p>
    <w:p w14:paraId="7B0D50E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（3）监理人未在收到承包人提交的工程量报表后的7天内完成复核的，承包人提交的工程量报告中的工程量视为承包人实际完成的工程量。</w:t>
      </w:r>
    </w:p>
    <w:p w14:paraId="1563723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12.3.5 总价合同采用支付分解表计量支付的，可以按照第12.3.4项〔总价合同的计量〕约定进行计量，但合同价款按照支付分解表进行支付。</w:t>
      </w:r>
    </w:p>
    <w:p w14:paraId="568B5F34">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12.3.6 </w:t>
      </w:r>
      <w:r>
        <w:rPr>
          <w:rFonts w:hint="eastAsia" w:ascii="宋体" w:hAnsi="宋体"/>
          <w:color w:val="000000" w:themeColor="text1"/>
          <w:kern w:val="0"/>
          <w:sz w:val="24"/>
          <w:szCs w:val="24"/>
          <w:highlight w:val="none"/>
          <w14:textFill>
            <w14:solidFill>
              <w14:schemeClr w14:val="tx1"/>
            </w14:solidFill>
          </w14:textFill>
        </w:rPr>
        <w:t>其他价格形式合同的计量</w:t>
      </w:r>
    </w:p>
    <w:p w14:paraId="3F0ED909">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合同当事人可在专用合同条款中约定其他价格形式合同的计量方式和程序。</w:t>
      </w:r>
    </w:p>
    <w:p w14:paraId="09756381">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63" w:name="_Toc296503101"/>
      <w:bookmarkStart w:id="364" w:name="_Toc296346602"/>
      <w:bookmarkStart w:id="365" w:name="_Toc351203584"/>
      <w:bookmarkStart w:id="366" w:name="_Toc337558803"/>
      <w:r>
        <w:rPr>
          <w:rFonts w:ascii="宋体" w:hAnsi="宋体"/>
          <w:color w:val="000000" w:themeColor="text1"/>
          <w:sz w:val="24"/>
          <w:szCs w:val="24"/>
          <w:highlight w:val="none"/>
          <w14:textFill>
            <w14:solidFill>
              <w14:schemeClr w14:val="tx1"/>
            </w14:solidFill>
          </w14:textFill>
        </w:rPr>
        <w:t>12.4工程进度款支</w:t>
      </w:r>
      <w:bookmarkEnd w:id="363"/>
      <w:bookmarkEnd w:id="364"/>
      <w:r>
        <w:rPr>
          <w:rFonts w:hint="eastAsia" w:ascii="宋体" w:hAnsi="宋体"/>
          <w:color w:val="000000" w:themeColor="text1"/>
          <w:sz w:val="24"/>
          <w:szCs w:val="24"/>
          <w:highlight w:val="none"/>
          <w14:textFill>
            <w14:solidFill>
              <w14:schemeClr w14:val="tx1"/>
            </w14:solidFill>
          </w14:textFill>
        </w:rPr>
        <w:t>付</w:t>
      </w:r>
      <w:bookmarkEnd w:id="365"/>
    </w:p>
    <w:bookmarkEnd w:id="366"/>
    <w:p w14:paraId="6A8E7787">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12.4.1 </w:t>
      </w:r>
      <w:r>
        <w:rPr>
          <w:rFonts w:hint="eastAsia" w:ascii="宋体" w:hAnsi="宋体"/>
          <w:color w:val="000000" w:themeColor="text1"/>
          <w:kern w:val="0"/>
          <w:sz w:val="24"/>
          <w:szCs w:val="24"/>
          <w:highlight w:val="none"/>
          <w14:textFill>
            <w14:solidFill>
              <w14:schemeClr w14:val="tx1"/>
            </w14:solidFill>
          </w14:textFill>
        </w:rPr>
        <w:t>付款周期</w:t>
      </w:r>
    </w:p>
    <w:p w14:paraId="1DAB446D">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除专用合同条款另有约定外，付款周期应按照第</w:t>
      </w:r>
      <w:r>
        <w:rPr>
          <w:rFonts w:ascii="宋体" w:hAnsi="宋体"/>
          <w:color w:val="000000" w:themeColor="text1"/>
          <w:kern w:val="0"/>
          <w:sz w:val="24"/>
          <w:szCs w:val="24"/>
          <w:highlight w:val="none"/>
          <w14:textFill>
            <w14:solidFill>
              <w14:schemeClr w14:val="tx1"/>
            </w14:solidFill>
          </w14:textFill>
        </w:rPr>
        <w:t>12.3.2项〔计量周期〕的约定与计量周期保持一致。</w:t>
      </w:r>
    </w:p>
    <w:p w14:paraId="614BD5F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12.4</w:t>
      </w:r>
      <w:r>
        <w:rPr>
          <w:rFonts w:ascii="宋体" w:hAnsi="宋体"/>
          <w:color w:val="000000" w:themeColor="text1"/>
          <w:kern w:val="0"/>
          <w:sz w:val="24"/>
          <w:szCs w:val="24"/>
          <w:highlight w:val="none"/>
          <w14:textFill>
            <w14:solidFill>
              <w14:schemeClr w14:val="tx1"/>
            </w14:solidFill>
          </w14:textFill>
        </w:rPr>
        <w:t xml:space="preserve">.2 </w:t>
      </w:r>
      <w:r>
        <w:rPr>
          <w:rFonts w:hint="eastAsia" w:ascii="宋体" w:hAnsi="宋体"/>
          <w:color w:val="000000" w:themeColor="text1"/>
          <w:kern w:val="0"/>
          <w:sz w:val="24"/>
          <w:szCs w:val="24"/>
          <w:highlight w:val="none"/>
          <w14:textFill>
            <w14:solidFill>
              <w14:schemeClr w14:val="tx1"/>
            </w14:solidFill>
          </w14:textFill>
        </w:rPr>
        <w:t>进度付款申请单的编制</w:t>
      </w:r>
    </w:p>
    <w:p w14:paraId="2805234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除专用合同条款另有约定外，进度付款申请单应包括下列内容：</w:t>
      </w:r>
    </w:p>
    <w:p w14:paraId="7BEE4A6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1）截至本次付款周期已完成工作对应的金额；</w:t>
      </w:r>
    </w:p>
    <w:p w14:paraId="68DFF69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2）根据第10条〔变更〕应增加和扣减的变更金额；</w:t>
      </w:r>
    </w:p>
    <w:p w14:paraId="30D5679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3）根据第12.2款〔预付款〕约定应支付的预付款和扣减的返还预付款；</w:t>
      </w:r>
    </w:p>
    <w:p w14:paraId="5FECE67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4）根据第15.3款〔质量保证金〕约定应扣减的质量保证金；</w:t>
      </w:r>
    </w:p>
    <w:p w14:paraId="2304173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5）根据第19条〔索赔〕应增加和扣减的索赔金额；</w:t>
      </w:r>
    </w:p>
    <w:p w14:paraId="7420E55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6）对已签发的进度款支付证书中出现错误的修正，应在本次进度付款中支付或扣除的金额；</w:t>
      </w:r>
    </w:p>
    <w:p w14:paraId="7868130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7）根据合同约定应增加和扣减的其他金额。</w:t>
      </w:r>
    </w:p>
    <w:p w14:paraId="73B3075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12.4.3 进度付款申请单的提交</w:t>
      </w:r>
    </w:p>
    <w:p w14:paraId="55A0ABB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（1）单价合同进度付款申请单的提交</w:t>
      </w:r>
    </w:p>
    <w:p w14:paraId="59706D8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单价合同的进度付款申请单，按照第12.3.3项〔单价合同的计量〕约定的时间按月向监理人提交，并附上已完成工程量报表和有关资料。单价合同中的总价项目按月进行支付分解，并汇总列入当期进度付款申请单。</w:t>
      </w:r>
    </w:p>
    <w:p w14:paraId="3CFC4E7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（2）总价合同进度付款申请单的提交</w:t>
      </w:r>
    </w:p>
    <w:p w14:paraId="3FE8097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总价合同按月计量支付的，承包人按照第12.3.4项〔总价合同的计量〕约定的时间按月向监理人提交进度付款申请单，并附上已完成工程量报表和有关资料。</w:t>
      </w:r>
    </w:p>
    <w:p w14:paraId="57901E4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总价合同按支付分解表支付的，承包人应按照第12.4.6项〔支付分解表〕及第12.4.2项〔进度付款申请单的编制〕的约定向监理人提交进度付款申请单。</w:t>
      </w:r>
    </w:p>
    <w:p w14:paraId="28D9A27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（3）其他价格形式合同的进度付款申请单的提交</w:t>
      </w:r>
    </w:p>
    <w:p w14:paraId="13E9F91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合同当事人可在专用合同条款中约定其他价格形式合同的进度付款申请单的编制和提交程序。</w:t>
      </w:r>
    </w:p>
    <w:p w14:paraId="5CB1649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12.4</w:t>
      </w:r>
      <w:r>
        <w:rPr>
          <w:rFonts w:hint="eastAsia" w:ascii="宋体" w:hAnsi="宋体"/>
          <w:color w:val="000000" w:themeColor="text1"/>
          <w:kern w:val="0"/>
          <w:sz w:val="24"/>
          <w:szCs w:val="24"/>
          <w:highlight w:val="none"/>
          <w14:textFill>
            <w14:solidFill>
              <w14:schemeClr w14:val="tx1"/>
            </w14:solidFill>
          </w14:textFill>
        </w:rPr>
        <w:t>.4 进度款审核和支付</w:t>
      </w:r>
    </w:p>
    <w:p w14:paraId="0C991326">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1）除专用合同条款另有约定外，监理人应在收到承包人进度付款申请单以及相关资料后7天内完成审查并报送发包人，发包人应在收到后7天内完成审批并签发进度款支付证书。发包人逾期未完成审批且未提出异议的，视为已签发进度款支付证书。</w:t>
      </w:r>
    </w:p>
    <w:p w14:paraId="65E7EA5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发包人和监理人对承包人的进度付款申请单有异议的，有权要求承包人修正和提供补充资料，承包人应提交修正后的进度付款申请单。监理人应在收到承包人修正后的进度付款申请单及相关资料后</w:t>
      </w:r>
      <w:r>
        <w:rPr>
          <w:rFonts w:ascii="宋体" w:hAnsi="宋体"/>
          <w:color w:val="000000" w:themeColor="text1"/>
          <w:kern w:val="0"/>
          <w:sz w:val="24"/>
          <w:szCs w:val="24"/>
          <w:highlight w:val="none"/>
          <w14:textFill>
            <w14:solidFill>
              <w14:schemeClr w14:val="tx1"/>
            </w14:solidFill>
          </w14:textFill>
        </w:rPr>
        <w:t>7天内完成审查并报送发包人，发包人应在收到监理人报送的进度付款申请单及相关资料后7天内，向承包人签发无异议部分的临时进度款支付证书。存在争议的部分，按照第20条〔争议解决〕的约定处理。</w:t>
      </w:r>
    </w:p>
    <w:p w14:paraId="74304A4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2）除专用合同条款另有约定外，发包人应在进度款支付证书或临时进度款支付证书签发后14天内完成支付，发包人逾期支付进度款的，应按照中国人民银行发布的同期同类贷款基准利率支付违约金。</w:t>
      </w:r>
    </w:p>
    <w:p w14:paraId="6005506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3）发包人签发进度款支付证书或临时进度款支付证书，不表明发包人已同意、批准或接受了承包人完成的相应部分的工作。</w:t>
      </w:r>
    </w:p>
    <w:p w14:paraId="12AF13A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12.4.5 </w:t>
      </w:r>
      <w:r>
        <w:rPr>
          <w:rFonts w:hint="eastAsia" w:ascii="宋体" w:hAnsi="宋体"/>
          <w:color w:val="000000" w:themeColor="text1"/>
          <w:kern w:val="0"/>
          <w:sz w:val="24"/>
          <w:szCs w:val="24"/>
          <w:highlight w:val="none"/>
          <w14:textFill>
            <w14:solidFill>
              <w14:schemeClr w14:val="tx1"/>
            </w14:solidFill>
          </w14:textFill>
        </w:rPr>
        <w:t>进度付款的修正</w:t>
      </w:r>
    </w:p>
    <w:p w14:paraId="011C447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在对已签发的进度款支付证书进行阶段汇总和复核中发现错误、遗漏或重复的，发包人和承包人均有权提出修正申请。经发包人和承包人同意的修正，应在下期进度付款中支付或扣除。</w:t>
      </w:r>
    </w:p>
    <w:p w14:paraId="4EA2CD0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12.4.6 </w:t>
      </w:r>
      <w:r>
        <w:rPr>
          <w:rFonts w:hint="eastAsia" w:ascii="宋体" w:hAnsi="宋体"/>
          <w:color w:val="000000" w:themeColor="text1"/>
          <w:kern w:val="0"/>
          <w:sz w:val="24"/>
          <w:szCs w:val="24"/>
          <w:highlight w:val="none"/>
          <w14:textFill>
            <w14:solidFill>
              <w14:schemeClr w14:val="tx1"/>
            </w14:solidFill>
          </w14:textFill>
        </w:rPr>
        <w:t>支付分解表</w:t>
      </w:r>
    </w:p>
    <w:p w14:paraId="2F7F4FE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1、支付分解表的编制要求</w:t>
      </w:r>
    </w:p>
    <w:p w14:paraId="5A6AD90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1）支付分解表中所列的每期付款金额，应为第12.4.2项〔进度付款申请单的编制〕</w:t>
      </w:r>
      <w:r>
        <w:rPr>
          <w:rFonts w:hint="eastAsia" w:ascii="宋体" w:hAnsi="宋体"/>
          <w:color w:val="000000" w:themeColor="text1"/>
          <w:kern w:val="0"/>
          <w:sz w:val="24"/>
          <w:szCs w:val="24"/>
          <w:highlight w:val="none"/>
          <w14:textFill>
            <w14:solidFill>
              <w14:schemeClr w14:val="tx1"/>
            </w14:solidFill>
          </w14:textFill>
        </w:rPr>
        <w:t>第（</w:t>
      </w:r>
      <w:r>
        <w:rPr>
          <w:rFonts w:ascii="宋体" w:hAnsi="宋体"/>
          <w:color w:val="000000" w:themeColor="text1"/>
          <w:kern w:val="0"/>
          <w:sz w:val="24"/>
          <w:szCs w:val="24"/>
          <w:highlight w:val="none"/>
          <w14:textFill>
            <w14:solidFill>
              <w14:schemeClr w14:val="tx1"/>
            </w14:solidFill>
          </w14:textFill>
        </w:rPr>
        <w:t>1）目的估算金额；</w:t>
      </w:r>
    </w:p>
    <w:p w14:paraId="0182612E">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2）实际进度与施工进度计划不一致的，合同当事人可按照第4.4款〔商定或确定〕修改支付分解表；</w:t>
      </w:r>
    </w:p>
    <w:p w14:paraId="37AF2573">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3）不采用支付分解表的，承包人应向发包人和监理人提交按季度编制的支付估算分解表，用于支付参考。</w:t>
      </w:r>
    </w:p>
    <w:p w14:paraId="4EEF02E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2、总价合同支付分解表的编制与审批</w:t>
      </w:r>
    </w:p>
    <w:p w14:paraId="5C709DE6">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除专用合同条款另有约定外，承包人应根据第7.2款〔施工进度计划〕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p>
    <w:p w14:paraId="7F5ACD1A">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2）监理人应在收到支付分解表后7天内完成审核并报送发包人。发包人应在收到经监理人审核的支付分解表后7天内完成审批，经发包人批准的支付分解表为有约束力的支付分解表。</w:t>
      </w:r>
    </w:p>
    <w:p w14:paraId="1B4CEAEF">
      <w:pPr>
        <w:spacing w:line="360" w:lineRule="auto"/>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    （3）发包人逾期未完成支付分解表审批的，也未及时要求承包人进行修正和提供补充资料的，则承包人提交的支付分解表视为已经获得发包人批准。</w:t>
      </w:r>
    </w:p>
    <w:p w14:paraId="75D1467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3、单价合同的总价项目支付分解表的编制与审批</w:t>
      </w:r>
    </w:p>
    <w:p w14:paraId="1289D63C">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p>
    <w:p w14:paraId="09049810">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367" w:name="_Toc351203585"/>
      <w:r>
        <w:rPr>
          <w:rFonts w:ascii="宋体" w:hAnsi="宋体"/>
          <w:color w:val="000000" w:themeColor="text1"/>
          <w:sz w:val="24"/>
          <w:szCs w:val="24"/>
          <w:highlight w:val="none"/>
          <w14:textFill>
            <w14:solidFill>
              <w14:schemeClr w14:val="tx1"/>
            </w14:solidFill>
          </w14:textFill>
        </w:rPr>
        <w:t>12.5支付账户</w:t>
      </w:r>
      <w:bookmarkEnd w:id="367"/>
    </w:p>
    <w:p w14:paraId="08DCC432">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发包人应将合同价款支付至合同协议书中约定的承包人账户。</w:t>
      </w:r>
    </w:p>
    <w:p w14:paraId="47481254">
      <w:pPr>
        <w:spacing w:line="360" w:lineRule="auto"/>
        <w:ind w:firstLine="480" w:firstLineChars="200"/>
        <w:outlineLvl w:val="9"/>
        <w:rPr>
          <w:rFonts w:ascii="宋体" w:hAnsi="宋体" w:eastAsia="宋体"/>
          <w:b w:val="0"/>
          <w:color w:val="000000" w:themeColor="text1"/>
          <w:sz w:val="24"/>
          <w:szCs w:val="24"/>
          <w:highlight w:val="none"/>
          <w14:textFill>
            <w14:solidFill>
              <w14:schemeClr w14:val="tx1"/>
            </w14:solidFill>
          </w14:textFill>
        </w:rPr>
      </w:pPr>
      <w:bookmarkStart w:id="368" w:name="_Toc351203586"/>
      <w:bookmarkStart w:id="369" w:name="_Toc296503106"/>
      <w:bookmarkStart w:id="370" w:name="_Toc322522574"/>
      <w:bookmarkStart w:id="371" w:name="_Toc337558804"/>
      <w:bookmarkStart w:id="372" w:name="_Toc296346607"/>
      <w:r>
        <w:rPr>
          <w:rFonts w:ascii="宋体" w:hAnsi="宋体" w:eastAsia="宋体"/>
          <w:b w:val="0"/>
          <w:color w:val="000000" w:themeColor="text1"/>
          <w:sz w:val="24"/>
          <w:szCs w:val="24"/>
          <w:highlight w:val="none"/>
          <w14:textFill>
            <w14:solidFill>
              <w14:schemeClr w14:val="tx1"/>
            </w14:solidFill>
          </w14:textFill>
        </w:rPr>
        <w:t xml:space="preserve">13. </w:t>
      </w:r>
      <w:r>
        <w:rPr>
          <w:rFonts w:hint="eastAsia" w:ascii="宋体" w:hAnsi="宋体" w:eastAsia="宋体"/>
          <w:b w:val="0"/>
          <w:color w:val="000000" w:themeColor="text1"/>
          <w:sz w:val="24"/>
          <w:szCs w:val="24"/>
          <w:highlight w:val="none"/>
          <w14:textFill>
            <w14:solidFill>
              <w14:schemeClr w14:val="tx1"/>
            </w14:solidFill>
          </w14:textFill>
        </w:rPr>
        <w:t>验收和工程试车</w:t>
      </w:r>
      <w:bookmarkEnd w:id="368"/>
    </w:p>
    <w:bookmarkEnd w:id="369"/>
    <w:bookmarkEnd w:id="370"/>
    <w:bookmarkEnd w:id="371"/>
    <w:bookmarkEnd w:id="372"/>
    <w:p w14:paraId="01BC0DED">
      <w:pPr>
        <w:spacing w:before="100" w:after="100" w:line="360" w:lineRule="auto"/>
        <w:ind w:firstLine="480" w:firstLineChars="200"/>
        <w:outlineLvl w:val="9"/>
        <w:rPr>
          <w:rFonts w:ascii="宋体" w:hAnsi="宋体"/>
          <w:color w:val="000000" w:themeColor="text1"/>
          <w:sz w:val="24"/>
          <w:szCs w:val="24"/>
          <w:highlight w:val="none"/>
          <w14:textFill>
            <w14:solidFill>
              <w14:schemeClr w14:val="tx1"/>
            </w14:solidFill>
          </w14:textFill>
        </w:rPr>
      </w:pPr>
      <w:bookmarkStart w:id="373" w:name="_Toc351203587"/>
      <w:bookmarkStart w:id="374" w:name="_Toc337558805"/>
      <w:bookmarkStart w:id="375" w:name="_Toc296346611"/>
      <w:bookmarkStart w:id="376" w:name="_Toc296503110"/>
      <w:r>
        <w:rPr>
          <w:rFonts w:ascii="宋体" w:hAnsi="宋体"/>
          <w:color w:val="000000" w:themeColor="text1"/>
          <w:sz w:val="24"/>
          <w:szCs w:val="24"/>
          <w:highlight w:val="none"/>
          <w14:textFill>
            <w14:solidFill>
              <w14:schemeClr w14:val="tx1"/>
            </w14:solidFill>
          </w14:textFill>
        </w:rPr>
        <w:t>13.1分部分项工程验收</w:t>
      </w:r>
      <w:bookmarkEnd w:id="373"/>
    </w:p>
    <w:bookmarkEnd w:id="374"/>
    <w:p w14:paraId="1B4AD3D0">
      <w:pPr>
        <w:spacing w:line="360" w:lineRule="auto"/>
        <w:ind w:firstLine="480" w:firstLineChars="200"/>
        <w:outlineLvl w:val="9"/>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13.1.1 </w:t>
      </w:r>
      <w:r>
        <w:rPr>
          <w:rFonts w:hint="eastAsia" w:ascii="宋体" w:hAnsi="宋体"/>
          <w:color w:val="000000" w:themeColor="text1"/>
          <w:sz w:val="24"/>
          <w:szCs w:val="24"/>
          <w:highlight w:val="none"/>
          <w14:textFill>
            <w14:solidFill>
              <w14:schemeClr w14:val="tx1"/>
            </w14:solidFill>
          </w14:textFill>
        </w:rPr>
        <w:t>分部分项工程质量应符合国家有关工程施工验收规范、标准及合同约定，承包人应按照施工组织设计的要求完成分部分项工程施工。</w:t>
      </w:r>
    </w:p>
    <w:p w14:paraId="721DD74D">
      <w:pPr>
        <w:spacing w:line="360" w:lineRule="auto"/>
        <w:ind w:firstLine="480" w:firstLineChars="200"/>
        <w:outlineLvl w:val="9"/>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13.1.2 </w:t>
      </w:r>
      <w:r>
        <w:rPr>
          <w:rFonts w:hint="eastAsia" w:ascii="宋体" w:hAnsi="宋体"/>
          <w:color w:val="000000" w:themeColor="text1"/>
          <w:sz w:val="24"/>
          <w:szCs w:val="24"/>
          <w:highlight w:val="none"/>
          <w14:textFill>
            <w14:solidFill>
              <w14:schemeClr w14:val="tx1"/>
            </w14:solidFill>
          </w14:textFill>
        </w:rPr>
        <w:t>除专用合同条款另有约定外，分部分项工程经承包人自检合格并具备验收条件的，承包人应提前</w:t>
      </w:r>
      <w:r>
        <w:rPr>
          <w:rFonts w:ascii="宋体" w:hAnsi="宋体"/>
          <w:color w:val="000000" w:themeColor="text1"/>
          <w:sz w:val="24"/>
          <w:szCs w:val="24"/>
          <w:highlight w:val="none"/>
          <w14:textFill>
            <w14:solidFill>
              <w14:schemeClr w14:val="tx1"/>
            </w14:solidFill>
          </w14:textFill>
        </w:rPr>
        <w:t>48小时通知监理人进行验收。</w:t>
      </w:r>
      <w:r>
        <w:rPr>
          <w:rFonts w:hint="eastAsia" w:ascii="宋体" w:hAnsi="宋体"/>
          <w:color w:val="000000" w:themeColor="text1"/>
          <w:kern w:val="0"/>
          <w:sz w:val="24"/>
          <w:szCs w:val="24"/>
          <w:highlight w:val="none"/>
          <w14:textFill>
            <w14:solidFill>
              <w14:schemeClr w14:val="tx1"/>
            </w14:solidFill>
          </w14:textFill>
        </w:rPr>
        <w:t>监理人不能按时进行验收的，应在验收前</w:t>
      </w:r>
      <w:r>
        <w:rPr>
          <w:rFonts w:ascii="宋体" w:hAnsi="宋体"/>
          <w:color w:val="000000" w:themeColor="text1"/>
          <w:kern w:val="0"/>
          <w:sz w:val="24"/>
          <w:szCs w:val="24"/>
          <w:highlight w:val="none"/>
          <w14:textFill>
            <w14:solidFill>
              <w14:schemeClr w14:val="tx1"/>
            </w14:solidFill>
          </w14:textFill>
        </w:rPr>
        <w:t>24小时向承包人提交书面延期要求，但延期不能超过48小时。监理人未按时进行验收，也未提出延期要求的，承包人有权自行验收，监理人应认可验收结果。分部分项工程未经验收的，不得进入下一道工序施工。</w:t>
      </w:r>
    </w:p>
    <w:p w14:paraId="2726F018">
      <w:pPr>
        <w:spacing w:line="360" w:lineRule="auto"/>
        <w:ind w:firstLine="480" w:firstLineChars="200"/>
        <w:outlineLvl w:val="9"/>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分部分项工程的验收资料应当作为竣工资料的组成部分。</w:t>
      </w:r>
    </w:p>
    <w:p w14:paraId="30DB3E9D">
      <w:pPr>
        <w:spacing w:before="100" w:after="100" w:line="360" w:lineRule="auto"/>
        <w:ind w:firstLine="480" w:firstLineChars="200"/>
        <w:outlineLvl w:val="9"/>
        <w:rPr>
          <w:rFonts w:ascii="宋体" w:hAnsi="宋体"/>
          <w:color w:val="000000" w:themeColor="text1"/>
          <w:sz w:val="24"/>
          <w:szCs w:val="24"/>
          <w:highlight w:val="none"/>
          <w14:textFill>
            <w14:solidFill>
              <w14:schemeClr w14:val="tx1"/>
            </w14:solidFill>
          </w14:textFill>
        </w:rPr>
      </w:pPr>
      <w:bookmarkStart w:id="377" w:name="_Toc351203588"/>
      <w:bookmarkStart w:id="378" w:name="_Toc337558806"/>
      <w:r>
        <w:rPr>
          <w:rFonts w:ascii="宋体" w:hAnsi="宋体"/>
          <w:color w:val="000000" w:themeColor="text1"/>
          <w:sz w:val="24"/>
          <w:szCs w:val="24"/>
          <w:highlight w:val="none"/>
          <w14:textFill>
            <w14:solidFill>
              <w14:schemeClr w14:val="tx1"/>
            </w14:solidFill>
          </w14:textFill>
        </w:rPr>
        <w:t>13.2竣工验收</w:t>
      </w:r>
      <w:bookmarkEnd w:id="377"/>
    </w:p>
    <w:bookmarkEnd w:id="375"/>
    <w:bookmarkEnd w:id="376"/>
    <w:bookmarkEnd w:id="378"/>
    <w:p w14:paraId="07E38649">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13.2.1竣工验收条件</w:t>
      </w:r>
    </w:p>
    <w:p w14:paraId="1137F229">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工程具备以下条件的，承包人可以申请竣工验收：</w:t>
      </w:r>
    </w:p>
    <w:p w14:paraId="726A63A5">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1）除发包人同意的甩项工作和缺陷修补工作外，合同范围内的全部工程以及有关工作，包括合同要求的试验、试运行以及检验均已完成，并符合合同要求；</w:t>
      </w:r>
    </w:p>
    <w:p w14:paraId="51ED295F">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2）已按合同约定编制了甩项工作和缺陷修补工作清单以及相应的施工计划；</w:t>
      </w:r>
    </w:p>
    <w:p w14:paraId="333FB167">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3）已按合同约定的内容和份数备齐竣工资料。</w:t>
      </w:r>
    </w:p>
    <w:p w14:paraId="2E8A270F">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13.2.2竣工验收程序</w:t>
      </w:r>
    </w:p>
    <w:p w14:paraId="34C4C1E3">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除专用合同条款另有约定外，承包人申请竣工验收的，应当按照以下程序进行：</w:t>
      </w:r>
    </w:p>
    <w:p w14:paraId="0CC25D03">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p>
    <w:p w14:paraId="12A45089">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2）监理人审查后认为已具备竣工验收条件的，应将竣工验收申请报告提交发包人，发包人应在收到经监理人审核的竣工验收申请报告后28天内审批完毕并组织监理人、承包人、设计人等相关单位完成竣工验收。</w:t>
      </w:r>
    </w:p>
    <w:p w14:paraId="2E66F3A5">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3）竣工验收合格的，发包人应在验收合格后14天内向承包人签发工程接收证书。发包人无正当理由逾期不颁发工程接收证书的，自验收合格后第15天起视为已颁发工程接收证书。</w:t>
      </w:r>
    </w:p>
    <w:p w14:paraId="2D1B5F3B">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p>
    <w:p w14:paraId="564A5EF3">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5）工程未经验收或验收不合格，发包人擅自使用的，应在转移占有工程后7天内向承包人颁发工程接收证书；发包人无正当理由逾期不颁发工程接收证书的，自转移占有后第15天起视为已颁发工程接收证书。</w:t>
      </w:r>
    </w:p>
    <w:p w14:paraId="6717DDC6">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除专用合同条款另有约定外，发包人不按照本项约定组织竣工验收、颁发工程接收证书的，每逾期一天，应以签约合同价为基数，按照中国人民银行发布的同期同类贷款基准利率支付违约金。</w:t>
      </w:r>
    </w:p>
    <w:p w14:paraId="1644C33D">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13.2.3竣工日期</w:t>
      </w:r>
    </w:p>
    <w:p w14:paraId="02317C11">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工程经竣工验收合格的，以承包人提交竣工验收申请报告之日为实际竣工日期，并在工程接收证书中载明；因发包人原因，未在监理人收到承包人提交的竣工验收申请报告</w:t>
      </w:r>
      <w:r>
        <w:rPr>
          <w:rFonts w:ascii="宋体" w:hAnsi="宋体"/>
          <w:color w:val="000000" w:themeColor="text1"/>
          <w:kern w:val="0"/>
          <w:sz w:val="24"/>
          <w:szCs w:val="24"/>
          <w:highlight w:val="none"/>
          <w14:textFill>
            <w14:solidFill>
              <w14:schemeClr w14:val="tx1"/>
            </w14:solidFill>
          </w14:textFill>
        </w:rPr>
        <w:t>42天内完成竣工验收，或完成竣工验收不予签发工程接收证书的，以提交竣工验收申请报告的日期为实际竣工日期；工程未经竣工验收，发包人擅自使用的，以转移占有工程之日为实际竣工日期。</w:t>
      </w:r>
    </w:p>
    <w:p w14:paraId="68BA871A">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13.2.4 </w:t>
      </w:r>
      <w:r>
        <w:rPr>
          <w:rFonts w:hint="eastAsia" w:ascii="宋体" w:hAnsi="宋体"/>
          <w:color w:val="000000" w:themeColor="text1"/>
          <w:kern w:val="0"/>
          <w:sz w:val="24"/>
          <w:szCs w:val="24"/>
          <w:highlight w:val="none"/>
          <w14:textFill>
            <w14:solidFill>
              <w14:schemeClr w14:val="tx1"/>
            </w14:solidFill>
          </w14:textFill>
        </w:rPr>
        <w:t>拒绝接收全部或部分工程</w:t>
      </w:r>
    </w:p>
    <w:p w14:paraId="11434918">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对于竣工验收不合格的工程，承包人完成整改后，应当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p>
    <w:p w14:paraId="06F4A039">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13.2.5 </w:t>
      </w:r>
      <w:r>
        <w:rPr>
          <w:rFonts w:hint="eastAsia" w:ascii="宋体" w:hAnsi="宋体"/>
          <w:color w:val="000000" w:themeColor="text1"/>
          <w:kern w:val="0"/>
          <w:sz w:val="24"/>
          <w:szCs w:val="24"/>
          <w:highlight w:val="none"/>
          <w14:textFill>
            <w14:solidFill>
              <w14:schemeClr w14:val="tx1"/>
            </w14:solidFill>
          </w14:textFill>
        </w:rPr>
        <w:t>移交、接收全部与部分工程</w:t>
      </w:r>
    </w:p>
    <w:p w14:paraId="5E945C69">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除专用合同条款另有约定外，合同当事人应当在颁发工程接收证书后</w:t>
      </w:r>
      <w:r>
        <w:rPr>
          <w:rFonts w:ascii="宋体" w:hAnsi="宋体"/>
          <w:color w:val="000000" w:themeColor="text1"/>
          <w:kern w:val="0"/>
          <w:sz w:val="24"/>
          <w:szCs w:val="24"/>
          <w:highlight w:val="none"/>
          <w14:textFill>
            <w14:solidFill>
              <w14:schemeClr w14:val="tx1"/>
            </w14:solidFill>
          </w14:textFill>
        </w:rPr>
        <w:t>7天内完成工程的移交。</w:t>
      </w:r>
    </w:p>
    <w:p w14:paraId="46DFC11F">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发包人无正当理由不接收工程的，发包人自应当接收工程之日起，承担工程照管、成品保护、保管等与工程有关的各项费用，合同当事人可以在专用合同条款中另行约定发包人逾期接收工程的违约责任。</w:t>
      </w:r>
    </w:p>
    <w:p w14:paraId="01CED3CC">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承包人无正当理由不移交工程的，承包人应承担工程照管、成品保护、保管等与工程有关的各项费用，合同当事人可以在专用合同条款中另行约定承包人无正当理由不移交工程的违约责任。</w:t>
      </w:r>
    </w:p>
    <w:p w14:paraId="0ADF8C0E">
      <w:pPr>
        <w:spacing w:before="100" w:after="100" w:line="360" w:lineRule="auto"/>
        <w:ind w:firstLine="480" w:firstLineChars="200"/>
        <w:outlineLvl w:val="9"/>
        <w:rPr>
          <w:rFonts w:ascii="宋体" w:hAnsi="宋体"/>
          <w:color w:val="000000" w:themeColor="text1"/>
          <w:sz w:val="24"/>
          <w:szCs w:val="24"/>
          <w:highlight w:val="none"/>
          <w14:textFill>
            <w14:solidFill>
              <w14:schemeClr w14:val="tx1"/>
            </w14:solidFill>
          </w14:textFill>
        </w:rPr>
      </w:pPr>
      <w:bookmarkStart w:id="379" w:name="_Toc351203589"/>
      <w:bookmarkStart w:id="380" w:name="_Toc296346612"/>
      <w:bookmarkStart w:id="381" w:name="_Toc296503111"/>
      <w:bookmarkStart w:id="382" w:name="_Toc337558807"/>
      <w:r>
        <w:rPr>
          <w:rFonts w:ascii="宋体" w:hAnsi="宋体"/>
          <w:color w:val="000000" w:themeColor="text1"/>
          <w:sz w:val="24"/>
          <w:szCs w:val="24"/>
          <w:highlight w:val="none"/>
          <w14:textFill>
            <w14:solidFill>
              <w14:schemeClr w14:val="tx1"/>
            </w14:solidFill>
          </w14:textFill>
        </w:rPr>
        <w:t>13.3工程试车</w:t>
      </w:r>
      <w:bookmarkEnd w:id="379"/>
    </w:p>
    <w:bookmarkEnd w:id="380"/>
    <w:bookmarkEnd w:id="381"/>
    <w:bookmarkEnd w:id="382"/>
    <w:p w14:paraId="3553E109">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13.3.1试车程序</w:t>
      </w:r>
    </w:p>
    <w:p w14:paraId="1A124AAF">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工程需要试车的，除专用合同条款另有约定外，试车内容应与承包人承包范围相一致，试车费用由承包人承担。工程试车应按如下程序进行：</w:t>
      </w:r>
    </w:p>
    <w:p w14:paraId="329B8396">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p>
    <w:p w14:paraId="7610AAED">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监理人不能按时参加试车，应在试车前</w:t>
      </w:r>
      <w:r>
        <w:rPr>
          <w:rFonts w:ascii="宋体" w:hAnsi="宋体"/>
          <w:color w:val="000000" w:themeColor="text1"/>
          <w:kern w:val="0"/>
          <w:sz w:val="24"/>
          <w:szCs w:val="24"/>
          <w:highlight w:val="none"/>
          <w14:textFill>
            <w14:solidFill>
              <w14:schemeClr w14:val="tx1"/>
            </w14:solidFill>
          </w14:textFill>
        </w:rPr>
        <w:t>24小时以书面形式向承包人提出延期要求，但延期不能超过48小时，由此导致工期延误的，工期应予以顺延。监理人未能在前述期限内提出延期要求，又不参加试车的，视为认可试车记录。</w:t>
      </w:r>
    </w:p>
    <w:p w14:paraId="1F207A46">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p>
    <w:p w14:paraId="4A0CA304">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13.3.2 </w:t>
      </w:r>
      <w:r>
        <w:rPr>
          <w:rFonts w:hint="eastAsia" w:ascii="宋体" w:hAnsi="宋体"/>
          <w:color w:val="000000" w:themeColor="text1"/>
          <w:kern w:val="0"/>
          <w:sz w:val="24"/>
          <w:szCs w:val="24"/>
          <w:highlight w:val="none"/>
          <w14:textFill>
            <w14:solidFill>
              <w14:schemeClr w14:val="tx1"/>
            </w14:solidFill>
          </w14:textFill>
        </w:rPr>
        <w:t>试车中的责任</w:t>
      </w:r>
    </w:p>
    <w:p w14:paraId="59FC5ABB">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p>
    <w:p w14:paraId="04B244C5">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p>
    <w:p w14:paraId="23F14DAB">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13.3.3 </w:t>
      </w:r>
      <w:r>
        <w:rPr>
          <w:rFonts w:hint="eastAsia" w:ascii="宋体" w:hAnsi="宋体"/>
          <w:color w:val="000000" w:themeColor="text1"/>
          <w:kern w:val="0"/>
          <w:sz w:val="24"/>
          <w:szCs w:val="24"/>
          <w:highlight w:val="none"/>
          <w14:textFill>
            <w14:solidFill>
              <w14:schemeClr w14:val="tx1"/>
            </w14:solidFill>
          </w14:textFill>
        </w:rPr>
        <w:t>投料试车</w:t>
      </w:r>
    </w:p>
    <w:p w14:paraId="4C25B8F1">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如需进行投料试车的，发包人应在工程竣工验收后组织投料试车。发包人要求在工程竣工验收前进行或需要承包人配合时，应征得承包人同意，并在专用合同条款中约定有关事项。</w:t>
      </w:r>
    </w:p>
    <w:p w14:paraId="1CF53DF0">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投料试车合格的，费用由发包人承担；因承包人原因造成投料试车不合格的，承包人应按照发包人要求进行整改，由此产生的整改费用由承包人承担；非因承包人原因导致投料试车不合格的，如发包人要求承包人进行整改的，由此产生的费用由发包人承担。</w:t>
      </w:r>
    </w:p>
    <w:p w14:paraId="35CA10C1">
      <w:pPr>
        <w:spacing w:before="100" w:after="100" w:line="360" w:lineRule="auto"/>
        <w:ind w:firstLine="480" w:firstLineChars="200"/>
        <w:outlineLvl w:val="9"/>
        <w:rPr>
          <w:rFonts w:ascii="宋体" w:hAnsi="宋体"/>
          <w:color w:val="000000" w:themeColor="text1"/>
          <w:sz w:val="24"/>
          <w:szCs w:val="24"/>
          <w:highlight w:val="none"/>
          <w14:textFill>
            <w14:solidFill>
              <w14:schemeClr w14:val="tx1"/>
            </w14:solidFill>
          </w14:textFill>
        </w:rPr>
      </w:pPr>
      <w:bookmarkStart w:id="383" w:name="_Toc351203590"/>
      <w:bookmarkStart w:id="384" w:name="_Toc337558808"/>
      <w:r>
        <w:rPr>
          <w:rFonts w:ascii="宋体" w:hAnsi="宋体"/>
          <w:color w:val="000000" w:themeColor="text1"/>
          <w:sz w:val="24"/>
          <w:szCs w:val="24"/>
          <w:highlight w:val="none"/>
          <w14:textFill>
            <w14:solidFill>
              <w14:schemeClr w14:val="tx1"/>
            </w14:solidFill>
          </w14:textFill>
        </w:rPr>
        <w:t>13.4提前交付单位工程的验收</w:t>
      </w:r>
      <w:bookmarkEnd w:id="383"/>
    </w:p>
    <w:bookmarkEnd w:id="384"/>
    <w:p w14:paraId="1EFB1E62">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13.4.1 </w:t>
      </w:r>
      <w:r>
        <w:rPr>
          <w:rFonts w:hint="eastAsia" w:ascii="宋体" w:hAnsi="宋体"/>
          <w:color w:val="000000" w:themeColor="text1"/>
          <w:kern w:val="0"/>
          <w:sz w:val="24"/>
          <w:szCs w:val="24"/>
          <w:highlight w:val="none"/>
          <w14:textFill>
            <w14:solidFill>
              <w14:schemeClr w14:val="tx1"/>
            </w14:solidFill>
          </w14:textFill>
        </w:rPr>
        <w:t>发包人需要在工程竣工前使用单位工程的，或承包人提出提前交付已经竣工的单位工程且经发包人同意的，可进行单位工程验收，验收的程序按照第</w:t>
      </w:r>
      <w:r>
        <w:rPr>
          <w:rFonts w:ascii="宋体" w:hAnsi="宋体"/>
          <w:color w:val="000000" w:themeColor="text1"/>
          <w:kern w:val="0"/>
          <w:sz w:val="24"/>
          <w:szCs w:val="24"/>
          <w:highlight w:val="none"/>
          <w14:textFill>
            <w14:solidFill>
              <w14:schemeClr w14:val="tx1"/>
            </w14:solidFill>
          </w14:textFill>
        </w:rPr>
        <w:t>13.2款〔竣工验收〕的约定进行。</w:t>
      </w:r>
    </w:p>
    <w:p w14:paraId="714B7D22">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验收合格后，由监理人向承包人出具经发包人签认的单位工程接收证书。已签发单位工程接收证书的单位工程由发包人负责照管。单位工程的验收成果和结论作为整体工程竣工验收申请报告的附件。</w:t>
      </w:r>
    </w:p>
    <w:p w14:paraId="08E8DEB4">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13.4.2 </w:t>
      </w:r>
      <w:r>
        <w:rPr>
          <w:rFonts w:hint="eastAsia" w:ascii="宋体" w:hAnsi="宋体"/>
          <w:color w:val="000000" w:themeColor="text1"/>
          <w:kern w:val="0"/>
          <w:sz w:val="24"/>
          <w:szCs w:val="24"/>
          <w:highlight w:val="none"/>
          <w14:textFill>
            <w14:solidFill>
              <w14:schemeClr w14:val="tx1"/>
            </w14:solidFill>
          </w14:textFill>
        </w:rPr>
        <w:t>发包人要求在工程竣工前交付单位工程，由此导致承包人费用增加和（或）工期延误的，由发包人承担由此增加的费用和（或）延误的工期，并支付承包人合理的利润。</w:t>
      </w:r>
    </w:p>
    <w:p w14:paraId="0AB11C69">
      <w:pPr>
        <w:spacing w:before="100" w:after="100" w:line="360" w:lineRule="auto"/>
        <w:ind w:firstLine="480" w:firstLineChars="200"/>
        <w:outlineLvl w:val="9"/>
        <w:rPr>
          <w:rFonts w:ascii="宋体" w:hAnsi="宋体"/>
          <w:color w:val="000000" w:themeColor="text1"/>
          <w:sz w:val="24"/>
          <w:szCs w:val="24"/>
          <w:highlight w:val="none"/>
          <w14:textFill>
            <w14:solidFill>
              <w14:schemeClr w14:val="tx1"/>
            </w14:solidFill>
          </w14:textFill>
        </w:rPr>
      </w:pPr>
      <w:bookmarkStart w:id="385" w:name="_Toc351203591"/>
      <w:r>
        <w:rPr>
          <w:rFonts w:ascii="宋体" w:hAnsi="宋体"/>
          <w:color w:val="000000" w:themeColor="text1"/>
          <w:sz w:val="24"/>
          <w:szCs w:val="24"/>
          <w:highlight w:val="none"/>
          <w14:textFill>
            <w14:solidFill>
              <w14:schemeClr w14:val="tx1"/>
            </w14:solidFill>
          </w14:textFill>
        </w:rPr>
        <w:t xml:space="preserve">13.5 </w:t>
      </w:r>
      <w:r>
        <w:rPr>
          <w:rFonts w:hint="eastAsia" w:ascii="宋体" w:hAnsi="宋体"/>
          <w:color w:val="000000" w:themeColor="text1"/>
          <w:sz w:val="24"/>
          <w:szCs w:val="24"/>
          <w:highlight w:val="none"/>
          <w14:textFill>
            <w14:solidFill>
              <w14:schemeClr w14:val="tx1"/>
            </w14:solidFill>
          </w14:textFill>
        </w:rPr>
        <w:t>施工期运行</w:t>
      </w:r>
      <w:bookmarkEnd w:id="385"/>
    </w:p>
    <w:p w14:paraId="4B87DDCF">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13.5.1 </w:t>
      </w:r>
      <w:r>
        <w:rPr>
          <w:rFonts w:hint="eastAsia" w:ascii="宋体" w:hAnsi="宋体"/>
          <w:color w:val="000000" w:themeColor="text1"/>
          <w:kern w:val="0"/>
          <w:sz w:val="24"/>
          <w:szCs w:val="24"/>
          <w:highlight w:val="none"/>
          <w14:textFill>
            <w14:solidFill>
              <w14:schemeClr w14:val="tx1"/>
            </w14:solidFill>
          </w14:textFill>
        </w:rPr>
        <w:t>施工期运行是指合同工程尚未全部竣工，其中某项或某几项单位工程或工程设备安装已竣工，根据专用合同条款约定，需要投入施工期运行的，经发包人按第</w:t>
      </w:r>
      <w:r>
        <w:rPr>
          <w:rFonts w:ascii="宋体" w:hAnsi="宋体"/>
          <w:color w:val="000000" w:themeColor="text1"/>
          <w:kern w:val="0"/>
          <w:sz w:val="24"/>
          <w:szCs w:val="24"/>
          <w:highlight w:val="none"/>
          <w14:textFill>
            <w14:solidFill>
              <w14:schemeClr w14:val="tx1"/>
            </w14:solidFill>
          </w14:textFill>
        </w:rPr>
        <w:t>13.4款〔提前交付单位工程的验收〕的约定验收合格，证明能确保安全后，才能在施工期投入运行。</w:t>
      </w:r>
    </w:p>
    <w:p w14:paraId="1E8D6670">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13.5.2 </w:t>
      </w:r>
      <w:r>
        <w:rPr>
          <w:rFonts w:hint="eastAsia" w:ascii="宋体" w:hAnsi="宋体"/>
          <w:color w:val="000000" w:themeColor="text1"/>
          <w:kern w:val="0"/>
          <w:sz w:val="24"/>
          <w:szCs w:val="24"/>
          <w:highlight w:val="none"/>
          <w14:textFill>
            <w14:solidFill>
              <w14:schemeClr w14:val="tx1"/>
            </w14:solidFill>
          </w14:textFill>
        </w:rPr>
        <w:t>在施工期运行中发现工程或工程设备损坏或存在缺陷的，由承包人按第</w:t>
      </w:r>
      <w:r>
        <w:rPr>
          <w:rFonts w:ascii="宋体" w:hAnsi="宋体"/>
          <w:color w:val="000000" w:themeColor="text1"/>
          <w:kern w:val="0"/>
          <w:sz w:val="24"/>
          <w:szCs w:val="24"/>
          <w:highlight w:val="none"/>
          <w14:textFill>
            <w14:solidFill>
              <w14:schemeClr w14:val="tx1"/>
            </w14:solidFill>
          </w14:textFill>
        </w:rPr>
        <w:t>15.2款〔缺陷责任期〕约定进行修复。</w:t>
      </w:r>
    </w:p>
    <w:p w14:paraId="10178083">
      <w:pPr>
        <w:spacing w:before="100" w:after="100" w:line="360" w:lineRule="auto"/>
        <w:ind w:firstLine="480" w:firstLineChars="200"/>
        <w:outlineLvl w:val="9"/>
        <w:rPr>
          <w:rFonts w:ascii="宋体" w:hAnsi="宋体"/>
          <w:color w:val="000000" w:themeColor="text1"/>
          <w:sz w:val="24"/>
          <w:szCs w:val="24"/>
          <w:highlight w:val="none"/>
          <w14:textFill>
            <w14:solidFill>
              <w14:schemeClr w14:val="tx1"/>
            </w14:solidFill>
          </w14:textFill>
        </w:rPr>
      </w:pPr>
      <w:bookmarkStart w:id="386" w:name="_Toc296503112"/>
      <w:bookmarkStart w:id="387" w:name="_Toc296346613"/>
      <w:bookmarkStart w:id="388" w:name="_Toc351203592"/>
      <w:bookmarkStart w:id="389" w:name="_Toc337558809"/>
      <w:r>
        <w:rPr>
          <w:rFonts w:ascii="宋体" w:hAnsi="宋体"/>
          <w:color w:val="000000" w:themeColor="text1"/>
          <w:sz w:val="24"/>
          <w:szCs w:val="24"/>
          <w:highlight w:val="none"/>
          <w14:textFill>
            <w14:solidFill>
              <w14:schemeClr w14:val="tx1"/>
            </w14:solidFill>
          </w14:textFill>
        </w:rPr>
        <w:t xml:space="preserve">13.6 </w:t>
      </w:r>
      <w:r>
        <w:rPr>
          <w:rFonts w:hint="eastAsia" w:ascii="宋体" w:hAnsi="宋体"/>
          <w:color w:val="000000" w:themeColor="text1"/>
          <w:sz w:val="24"/>
          <w:szCs w:val="24"/>
          <w:highlight w:val="none"/>
          <w14:textFill>
            <w14:solidFill>
              <w14:schemeClr w14:val="tx1"/>
            </w14:solidFill>
          </w14:textFill>
        </w:rPr>
        <w:t>竣工退</w:t>
      </w:r>
      <w:bookmarkEnd w:id="386"/>
      <w:bookmarkEnd w:id="387"/>
      <w:r>
        <w:rPr>
          <w:rFonts w:hint="eastAsia" w:ascii="宋体" w:hAnsi="宋体"/>
          <w:color w:val="000000" w:themeColor="text1"/>
          <w:sz w:val="24"/>
          <w:szCs w:val="24"/>
          <w:highlight w:val="none"/>
          <w14:textFill>
            <w14:solidFill>
              <w14:schemeClr w14:val="tx1"/>
            </w14:solidFill>
          </w14:textFill>
        </w:rPr>
        <w:t>场</w:t>
      </w:r>
      <w:bookmarkEnd w:id="388"/>
    </w:p>
    <w:bookmarkEnd w:id="389"/>
    <w:p w14:paraId="78611635">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13.6.1 </w:t>
      </w:r>
      <w:r>
        <w:rPr>
          <w:rFonts w:hint="eastAsia" w:ascii="宋体" w:hAnsi="宋体"/>
          <w:color w:val="000000" w:themeColor="text1"/>
          <w:kern w:val="0"/>
          <w:sz w:val="24"/>
          <w:szCs w:val="24"/>
          <w:highlight w:val="none"/>
          <w14:textFill>
            <w14:solidFill>
              <w14:schemeClr w14:val="tx1"/>
            </w14:solidFill>
          </w14:textFill>
        </w:rPr>
        <w:t>竣工退场</w:t>
      </w:r>
    </w:p>
    <w:p w14:paraId="3F553999">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颁发工程接收证书后，承包人应按以下要求对施工现场进行清理：</w:t>
      </w:r>
    </w:p>
    <w:p w14:paraId="5EDE7613">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1）施工现场内残留的垃圾已全部清除出场；</w:t>
      </w:r>
    </w:p>
    <w:p w14:paraId="29E4C38E">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2）临时工程已拆除，场地已进行清理、平整或复原；</w:t>
      </w:r>
    </w:p>
    <w:p w14:paraId="3A45B7CB">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3）按合同约定应撤离的人员、承包人施工设备和剩余的材料，包括废弃的施工设备和材料，已按计划撤离施工现场；</w:t>
      </w:r>
    </w:p>
    <w:p w14:paraId="13C765D6">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4）施工现场周边及其附近道路、河道的施工堆积物，已全部清理；</w:t>
      </w:r>
    </w:p>
    <w:p w14:paraId="0A24B3F0">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5）施工现场其他场地清理工作已全部完成。</w:t>
      </w:r>
    </w:p>
    <w:p w14:paraId="45C5BA97">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p>
    <w:p w14:paraId="23360416">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13.6.2 </w:t>
      </w:r>
      <w:r>
        <w:rPr>
          <w:rFonts w:hint="eastAsia" w:ascii="宋体" w:hAnsi="宋体"/>
          <w:color w:val="000000" w:themeColor="text1"/>
          <w:kern w:val="0"/>
          <w:sz w:val="24"/>
          <w:szCs w:val="24"/>
          <w:highlight w:val="none"/>
          <w14:textFill>
            <w14:solidFill>
              <w14:schemeClr w14:val="tx1"/>
            </w14:solidFill>
          </w14:textFill>
        </w:rPr>
        <w:t>地表还原</w:t>
      </w:r>
    </w:p>
    <w:p w14:paraId="1B23F500">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承包人应按发包人要求恢复临时占地及清理场地，承包人未按发包人的要求恢复临时占地，或者场地清理未达到合同约定要求的，发包人有权委托其他人恢复或清理，所发生的费用由承包人承担。</w:t>
      </w:r>
    </w:p>
    <w:p w14:paraId="365C8CA8">
      <w:pPr>
        <w:spacing w:line="360" w:lineRule="auto"/>
        <w:ind w:firstLine="480" w:firstLineChars="200"/>
        <w:outlineLvl w:val="9"/>
        <w:rPr>
          <w:rFonts w:ascii="宋体" w:hAnsi="宋体" w:eastAsia="宋体"/>
          <w:b w:val="0"/>
          <w:color w:val="000000" w:themeColor="text1"/>
          <w:sz w:val="24"/>
          <w:szCs w:val="24"/>
          <w:highlight w:val="none"/>
          <w14:textFill>
            <w14:solidFill>
              <w14:schemeClr w14:val="tx1"/>
            </w14:solidFill>
          </w14:textFill>
        </w:rPr>
      </w:pPr>
      <w:bookmarkStart w:id="390" w:name="_Toc351203593"/>
      <w:bookmarkStart w:id="391" w:name="_Toc337558810"/>
      <w:bookmarkStart w:id="392" w:name="_Toc296346614"/>
      <w:bookmarkStart w:id="393" w:name="_Toc296503113"/>
      <w:r>
        <w:rPr>
          <w:rFonts w:ascii="宋体" w:hAnsi="宋体" w:eastAsia="宋体"/>
          <w:b w:val="0"/>
          <w:color w:val="000000" w:themeColor="text1"/>
          <w:sz w:val="24"/>
          <w:szCs w:val="24"/>
          <w:highlight w:val="none"/>
          <w14:textFill>
            <w14:solidFill>
              <w14:schemeClr w14:val="tx1"/>
            </w14:solidFill>
          </w14:textFill>
        </w:rPr>
        <w:t xml:space="preserve">14. </w:t>
      </w:r>
      <w:r>
        <w:rPr>
          <w:rFonts w:hint="eastAsia" w:ascii="宋体" w:hAnsi="宋体" w:eastAsia="宋体"/>
          <w:b w:val="0"/>
          <w:color w:val="000000" w:themeColor="text1"/>
          <w:sz w:val="24"/>
          <w:szCs w:val="24"/>
          <w:highlight w:val="none"/>
          <w14:textFill>
            <w14:solidFill>
              <w14:schemeClr w14:val="tx1"/>
            </w14:solidFill>
          </w14:textFill>
        </w:rPr>
        <w:t>竣工结算</w:t>
      </w:r>
      <w:bookmarkEnd w:id="390"/>
    </w:p>
    <w:bookmarkEnd w:id="391"/>
    <w:p w14:paraId="051E8696">
      <w:pPr>
        <w:spacing w:before="100" w:after="100" w:line="360" w:lineRule="auto"/>
        <w:ind w:firstLine="480" w:firstLineChars="200"/>
        <w:outlineLvl w:val="9"/>
        <w:rPr>
          <w:rFonts w:ascii="宋体" w:hAnsi="宋体"/>
          <w:color w:val="000000" w:themeColor="text1"/>
          <w:sz w:val="24"/>
          <w:szCs w:val="24"/>
          <w:highlight w:val="none"/>
          <w14:textFill>
            <w14:solidFill>
              <w14:schemeClr w14:val="tx1"/>
            </w14:solidFill>
          </w14:textFill>
        </w:rPr>
      </w:pPr>
      <w:bookmarkStart w:id="394" w:name="_Toc351203594"/>
      <w:bookmarkStart w:id="395" w:name="_Toc337558811"/>
      <w:r>
        <w:rPr>
          <w:rFonts w:ascii="宋体" w:hAnsi="宋体"/>
          <w:color w:val="000000" w:themeColor="text1"/>
          <w:sz w:val="24"/>
          <w:szCs w:val="24"/>
          <w:highlight w:val="none"/>
          <w14:textFill>
            <w14:solidFill>
              <w14:schemeClr w14:val="tx1"/>
            </w14:solidFill>
          </w14:textFill>
        </w:rPr>
        <w:t xml:space="preserve">14.1 </w:t>
      </w:r>
      <w:r>
        <w:rPr>
          <w:rFonts w:hint="eastAsia" w:ascii="宋体" w:hAnsi="宋体"/>
          <w:color w:val="000000" w:themeColor="text1"/>
          <w:sz w:val="24"/>
          <w:szCs w:val="24"/>
          <w:highlight w:val="none"/>
          <w14:textFill>
            <w14:solidFill>
              <w14:schemeClr w14:val="tx1"/>
            </w14:solidFill>
          </w14:textFill>
        </w:rPr>
        <w:t>竣工结算申请</w:t>
      </w:r>
      <w:bookmarkEnd w:id="394"/>
    </w:p>
    <w:bookmarkEnd w:id="395"/>
    <w:p w14:paraId="6CD4FFDA">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除专用合同条款另有约定外，承包人应在工程竣工验收合格后</w:t>
      </w:r>
      <w:r>
        <w:rPr>
          <w:rFonts w:ascii="宋体" w:hAnsi="宋体"/>
          <w:color w:val="000000" w:themeColor="text1"/>
          <w:kern w:val="0"/>
          <w:sz w:val="24"/>
          <w:szCs w:val="24"/>
          <w:highlight w:val="none"/>
          <w14:textFill>
            <w14:solidFill>
              <w14:schemeClr w14:val="tx1"/>
            </w14:solidFill>
          </w14:textFill>
        </w:rPr>
        <w:t>28天内向发包人和监理人提交竣工结算申请单，并提交完整的结算资料，有关竣工结算申请单的资料清单和份数等要求由合同当事人在专用合同条款中约定。</w:t>
      </w:r>
    </w:p>
    <w:p w14:paraId="7FA3B88C">
      <w:pPr>
        <w:autoSpaceDE w:val="0"/>
        <w:autoSpaceDN w:val="0"/>
        <w:adjustRightInd w:val="0"/>
        <w:spacing w:line="360" w:lineRule="auto"/>
        <w:ind w:firstLine="480" w:firstLineChars="200"/>
        <w:jc w:val="left"/>
        <w:outlineLvl w:val="9"/>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除专用合同条款另有约定外，竣工结算申请单应包括以下内容：</w:t>
      </w:r>
    </w:p>
    <w:p w14:paraId="6077A446">
      <w:pPr>
        <w:autoSpaceDE w:val="0"/>
        <w:autoSpaceDN w:val="0"/>
        <w:adjustRightInd w:val="0"/>
        <w:spacing w:line="360" w:lineRule="auto"/>
        <w:ind w:firstLine="480" w:firstLineChars="200"/>
        <w:jc w:val="left"/>
        <w:outlineLvl w:val="9"/>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w:t>
      </w:r>
      <w:r>
        <w:rPr>
          <w:rFonts w:ascii="宋体" w:hAnsi="宋体"/>
          <w:color w:val="000000" w:themeColor="text1"/>
          <w:sz w:val="24"/>
          <w:szCs w:val="24"/>
          <w:highlight w:val="none"/>
          <w14:textFill>
            <w14:solidFill>
              <w14:schemeClr w14:val="tx1"/>
            </w14:solidFill>
          </w14:textFill>
        </w:rPr>
        <w:t>1）竣工结算合同价格；</w:t>
      </w:r>
    </w:p>
    <w:p w14:paraId="2FEACA01">
      <w:pPr>
        <w:autoSpaceDE w:val="0"/>
        <w:autoSpaceDN w:val="0"/>
        <w:adjustRightInd w:val="0"/>
        <w:spacing w:line="360" w:lineRule="auto"/>
        <w:ind w:firstLine="480" w:firstLineChars="200"/>
        <w:jc w:val="left"/>
        <w:outlineLvl w:val="9"/>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w:t>
      </w:r>
      <w:r>
        <w:rPr>
          <w:rFonts w:ascii="宋体" w:hAnsi="宋体"/>
          <w:color w:val="000000" w:themeColor="text1"/>
          <w:sz w:val="24"/>
          <w:szCs w:val="24"/>
          <w:highlight w:val="none"/>
          <w14:textFill>
            <w14:solidFill>
              <w14:schemeClr w14:val="tx1"/>
            </w14:solidFill>
          </w14:textFill>
        </w:rPr>
        <w:t>2）发包人已支付承包人的款项；</w:t>
      </w:r>
    </w:p>
    <w:p w14:paraId="5E7A806A">
      <w:pPr>
        <w:autoSpaceDE w:val="0"/>
        <w:autoSpaceDN w:val="0"/>
        <w:adjustRightInd w:val="0"/>
        <w:spacing w:line="360" w:lineRule="auto"/>
        <w:ind w:firstLine="480" w:firstLineChars="200"/>
        <w:jc w:val="left"/>
        <w:outlineLvl w:val="9"/>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w:t>
      </w:r>
      <w:r>
        <w:rPr>
          <w:rFonts w:ascii="宋体" w:hAnsi="宋体"/>
          <w:color w:val="000000" w:themeColor="text1"/>
          <w:sz w:val="24"/>
          <w:szCs w:val="24"/>
          <w:highlight w:val="none"/>
          <w14:textFill>
            <w14:solidFill>
              <w14:schemeClr w14:val="tx1"/>
            </w14:solidFill>
          </w14:textFill>
        </w:rPr>
        <w:t xml:space="preserve">3）应扣留的质量保证金。已缴纳履约保证金的或提供其他工程质量担保方式的除外； </w:t>
      </w:r>
    </w:p>
    <w:p w14:paraId="3EBB04BF">
      <w:pPr>
        <w:autoSpaceDE w:val="0"/>
        <w:autoSpaceDN w:val="0"/>
        <w:adjustRightInd w:val="0"/>
        <w:spacing w:line="360" w:lineRule="auto"/>
        <w:ind w:firstLine="480" w:firstLineChars="200"/>
        <w:jc w:val="left"/>
        <w:outlineLvl w:val="9"/>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w:t>
      </w:r>
      <w:r>
        <w:rPr>
          <w:rFonts w:ascii="宋体" w:hAnsi="宋体"/>
          <w:color w:val="000000" w:themeColor="text1"/>
          <w:sz w:val="24"/>
          <w:szCs w:val="24"/>
          <w:highlight w:val="none"/>
          <w14:textFill>
            <w14:solidFill>
              <w14:schemeClr w14:val="tx1"/>
            </w14:solidFill>
          </w14:textFill>
        </w:rPr>
        <w:t>4）发包人应支付承包人的合同价款。</w:t>
      </w:r>
    </w:p>
    <w:p w14:paraId="0B4C1ACC">
      <w:pPr>
        <w:spacing w:before="100" w:after="100" w:line="360" w:lineRule="auto"/>
        <w:ind w:firstLine="480" w:firstLineChars="200"/>
        <w:outlineLvl w:val="9"/>
        <w:rPr>
          <w:rFonts w:ascii="宋体" w:hAnsi="宋体"/>
          <w:color w:val="000000" w:themeColor="text1"/>
          <w:sz w:val="24"/>
          <w:szCs w:val="24"/>
          <w:highlight w:val="none"/>
          <w14:textFill>
            <w14:solidFill>
              <w14:schemeClr w14:val="tx1"/>
            </w14:solidFill>
          </w14:textFill>
        </w:rPr>
      </w:pPr>
      <w:bookmarkStart w:id="396" w:name="_Toc351203595"/>
      <w:bookmarkStart w:id="397" w:name="_Toc337558812"/>
      <w:r>
        <w:rPr>
          <w:rFonts w:ascii="宋体" w:hAnsi="宋体"/>
          <w:color w:val="000000" w:themeColor="text1"/>
          <w:sz w:val="24"/>
          <w:szCs w:val="24"/>
          <w:highlight w:val="none"/>
          <w14:textFill>
            <w14:solidFill>
              <w14:schemeClr w14:val="tx1"/>
            </w14:solidFill>
          </w14:textFill>
        </w:rPr>
        <w:t xml:space="preserve">14.2 </w:t>
      </w:r>
      <w:r>
        <w:rPr>
          <w:rFonts w:hint="eastAsia" w:ascii="宋体" w:hAnsi="宋体"/>
          <w:color w:val="000000" w:themeColor="text1"/>
          <w:sz w:val="24"/>
          <w:szCs w:val="24"/>
          <w:highlight w:val="none"/>
          <w14:textFill>
            <w14:solidFill>
              <w14:schemeClr w14:val="tx1"/>
            </w14:solidFill>
          </w14:textFill>
        </w:rPr>
        <w:t>竣工结算审核</w:t>
      </w:r>
      <w:bookmarkEnd w:id="396"/>
    </w:p>
    <w:bookmarkEnd w:id="397"/>
    <w:p w14:paraId="1378D746">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除专用合同条款另有约定外，监理人应在收到竣工结算申请单后14天内完成核查并报送发包人。发包人应在收到监理人提交的经审核的竣工结算申请单后14天内完成审批，并由监理人向承包人签发经发包人签认的竣工付款证书。监理人或发包人对竣工结算申请单有异议的，有权要求承包人进行修正和提供补充资料，承包人应提交修正后的竣工结算申请单。</w:t>
      </w:r>
    </w:p>
    <w:p w14:paraId="6BC593D3">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发包人在收到承包人提交竣工结算申请书后</w:t>
      </w:r>
      <w:r>
        <w:rPr>
          <w:rFonts w:ascii="宋体" w:hAnsi="宋体"/>
          <w:color w:val="000000" w:themeColor="text1"/>
          <w:kern w:val="0"/>
          <w:sz w:val="24"/>
          <w:szCs w:val="24"/>
          <w:highlight w:val="none"/>
          <w14:textFill>
            <w14:solidFill>
              <w14:schemeClr w14:val="tx1"/>
            </w14:solidFill>
          </w14:textFill>
        </w:rPr>
        <w:t>28天内未完成审批且未提出异议的，视为发包人认可承包人提交的竣工结算申请单，并自发包人收到承包人提交的竣工结算申请单后第29天起视为已签发竣工付款证书。</w:t>
      </w:r>
    </w:p>
    <w:p w14:paraId="21A71C12">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 xml:space="preserve">2）除专用合同条款另有约定外，发包人应在签发竣工付款证书后的14 </w:t>
      </w:r>
      <w:r>
        <w:rPr>
          <w:rFonts w:hint="eastAsia" w:ascii="宋体" w:hAnsi="宋体"/>
          <w:color w:val="000000" w:themeColor="text1"/>
          <w:kern w:val="0"/>
          <w:sz w:val="24"/>
          <w:szCs w:val="24"/>
          <w:highlight w:val="none"/>
          <w14:textFill>
            <w14:solidFill>
              <w14:schemeClr w14:val="tx1"/>
            </w14:solidFill>
          </w14:textFill>
        </w:rPr>
        <w:t>天内，完成对承包人的竣工付款。发包人逾期支付的，按照中国人民银行发布的同期同类贷款基准利率支付违约金；逾期支付超过</w:t>
      </w:r>
      <w:r>
        <w:rPr>
          <w:rFonts w:ascii="宋体" w:hAnsi="宋体"/>
          <w:color w:val="000000" w:themeColor="text1"/>
          <w:kern w:val="0"/>
          <w:sz w:val="24"/>
          <w:szCs w:val="24"/>
          <w:highlight w:val="none"/>
          <w14:textFill>
            <w14:solidFill>
              <w14:schemeClr w14:val="tx1"/>
            </w14:solidFill>
          </w14:textFill>
        </w:rPr>
        <w:t>56天的，按照中国人民银行发布的同期同类贷款基准利率的两倍支付违约金。</w:t>
      </w:r>
    </w:p>
    <w:p w14:paraId="623FA8DD">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承包人对发包人签认的竣工付款证书有异议的，对于有异议部分应在收到发包人签认的竣工付款证书后7天内提出异议，并由合同当事人按照专用合同条款约定的方式和程序进行复核，或按照第20条〔争议解决〕约定处理。对于无异议部分，发包人应签发临时竣</w:t>
      </w:r>
      <w:r>
        <w:rPr>
          <w:rFonts w:hint="eastAsia" w:ascii="宋体" w:hAnsi="宋体"/>
          <w:color w:val="000000" w:themeColor="text1"/>
          <w:kern w:val="0"/>
          <w:sz w:val="24"/>
          <w:szCs w:val="24"/>
          <w:highlight w:val="none"/>
          <w14:textFill>
            <w14:solidFill>
              <w14:schemeClr w14:val="tx1"/>
            </w14:solidFill>
          </w14:textFill>
        </w:rPr>
        <w:t>工付款证书，并按本款第（</w:t>
      </w:r>
      <w:r>
        <w:rPr>
          <w:rFonts w:ascii="宋体" w:hAnsi="宋体"/>
          <w:color w:val="000000" w:themeColor="text1"/>
          <w:kern w:val="0"/>
          <w:sz w:val="24"/>
          <w:szCs w:val="24"/>
          <w:highlight w:val="none"/>
          <w14:textFill>
            <w14:solidFill>
              <w14:schemeClr w14:val="tx1"/>
            </w14:solidFill>
          </w14:textFill>
        </w:rPr>
        <w:t>2）项完成付款。承包人逾期未提出异议的，视为认可发包人的审批结果。</w:t>
      </w:r>
    </w:p>
    <w:p w14:paraId="5F7A21E8">
      <w:pPr>
        <w:spacing w:before="100" w:after="100" w:line="360" w:lineRule="auto"/>
        <w:ind w:firstLine="480" w:firstLineChars="200"/>
        <w:outlineLvl w:val="9"/>
        <w:rPr>
          <w:rFonts w:ascii="宋体" w:hAnsi="宋体"/>
          <w:color w:val="000000" w:themeColor="text1"/>
          <w:sz w:val="24"/>
          <w:szCs w:val="24"/>
          <w:highlight w:val="none"/>
          <w14:textFill>
            <w14:solidFill>
              <w14:schemeClr w14:val="tx1"/>
            </w14:solidFill>
          </w14:textFill>
        </w:rPr>
      </w:pPr>
      <w:bookmarkStart w:id="398" w:name="_Toc351203596"/>
      <w:bookmarkStart w:id="399" w:name="_Toc337558813"/>
      <w:r>
        <w:rPr>
          <w:rFonts w:ascii="宋体" w:hAnsi="宋体"/>
          <w:color w:val="000000" w:themeColor="text1"/>
          <w:sz w:val="24"/>
          <w:szCs w:val="24"/>
          <w:highlight w:val="none"/>
          <w14:textFill>
            <w14:solidFill>
              <w14:schemeClr w14:val="tx1"/>
            </w14:solidFill>
          </w14:textFill>
        </w:rPr>
        <w:t xml:space="preserve">14.3 </w:t>
      </w:r>
      <w:r>
        <w:rPr>
          <w:rFonts w:hint="eastAsia" w:ascii="宋体" w:hAnsi="宋体"/>
          <w:color w:val="000000" w:themeColor="text1"/>
          <w:sz w:val="24"/>
          <w:szCs w:val="24"/>
          <w:highlight w:val="none"/>
          <w14:textFill>
            <w14:solidFill>
              <w14:schemeClr w14:val="tx1"/>
            </w14:solidFill>
          </w14:textFill>
        </w:rPr>
        <w:t>甩项竣工协议</w:t>
      </w:r>
      <w:bookmarkEnd w:id="398"/>
    </w:p>
    <w:bookmarkEnd w:id="399"/>
    <w:p w14:paraId="392E7DF6">
      <w:pPr>
        <w:autoSpaceDE w:val="0"/>
        <w:autoSpaceDN w:val="0"/>
        <w:adjustRightInd w:val="0"/>
        <w:spacing w:line="360" w:lineRule="auto"/>
        <w:ind w:firstLine="470" w:firstLineChars="196"/>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发包人要求甩项竣工的，合同当事人应签订甩项竣工协议。在甩项竣工协议中应明确，合同当事人按照第</w:t>
      </w:r>
      <w:r>
        <w:rPr>
          <w:rFonts w:ascii="宋体" w:hAnsi="宋体"/>
          <w:color w:val="000000" w:themeColor="text1"/>
          <w:sz w:val="24"/>
          <w:szCs w:val="24"/>
          <w:highlight w:val="none"/>
          <w14:textFill>
            <w14:solidFill>
              <w14:schemeClr w14:val="tx1"/>
            </w14:solidFill>
          </w14:textFill>
        </w:rPr>
        <w:t>14.1款〔竣工结算申请〕及14.2款〔竣工结算审核〕的约定，对已完合格工程进行结算，并支付相应合同价款。</w:t>
      </w:r>
    </w:p>
    <w:p w14:paraId="2D29DDD6">
      <w:pPr>
        <w:spacing w:before="100" w:after="100" w:line="360" w:lineRule="auto"/>
        <w:ind w:firstLine="480" w:firstLineChars="200"/>
        <w:outlineLvl w:val="9"/>
        <w:rPr>
          <w:rFonts w:ascii="宋体" w:hAnsi="宋体"/>
          <w:color w:val="000000" w:themeColor="text1"/>
          <w:sz w:val="24"/>
          <w:szCs w:val="24"/>
          <w:highlight w:val="none"/>
          <w14:textFill>
            <w14:solidFill>
              <w14:schemeClr w14:val="tx1"/>
            </w14:solidFill>
          </w14:textFill>
        </w:rPr>
      </w:pPr>
      <w:bookmarkStart w:id="400" w:name="_Toc351203597"/>
      <w:bookmarkStart w:id="401" w:name="_Toc337558814"/>
      <w:r>
        <w:rPr>
          <w:rFonts w:ascii="宋体" w:hAnsi="宋体"/>
          <w:color w:val="000000" w:themeColor="text1"/>
          <w:sz w:val="24"/>
          <w:szCs w:val="24"/>
          <w:highlight w:val="none"/>
          <w14:textFill>
            <w14:solidFill>
              <w14:schemeClr w14:val="tx1"/>
            </w14:solidFill>
          </w14:textFill>
        </w:rPr>
        <w:t xml:space="preserve">14.4 </w:t>
      </w:r>
      <w:r>
        <w:rPr>
          <w:rFonts w:hint="eastAsia" w:ascii="宋体" w:hAnsi="宋体"/>
          <w:color w:val="000000" w:themeColor="text1"/>
          <w:sz w:val="24"/>
          <w:szCs w:val="24"/>
          <w:highlight w:val="none"/>
          <w14:textFill>
            <w14:solidFill>
              <w14:schemeClr w14:val="tx1"/>
            </w14:solidFill>
          </w14:textFill>
        </w:rPr>
        <w:t>最终结清</w:t>
      </w:r>
      <w:bookmarkEnd w:id="400"/>
    </w:p>
    <w:bookmarkEnd w:id="401"/>
    <w:p w14:paraId="3B220923">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14.4.1 </w:t>
      </w:r>
      <w:r>
        <w:rPr>
          <w:rFonts w:hint="eastAsia" w:ascii="宋体" w:hAnsi="宋体"/>
          <w:color w:val="000000" w:themeColor="text1"/>
          <w:kern w:val="0"/>
          <w:sz w:val="24"/>
          <w:szCs w:val="24"/>
          <w:highlight w:val="none"/>
          <w14:textFill>
            <w14:solidFill>
              <w14:schemeClr w14:val="tx1"/>
            </w14:solidFill>
          </w14:textFill>
        </w:rPr>
        <w:t>最终结清申请单</w:t>
      </w:r>
    </w:p>
    <w:p w14:paraId="422F6978">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1）除专用合同条款另有约定外，承包人应在缺陷责任期终止证书颁发后7天内，按专用合同条款约定的份数向发包人提交最终结清申请单，并提供相关证明材料。</w:t>
      </w:r>
    </w:p>
    <w:p w14:paraId="58CD860F">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除专用合同条款另有约定外，</w:t>
      </w:r>
      <w:r>
        <w:rPr>
          <w:rFonts w:hint="eastAsia" w:ascii="宋体" w:hAnsi="宋体"/>
          <w:color w:val="000000" w:themeColor="text1"/>
          <w:kern w:val="0"/>
          <w:sz w:val="24"/>
          <w:szCs w:val="24"/>
          <w:highlight w:val="none"/>
          <w14:textFill>
            <w14:solidFill>
              <w14:schemeClr w14:val="tx1"/>
            </w14:solidFill>
          </w14:textFill>
        </w:rPr>
        <w:t>最终结清申请单应列明质量保证金、应扣除的质量保证金、缺陷责任期内发生的增减费用。</w:t>
      </w:r>
    </w:p>
    <w:p w14:paraId="7042401E">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2）发包人对最终结清申请单内容有异议的，有权要求承包人进行修正和提供补充资料，承包人应向发包人提交修正后的最终结清申请单。</w:t>
      </w:r>
    </w:p>
    <w:p w14:paraId="5007CA3D">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14.4.2 </w:t>
      </w:r>
      <w:r>
        <w:rPr>
          <w:rFonts w:hint="eastAsia" w:ascii="宋体" w:hAnsi="宋体"/>
          <w:color w:val="000000" w:themeColor="text1"/>
          <w:kern w:val="0"/>
          <w:sz w:val="24"/>
          <w:szCs w:val="24"/>
          <w:highlight w:val="none"/>
          <w14:textFill>
            <w14:solidFill>
              <w14:schemeClr w14:val="tx1"/>
            </w14:solidFill>
          </w14:textFill>
        </w:rPr>
        <w:t>最终结清证书和支付</w:t>
      </w:r>
    </w:p>
    <w:p w14:paraId="5C6AA994">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除专用合同条款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p>
    <w:p w14:paraId="3EB6F0B2">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p>
    <w:p w14:paraId="43BCB02C">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3）承包人对发包人颁发的最终结清证书有异议的，按第20条〔争议解决〕的约定办理。</w:t>
      </w:r>
    </w:p>
    <w:p w14:paraId="4E46818F">
      <w:pPr>
        <w:spacing w:line="360" w:lineRule="auto"/>
        <w:ind w:firstLine="480" w:firstLineChars="200"/>
        <w:outlineLvl w:val="9"/>
        <w:rPr>
          <w:rFonts w:ascii="宋体" w:hAnsi="宋体" w:eastAsia="宋体"/>
          <w:b w:val="0"/>
          <w:color w:val="000000" w:themeColor="text1"/>
          <w:sz w:val="24"/>
          <w:szCs w:val="24"/>
          <w:highlight w:val="none"/>
          <w14:textFill>
            <w14:solidFill>
              <w14:schemeClr w14:val="tx1"/>
            </w14:solidFill>
          </w14:textFill>
        </w:rPr>
      </w:pPr>
      <w:bookmarkStart w:id="402" w:name="_Toc351203598"/>
      <w:bookmarkStart w:id="403" w:name="_Toc337558815"/>
      <w:r>
        <w:rPr>
          <w:rFonts w:ascii="宋体" w:hAnsi="宋体" w:eastAsia="宋体"/>
          <w:b w:val="0"/>
          <w:color w:val="000000" w:themeColor="text1"/>
          <w:sz w:val="24"/>
          <w:szCs w:val="24"/>
          <w:highlight w:val="none"/>
          <w14:textFill>
            <w14:solidFill>
              <w14:schemeClr w14:val="tx1"/>
            </w14:solidFill>
          </w14:textFill>
        </w:rPr>
        <w:t xml:space="preserve">15. </w:t>
      </w:r>
      <w:r>
        <w:rPr>
          <w:rFonts w:hint="eastAsia" w:ascii="宋体" w:hAnsi="宋体" w:eastAsia="宋体"/>
          <w:b w:val="0"/>
          <w:color w:val="000000" w:themeColor="text1"/>
          <w:sz w:val="24"/>
          <w:szCs w:val="24"/>
          <w:highlight w:val="none"/>
          <w14:textFill>
            <w14:solidFill>
              <w14:schemeClr w14:val="tx1"/>
            </w14:solidFill>
          </w14:textFill>
        </w:rPr>
        <w:t>缺陷责任与保修</w:t>
      </w:r>
      <w:bookmarkEnd w:id="402"/>
    </w:p>
    <w:bookmarkEnd w:id="392"/>
    <w:bookmarkEnd w:id="393"/>
    <w:bookmarkEnd w:id="403"/>
    <w:p w14:paraId="4C92995C">
      <w:pPr>
        <w:spacing w:before="100" w:after="100" w:line="360" w:lineRule="auto"/>
        <w:ind w:firstLine="480" w:firstLineChars="200"/>
        <w:outlineLvl w:val="9"/>
        <w:rPr>
          <w:rFonts w:ascii="宋体" w:hAnsi="宋体"/>
          <w:color w:val="000000" w:themeColor="text1"/>
          <w:sz w:val="24"/>
          <w:szCs w:val="24"/>
          <w:highlight w:val="none"/>
          <w14:textFill>
            <w14:solidFill>
              <w14:schemeClr w14:val="tx1"/>
            </w14:solidFill>
          </w14:textFill>
        </w:rPr>
      </w:pPr>
      <w:bookmarkStart w:id="404" w:name="_Toc351203599"/>
      <w:bookmarkStart w:id="405" w:name="_Toc337558816"/>
      <w:bookmarkStart w:id="406" w:name="_Toc296346615"/>
      <w:bookmarkStart w:id="407" w:name="_Toc296503114"/>
      <w:r>
        <w:rPr>
          <w:rFonts w:ascii="宋体" w:hAnsi="宋体"/>
          <w:color w:val="000000" w:themeColor="text1"/>
          <w:sz w:val="24"/>
          <w:szCs w:val="24"/>
          <w:highlight w:val="none"/>
          <w14:textFill>
            <w14:solidFill>
              <w14:schemeClr w14:val="tx1"/>
            </w14:solidFill>
          </w14:textFill>
        </w:rPr>
        <w:t xml:space="preserve">15.1 </w:t>
      </w:r>
      <w:r>
        <w:rPr>
          <w:rFonts w:hint="eastAsia" w:ascii="宋体" w:hAnsi="宋体"/>
          <w:color w:val="000000" w:themeColor="text1"/>
          <w:sz w:val="24"/>
          <w:szCs w:val="24"/>
          <w:highlight w:val="none"/>
          <w14:textFill>
            <w14:solidFill>
              <w14:schemeClr w14:val="tx1"/>
            </w14:solidFill>
          </w14:textFill>
        </w:rPr>
        <w:t>工程保修的原则</w:t>
      </w:r>
      <w:bookmarkEnd w:id="404"/>
    </w:p>
    <w:bookmarkEnd w:id="405"/>
    <w:p w14:paraId="0E60DE4A">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在工程移交发包人后，因承包人原因产生的质量缺陷，承包人应承担质量缺陷责任和保修义务。缺陷责任期届满，承包人仍应按合同约定的工程各部位保修年限承担保修义务。</w:t>
      </w:r>
    </w:p>
    <w:p w14:paraId="0D75ABF1">
      <w:pPr>
        <w:spacing w:before="100" w:after="100" w:line="360" w:lineRule="auto"/>
        <w:ind w:firstLine="480" w:firstLineChars="200"/>
        <w:outlineLvl w:val="9"/>
        <w:rPr>
          <w:rFonts w:ascii="宋体" w:hAnsi="宋体"/>
          <w:color w:val="000000" w:themeColor="text1"/>
          <w:sz w:val="24"/>
          <w:szCs w:val="24"/>
          <w:highlight w:val="none"/>
          <w14:textFill>
            <w14:solidFill>
              <w14:schemeClr w14:val="tx1"/>
            </w14:solidFill>
          </w14:textFill>
        </w:rPr>
      </w:pPr>
      <w:bookmarkStart w:id="408" w:name="_Toc351203600"/>
      <w:bookmarkStart w:id="409" w:name="_Toc337558817"/>
      <w:r>
        <w:rPr>
          <w:rFonts w:ascii="宋体" w:hAnsi="宋体"/>
          <w:color w:val="000000" w:themeColor="text1"/>
          <w:sz w:val="24"/>
          <w:szCs w:val="24"/>
          <w:highlight w:val="none"/>
          <w14:textFill>
            <w14:solidFill>
              <w14:schemeClr w14:val="tx1"/>
            </w14:solidFill>
          </w14:textFill>
        </w:rPr>
        <w:t xml:space="preserve">15.2 </w:t>
      </w:r>
      <w:r>
        <w:rPr>
          <w:rFonts w:hint="eastAsia" w:ascii="宋体" w:hAnsi="宋体"/>
          <w:color w:val="000000" w:themeColor="text1"/>
          <w:sz w:val="24"/>
          <w:szCs w:val="24"/>
          <w:highlight w:val="none"/>
          <w14:textFill>
            <w14:solidFill>
              <w14:schemeClr w14:val="tx1"/>
            </w14:solidFill>
          </w14:textFill>
        </w:rPr>
        <w:t>缺陷责任期</w:t>
      </w:r>
      <w:bookmarkEnd w:id="406"/>
      <w:bookmarkEnd w:id="407"/>
      <w:bookmarkEnd w:id="408"/>
    </w:p>
    <w:bookmarkEnd w:id="409"/>
    <w:p w14:paraId="6360F148">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15.2.1缺陷责任期从工程通过竣工验收之日起计算，合同当事人应在专用合同条款约定缺陷责任期的具体期限，但该期限最长不超过24个月。</w:t>
      </w:r>
    </w:p>
    <w:p w14:paraId="4027E2F8">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单位工程先于全部工程进行验收，经验收合格并交付使用的，该单位工程缺陷责任期自单位工程验收合格之日起算。因承包人原因导致工程无法按合同约定期限进行竣工验收的，缺陷责任期从实际通过竣工验收之日起计算。因发包人原因导致工程无法按合同约定期限进行竣工验收的，在承包人提交竣工验收报告</w:t>
      </w:r>
      <w:r>
        <w:rPr>
          <w:rFonts w:ascii="宋体" w:hAnsi="宋体"/>
          <w:color w:val="000000" w:themeColor="text1"/>
          <w:kern w:val="0"/>
          <w:sz w:val="24"/>
          <w:szCs w:val="24"/>
          <w:highlight w:val="none"/>
          <w14:textFill>
            <w14:solidFill>
              <w14:schemeClr w14:val="tx1"/>
            </w14:solidFill>
          </w14:textFill>
        </w:rPr>
        <w:t>90天后，工程自动进入缺陷责任期；发包人未经竣工验收擅自使用工程的，缺陷责任期自工程转移占有之日起开始计算。</w:t>
      </w:r>
    </w:p>
    <w:p w14:paraId="3460D08E">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15.2.2缺陷责任期内，由承包人原因造成的缺陷，承包人应负责维修，并承担鉴定及维修费用。如承包人不维修也不承担费用，发包人可按合同约定从保证金或银行保函中扣除，费用超出保证金额的，发包人可按合同约定向承包人进行索赔。承包人维修并承担相应费用后，不免除对工程的损失赔偿责任。发包人有权要求承包人延长缺陷责任期，并应在原缺陷责任期届满前发出延长通知。但缺陷责任期（含延长部分）最长不能超过24个月。</w:t>
      </w:r>
    </w:p>
    <w:p w14:paraId="18F1E5F9">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由他人原因造成的缺陷，发包人负责组织维修，承包人不承担费用，且发包人不得从保证金中扣除费用。</w:t>
      </w:r>
    </w:p>
    <w:p w14:paraId="63992F3B">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15.2.3 </w:t>
      </w:r>
      <w:r>
        <w:rPr>
          <w:rFonts w:hint="eastAsia" w:ascii="宋体" w:hAnsi="宋体"/>
          <w:color w:val="000000" w:themeColor="text1"/>
          <w:kern w:val="0"/>
          <w:sz w:val="24"/>
          <w:szCs w:val="24"/>
          <w:highlight w:val="none"/>
          <w14:textFill>
            <w14:solidFill>
              <w14:schemeClr w14:val="tx1"/>
            </w14:solidFill>
          </w14:textFill>
        </w:rPr>
        <w:t>任何一项缺陷或损坏修复后，经检查证明其影响了工程或工程设备的使用性能，承包人应重新进行合同约定的试验和试运行，试验和试运行的全部费用应由责任方承担。</w:t>
      </w:r>
    </w:p>
    <w:p w14:paraId="47212731">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15.2.4除专用合同条款另有约定外，承包人应于缺陷责任期届满后7天内向发包人发出缺陷责任期届满通知，发包人应在收到缺陷责任期满通知后14天内核实承包人是否履行缺陷修复义务，承包人未能履行缺陷修复义务的，发包人有权扣除相应金额的维修费用。发包人应在收到缺陷责任期届满通知后14天内，向承包人颁发缺陷责任期终止证书。</w:t>
      </w:r>
    </w:p>
    <w:p w14:paraId="5F6CE965">
      <w:pPr>
        <w:spacing w:before="100" w:after="100" w:line="360" w:lineRule="auto"/>
        <w:ind w:firstLine="480" w:firstLineChars="200"/>
        <w:outlineLvl w:val="9"/>
        <w:rPr>
          <w:rFonts w:ascii="宋体" w:hAnsi="宋体"/>
          <w:color w:val="000000" w:themeColor="text1"/>
          <w:sz w:val="24"/>
          <w:szCs w:val="24"/>
          <w:highlight w:val="none"/>
          <w14:textFill>
            <w14:solidFill>
              <w14:schemeClr w14:val="tx1"/>
            </w14:solidFill>
          </w14:textFill>
        </w:rPr>
      </w:pPr>
      <w:bookmarkStart w:id="410" w:name="_Toc351203601"/>
      <w:bookmarkStart w:id="411" w:name="_Toc337558818"/>
      <w:bookmarkStart w:id="412" w:name="_Toc296503115"/>
      <w:bookmarkStart w:id="413" w:name="_Toc296346616"/>
      <w:r>
        <w:rPr>
          <w:rFonts w:ascii="宋体" w:hAnsi="宋体"/>
          <w:color w:val="000000" w:themeColor="text1"/>
          <w:sz w:val="24"/>
          <w:szCs w:val="24"/>
          <w:highlight w:val="none"/>
          <w14:textFill>
            <w14:solidFill>
              <w14:schemeClr w14:val="tx1"/>
            </w14:solidFill>
          </w14:textFill>
        </w:rPr>
        <w:t xml:space="preserve">15.3 </w:t>
      </w:r>
      <w:r>
        <w:rPr>
          <w:rFonts w:hint="eastAsia" w:ascii="宋体" w:hAnsi="宋体"/>
          <w:color w:val="000000" w:themeColor="text1"/>
          <w:sz w:val="24"/>
          <w:szCs w:val="24"/>
          <w:highlight w:val="none"/>
          <w14:textFill>
            <w14:solidFill>
              <w14:schemeClr w14:val="tx1"/>
            </w14:solidFill>
          </w14:textFill>
        </w:rPr>
        <w:t>质量保证金</w:t>
      </w:r>
      <w:bookmarkEnd w:id="410"/>
    </w:p>
    <w:bookmarkEnd w:id="411"/>
    <w:p w14:paraId="1E8B88EE">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经合同当事人协商一致扣留质量保证金的，应在专用合同条款中予以明确。</w:t>
      </w:r>
    </w:p>
    <w:p w14:paraId="6C2607F5">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在工程项目竣工前，承包人已经提供履约担保的，发包人不得同时预留工程质量保证金。</w:t>
      </w:r>
    </w:p>
    <w:p w14:paraId="24038CB5">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15.3.1 </w:t>
      </w:r>
      <w:r>
        <w:rPr>
          <w:rFonts w:hint="eastAsia" w:ascii="宋体" w:hAnsi="宋体"/>
          <w:color w:val="000000" w:themeColor="text1"/>
          <w:kern w:val="0"/>
          <w:sz w:val="24"/>
          <w:szCs w:val="24"/>
          <w:highlight w:val="none"/>
          <w14:textFill>
            <w14:solidFill>
              <w14:schemeClr w14:val="tx1"/>
            </w14:solidFill>
          </w14:textFill>
        </w:rPr>
        <w:t>承包人提供质量保证金的方式</w:t>
      </w:r>
    </w:p>
    <w:p w14:paraId="5E58DFA3">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承包人提供质量保证金有以下三种方式：</w:t>
      </w:r>
    </w:p>
    <w:p w14:paraId="6999646E">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 xml:space="preserve">1）质量保证金保函； </w:t>
      </w:r>
    </w:p>
    <w:p w14:paraId="2A8E2676">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2）相应比例的工程款；</w:t>
      </w:r>
    </w:p>
    <w:p w14:paraId="66F2F944">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3）双方约定的其他方式。</w:t>
      </w:r>
    </w:p>
    <w:p w14:paraId="4C3315FB">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除专用合同条款另有约定外，质量保证金原则上采用上述第（</w:t>
      </w:r>
      <w:r>
        <w:rPr>
          <w:rFonts w:ascii="宋体" w:hAnsi="宋体"/>
          <w:color w:val="000000" w:themeColor="text1"/>
          <w:kern w:val="0"/>
          <w:sz w:val="24"/>
          <w:szCs w:val="24"/>
          <w:highlight w:val="none"/>
          <w14:textFill>
            <w14:solidFill>
              <w14:schemeClr w14:val="tx1"/>
            </w14:solidFill>
          </w14:textFill>
        </w:rPr>
        <w:t>1）种方式。</w:t>
      </w:r>
    </w:p>
    <w:p w14:paraId="10EDE86A">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15.3.2 </w:t>
      </w:r>
      <w:r>
        <w:rPr>
          <w:rFonts w:hint="eastAsia" w:ascii="宋体" w:hAnsi="宋体"/>
          <w:color w:val="000000" w:themeColor="text1"/>
          <w:kern w:val="0"/>
          <w:sz w:val="24"/>
          <w:szCs w:val="24"/>
          <w:highlight w:val="none"/>
          <w14:textFill>
            <w14:solidFill>
              <w14:schemeClr w14:val="tx1"/>
            </w14:solidFill>
          </w14:textFill>
        </w:rPr>
        <w:t>质量保证金的扣留</w:t>
      </w:r>
    </w:p>
    <w:p w14:paraId="045872DA">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质量保证金的扣留有以下三种方式：</w:t>
      </w:r>
    </w:p>
    <w:p w14:paraId="4BF58447">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1）在支付工程进度款时逐次扣留，在此情形下，质量保证金的计算基数不包括预付款的支付、扣回以及价格调整的金额；</w:t>
      </w:r>
    </w:p>
    <w:p w14:paraId="3EBCDC46">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2）工程竣工结算时一次性扣留质量保证金；</w:t>
      </w:r>
    </w:p>
    <w:p w14:paraId="01088FC7">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3）双方约定的其他扣留方式。</w:t>
      </w:r>
    </w:p>
    <w:p w14:paraId="6FCE03AC">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除专用合同条款另有约定外，质量保证金的扣留原则上采用上述第（</w:t>
      </w:r>
      <w:r>
        <w:rPr>
          <w:rFonts w:ascii="宋体" w:hAnsi="宋体"/>
          <w:color w:val="000000" w:themeColor="text1"/>
          <w:kern w:val="0"/>
          <w:sz w:val="24"/>
          <w:szCs w:val="24"/>
          <w:highlight w:val="none"/>
          <w14:textFill>
            <w14:solidFill>
              <w14:schemeClr w14:val="tx1"/>
            </w14:solidFill>
          </w14:textFill>
        </w:rPr>
        <w:t>1）种方式。</w:t>
      </w:r>
    </w:p>
    <w:p w14:paraId="6F116B89">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发包人累计扣留的质量保证金不得超过工程价款结算总额的</w:t>
      </w:r>
      <w:r>
        <w:rPr>
          <w:rFonts w:ascii="宋体" w:hAnsi="宋体"/>
          <w:color w:val="000000" w:themeColor="text1"/>
          <w:kern w:val="0"/>
          <w:sz w:val="24"/>
          <w:szCs w:val="24"/>
          <w:highlight w:val="none"/>
          <w14:textFill>
            <w14:solidFill>
              <w14:schemeClr w14:val="tx1"/>
            </w14:solidFill>
          </w14:textFill>
        </w:rPr>
        <w:t>3%。如承包人在发包人签发</w:t>
      </w:r>
      <w:r>
        <w:rPr>
          <w:rFonts w:hint="eastAsia" w:ascii="宋体" w:hAnsi="宋体"/>
          <w:color w:val="000000" w:themeColor="text1"/>
          <w:kern w:val="0"/>
          <w:sz w:val="24"/>
          <w:szCs w:val="24"/>
          <w:highlight w:val="none"/>
          <w14:textFill>
            <w14:solidFill>
              <w14:schemeClr w14:val="tx1"/>
            </w14:solidFill>
          </w14:textFill>
        </w:rPr>
        <w:t>竣工付款证书后</w:t>
      </w:r>
      <w:r>
        <w:rPr>
          <w:rFonts w:ascii="宋体" w:hAnsi="宋体"/>
          <w:color w:val="000000" w:themeColor="text1"/>
          <w:kern w:val="0"/>
          <w:sz w:val="24"/>
          <w:szCs w:val="24"/>
          <w:highlight w:val="none"/>
          <w14:textFill>
            <w14:solidFill>
              <w14:schemeClr w14:val="tx1"/>
            </w14:solidFill>
          </w14:textFill>
        </w:rPr>
        <w:t>28天内提交质量保证金保函，发包人应同时退还扣留的作为质量保证金的工程价款；保函金额不得超过工程价款结算总额的3%。</w:t>
      </w:r>
    </w:p>
    <w:p w14:paraId="697EEF80">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发包人在退还质量保证金的同时按照中国人民银行发布的同期同类贷款基准利率支付利息。</w:t>
      </w:r>
    </w:p>
    <w:p w14:paraId="59A09B42">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15.3.3 </w:t>
      </w:r>
      <w:r>
        <w:rPr>
          <w:rFonts w:hint="eastAsia" w:ascii="宋体" w:hAnsi="宋体"/>
          <w:color w:val="000000" w:themeColor="text1"/>
          <w:sz w:val="24"/>
          <w:szCs w:val="24"/>
          <w:highlight w:val="none"/>
          <w14:textFill>
            <w14:solidFill>
              <w14:schemeClr w14:val="tx1"/>
            </w14:solidFill>
          </w14:textFill>
        </w:rPr>
        <w:t>质量保证金</w:t>
      </w:r>
      <w:r>
        <w:rPr>
          <w:rFonts w:hint="eastAsia" w:ascii="宋体" w:hAnsi="宋体"/>
          <w:color w:val="000000" w:themeColor="text1"/>
          <w:kern w:val="0"/>
          <w:sz w:val="24"/>
          <w:szCs w:val="24"/>
          <w:highlight w:val="none"/>
          <w14:textFill>
            <w14:solidFill>
              <w14:schemeClr w14:val="tx1"/>
            </w14:solidFill>
          </w14:textFill>
        </w:rPr>
        <w:t>的退还</w:t>
      </w:r>
    </w:p>
    <w:p w14:paraId="11B9071C">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缺陷责任期内，承包人认真履行合同约定的责任，到期后，承包人可向发包人申请返还保证金。</w:t>
      </w:r>
    </w:p>
    <w:p w14:paraId="6B720A93">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发包人在接到承包人返还保证金申请后，应于</w:t>
      </w:r>
      <w:r>
        <w:rPr>
          <w:rFonts w:ascii="宋体" w:hAnsi="宋体"/>
          <w:color w:val="000000" w:themeColor="text1"/>
          <w:kern w:val="0"/>
          <w:sz w:val="24"/>
          <w:szCs w:val="24"/>
          <w:highlight w:val="none"/>
          <w14:textFill>
            <w14:solidFill>
              <w14:schemeClr w14:val="tx1"/>
            </w14:solidFill>
          </w14:textFill>
        </w:rPr>
        <w:t>14天内会同承包人按照合同约定的内容进行核实。如无异议，发包人应当按照约定将保证金返还给承包人。对返还期限没有约定或者约定不明确的，发包人应当在核实后14天内将保证金返还承包人，逾期未返还的，依法承担违约责任。发包人在接到承包人返还保证金申请后14天内不予答复，经催告后14天内仍不予答复，视同认可承包人的返还保证金申请。</w:t>
      </w:r>
    </w:p>
    <w:p w14:paraId="514B40C2">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发包人和承包人对保证金预留、返还以及工程维修质量、费用有争议的，按本合同第</w:t>
      </w:r>
      <w:r>
        <w:rPr>
          <w:rFonts w:ascii="宋体" w:hAnsi="宋体"/>
          <w:color w:val="000000" w:themeColor="text1"/>
          <w:kern w:val="0"/>
          <w:sz w:val="24"/>
          <w:szCs w:val="24"/>
          <w:highlight w:val="none"/>
          <w14:textFill>
            <w14:solidFill>
              <w14:schemeClr w14:val="tx1"/>
            </w14:solidFill>
          </w14:textFill>
        </w:rPr>
        <w:t>20条约定的争议和纠纷解决程序处理。</w:t>
      </w:r>
    </w:p>
    <w:p w14:paraId="3E71888D">
      <w:pPr>
        <w:spacing w:before="100" w:after="100" w:line="360" w:lineRule="auto"/>
        <w:ind w:firstLine="480" w:firstLineChars="200"/>
        <w:outlineLvl w:val="9"/>
        <w:rPr>
          <w:rFonts w:ascii="宋体" w:hAnsi="宋体"/>
          <w:color w:val="000000" w:themeColor="text1"/>
          <w:sz w:val="24"/>
          <w:szCs w:val="24"/>
          <w:highlight w:val="none"/>
          <w14:textFill>
            <w14:solidFill>
              <w14:schemeClr w14:val="tx1"/>
            </w14:solidFill>
          </w14:textFill>
        </w:rPr>
      </w:pPr>
      <w:bookmarkStart w:id="414" w:name="_Toc351203602"/>
      <w:bookmarkStart w:id="415" w:name="_Toc337558819"/>
      <w:r>
        <w:rPr>
          <w:rFonts w:ascii="宋体" w:hAnsi="宋体"/>
          <w:color w:val="000000" w:themeColor="text1"/>
          <w:sz w:val="24"/>
          <w:szCs w:val="24"/>
          <w:highlight w:val="none"/>
          <w14:textFill>
            <w14:solidFill>
              <w14:schemeClr w14:val="tx1"/>
            </w14:solidFill>
          </w14:textFill>
        </w:rPr>
        <w:t xml:space="preserve">15.4 </w:t>
      </w:r>
      <w:r>
        <w:rPr>
          <w:rFonts w:hint="eastAsia" w:ascii="宋体" w:hAnsi="宋体"/>
          <w:color w:val="000000" w:themeColor="text1"/>
          <w:sz w:val="24"/>
          <w:szCs w:val="24"/>
          <w:highlight w:val="none"/>
          <w14:textFill>
            <w14:solidFill>
              <w14:schemeClr w14:val="tx1"/>
            </w14:solidFill>
          </w14:textFill>
        </w:rPr>
        <w:t>保修</w:t>
      </w:r>
      <w:bookmarkEnd w:id="414"/>
    </w:p>
    <w:bookmarkEnd w:id="412"/>
    <w:bookmarkEnd w:id="413"/>
    <w:bookmarkEnd w:id="415"/>
    <w:p w14:paraId="677AF5E8">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15.4.1保修责任</w:t>
      </w:r>
    </w:p>
    <w:p w14:paraId="763F74FF">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p>
    <w:p w14:paraId="511AFF11">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发包人未经竣工验收擅自使用工程的，保修期自</w:t>
      </w:r>
      <w:r>
        <w:rPr>
          <w:rFonts w:hint="eastAsia" w:ascii="宋体" w:hAnsi="宋体"/>
          <w:color w:val="000000" w:themeColor="text1"/>
          <w:kern w:val="0"/>
          <w:sz w:val="24"/>
          <w:szCs w:val="24"/>
          <w:highlight w:val="none"/>
          <w14:textFill>
            <w14:solidFill>
              <w14:schemeClr w14:val="tx1"/>
            </w14:solidFill>
          </w14:textFill>
        </w:rPr>
        <w:t>转移占有之日起算。</w:t>
      </w:r>
    </w:p>
    <w:p w14:paraId="49F256F0">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15.4.2 </w:t>
      </w:r>
      <w:r>
        <w:rPr>
          <w:rFonts w:hint="eastAsia" w:ascii="宋体" w:hAnsi="宋体"/>
          <w:color w:val="000000" w:themeColor="text1"/>
          <w:kern w:val="0"/>
          <w:sz w:val="24"/>
          <w:szCs w:val="24"/>
          <w:highlight w:val="none"/>
          <w14:textFill>
            <w14:solidFill>
              <w14:schemeClr w14:val="tx1"/>
            </w14:solidFill>
          </w14:textFill>
        </w:rPr>
        <w:t>修复费用</w:t>
      </w:r>
    </w:p>
    <w:p w14:paraId="15D81569">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保修期内，修复的费用按照以下约定处理：</w:t>
      </w:r>
    </w:p>
    <w:p w14:paraId="58AB180E">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1）保修期内，因承包人原因造成工程的缺陷、损坏，承包人应负责修复，并承担修复的费用以及因工程的缺陷、损坏造成的人身伤害和财产损失；</w:t>
      </w:r>
    </w:p>
    <w:p w14:paraId="240960DA">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2）保修期内，因发包人使用不当造成工程的缺陷、损坏，可以委托承包人修复，但发包人应承担修复的费用，并支付承包人合理利润；</w:t>
      </w:r>
    </w:p>
    <w:p w14:paraId="3A50CC68">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3）因其他原因造成工程的缺陷、损坏，可以委托承包人修复，发包人应承担修复的费用，并支付承包人合理的利润，因工程的缺陷、损坏造成的人身伤害和财产损失由责任方承担。</w:t>
      </w:r>
    </w:p>
    <w:p w14:paraId="45E7E9FD">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15.4.3 </w:t>
      </w:r>
      <w:r>
        <w:rPr>
          <w:rFonts w:hint="eastAsia" w:ascii="宋体" w:hAnsi="宋体"/>
          <w:color w:val="000000" w:themeColor="text1"/>
          <w:kern w:val="0"/>
          <w:sz w:val="24"/>
          <w:szCs w:val="24"/>
          <w:highlight w:val="none"/>
          <w14:textFill>
            <w14:solidFill>
              <w14:schemeClr w14:val="tx1"/>
            </w14:solidFill>
          </w14:textFill>
        </w:rPr>
        <w:t>修复通知</w:t>
      </w:r>
    </w:p>
    <w:p w14:paraId="2C1EC4E0">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在保修期内，发包人在使用过程中，发现已接收的工程存在缺陷或损坏的，应书面通知承包人予以修复，但情况紧急必须立即修复缺陷或损坏的，发包人可以口头通知承包人并在口头通知后</w:t>
      </w:r>
      <w:r>
        <w:rPr>
          <w:rFonts w:ascii="宋体" w:hAnsi="宋体"/>
          <w:color w:val="000000" w:themeColor="text1"/>
          <w:kern w:val="0"/>
          <w:sz w:val="24"/>
          <w:szCs w:val="24"/>
          <w:highlight w:val="none"/>
          <w14:textFill>
            <w14:solidFill>
              <w14:schemeClr w14:val="tx1"/>
            </w14:solidFill>
          </w14:textFill>
        </w:rPr>
        <w:t>48小时内书面确认，承包人应在专用合同条款约定的合理期限内到达工程现场并修复缺陷或损坏。</w:t>
      </w:r>
    </w:p>
    <w:p w14:paraId="52B46D84">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15.4.4 </w:t>
      </w:r>
      <w:r>
        <w:rPr>
          <w:rFonts w:hint="eastAsia" w:ascii="宋体" w:hAnsi="宋体"/>
          <w:color w:val="000000" w:themeColor="text1"/>
          <w:kern w:val="0"/>
          <w:sz w:val="24"/>
          <w:szCs w:val="24"/>
          <w:highlight w:val="none"/>
          <w14:textFill>
            <w14:solidFill>
              <w14:schemeClr w14:val="tx1"/>
            </w14:solidFill>
          </w14:textFill>
        </w:rPr>
        <w:t>未能修复</w:t>
      </w:r>
    </w:p>
    <w:p w14:paraId="101BA882">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p>
    <w:p w14:paraId="3EA864DD">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15.4.5 </w:t>
      </w:r>
      <w:r>
        <w:rPr>
          <w:rFonts w:hint="eastAsia" w:ascii="宋体" w:hAnsi="宋体"/>
          <w:color w:val="000000" w:themeColor="text1"/>
          <w:kern w:val="0"/>
          <w:sz w:val="24"/>
          <w:szCs w:val="24"/>
          <w:highlight w:val="none"/>
          <w14:textFill>
            <w14:solidFill>
              <w14:schemeClr w14:val="tx1"/>
            </w14:solidFill>
          </w14:textFill>
        </w:rPr>
        <w:t>承包人出入权</w:t>
      </w:r>
    </w:p>
    <w:p w14:paraId="1BD6E633">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在保修期内，为了修复缺陷或损坏，承包人有权出入工程现场，除情况紧急必须立即修复缺陷或损坏外，承包人应提前</w:t>
      </w:r>
      <w:r>
        <w:rPr>
          <w:rFonts w:ascii="宋体" w:hAnsi="宋体"/>
          <w:color w:val="000000" w:themeColor="text1"/>
          <w:kern w:val="0"/>
          <w:sz w:val="24"/>
          <w:szCs w:val="24"/>
          <w:highlight w:val="none"/>
          <w14:textFill>
            <w14:solidFill>
              <w14:schemeClr w14:val="tx1"/>
            </w14:solidFill>
          </w14:textFill>
        </w:rPr>
        <w:t>24小时通知发包人进场修复的时间。承包人进入工程现场前应获得发包人同意，且不应影响发包人正常的生产经营，并应遵守发包人有关保安和保密等规定。</w:t>
      </w:r>
    </w:p>
    <w:p w14:paraId="330C5CC1">
      <w:pPr>
        <w:spacing w:line="360" w:lineRule="auto"/>
        <w:ind w:firstLine="480" w:firstLineChars="200"/>
        <w:outlineLvl w:val="9"/>
        <w:rPr>
          <w:rFonts w:ascii="宋体" w:hAnsi="宋体" w:eastAsia="宋体"/>
          <w:b w:val="0"/>
          <w:color w:val="000000" w:themeColor="text1"/>
          <w:sz w:val="24"/>
          <w:szCs w:val="24"/>
          <w:highlight w:val="none"/>
          <w14:textFill>
            <w14:solidFill>
              <w14:schemeClr w14:val="tx1"/>
            </w14:solidFill>
          </w14:textFill>
        </w:rPr>
      </w:pPr>
      <w:bookmarkStart w:id="416" w:name="_Toc351203603"/>
      <w:bookmarkStart w:id="417" w:name="_Toc337558820"/>
      <w:r>
        <w:rPr>
          <w:rFonts w:ascii="宋体" w:hAnsi="宋体" w:eastAsia="宋体"/>
          <w:b w:val="0"/>
          <w:color w:val="000000" w:themeColor="text1"/>
          <w:sz w:val="24"/>
          <w:szCs w:val="24"/>
          <w:highlight w:val="none"/>
          <w14:textFill>
            <w14:solidFill>
              <w14:schemeClr w14:val="tx1"/>
            </w14:solidFill>
          </w14:textFill>
        </w:rPr>
        <w:t xml:space="preserve">16. </w:t>
      </w:r>
      <w:r>
        <w:rPr>
          <w:rFonts w:hint="eastAsia" w:ascii="宋体" w:hAnsi="宋体" w:eastAsia="宋体"/>
          <w:b w:val="0"/>
          <w:color w:val="000000" w:themeColor="text1"/>
          <w:sz w:val="24"/>
          <w:szCs w:val="24"/>
          <w:highlight w:val="none"/>
          <w14:textFill>
            <w14:solidFill>
              <w14:schemeClr w14:val="tx1"/>
            </w14:solidFill>
          </w14:textFill>
        </w:rPr>
        <w:t>违约</w:t>
      </w:r>
      <w:bookmarkEnd w:id="416"/>
    </w:p>
    <w:bookmarkEnd w:id="417"/>
    <w:p w14:paraId="4E064170">
      <w:pPr>
        <w:spacing w:before="100" w:after="100" w:line="360" w:lineRule="auto"/>
        <w:ind w:firstLine="480" w:firstLineChars="200"/>
        <w:outlineLvl w:val="9"/>
        <w:rPr>
          <w:rFonts w:ascii="宋体" w:hAnsi="宋体"/>
          <w:color w:val="000000" w:themeColor="text1"/>
          <w:sz w:val="24"/>
          <w:szCs w:val="24"/>
          <w:highlight w:val="none"/>
          <w14:textFill>
            <w14:solidFill>
              <w14:schemeClr w14:val="tx1"/>
            </w14:solidFill>
          </w14:textFill>
        </w:rPr>
      </w:pPr>
      <w:bookmarkStart w:id="418" w:name="_Toc296346630"/>
      <w:bookmarkStart w:id="419" w:name="_Toc296503129"/>
      <w:bookmarkStart w:id="420" w:name="_Toc351203604"/>
      <w:bookmarkStart w:id="421" w:name="_Toc337558821"/>
      <w:r>
        <w:rPr>
          <w:rFonts w:ascii="宋体" w:hAnsi="宋体"/>
          <w:color w:val="000000" w:themeColor="text1"/>
          <w:sz w:val="24"/>
          <w:szCs w:val="24"/>
          <w:highlight w:val="none"/>
          <w14:textFill>
            <w14:solidFill>
              <w14:schemeClr w14:val="tx1"/>
            </w14:solidFill>
          </w14:textFill>
        </w:rPr>
        <w:t xml:space="preserve">16.1 </w:t>
      </w:r>
      <w:r>
        <w:rPr>
          <w:rFonts w:hint="eastAsia" w:ascii="宋体" w:hAnsi="宋体"/>
          <w:color w:val="000000" w:themeColor="text1"/>
          <w:sz w:val="24"/>
          <w:szCs w:val="24"/>
          <w:highlight w:val="none"/>
          <w14:textFill>
            <w14:solidFill>
              <w14:schemeClr w14:val="tx1"/>
            </w14:solidFill>
          </w14:textFill>
        </w:rPr>
        <w:t>发</w:t>
      </w:r>
      <w:bookmarkEnd w:id="418"/>
      <w:bookmarkEnd w:id="419"/>
      <w:r>
        <w:rPr>
          <w:rFonts w:hint="eastAsia" w:ascii="宋体" w:hAnsi="宋体"/>
          <w:color w:val="000000" w:themeColor="text1"/>
          <w:sz w:val="24"/>
          <w:szCs w:val="24"/>
          <w:highlight w:val="none"/>
          <w14:textFill>
            <w14:solidFill>
              <w14:schemeClr w14:val="tx1"/>
            </w14:solidFill>
          </w14:textFill>
        </w:rPr>
        <w:t>包人违约</w:t>
      </w:r>
      <w:bookmarkEnd w:id="420"/>
    </w:p>
    <w:bookmarkEnd w:id="421"/>
    <w:p w14:paraId="3D8AB39C">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16.1.1 </w:t>
      </w:r>
      <w:r>
        <w:rPr>
          <w:rFonts w:hint="eastAsia" w:ascii="宋体" w:hAnsi="宋体"/>
          <w:color w:val="000000" w:themeColor="text1"/>
          <w:kern w:val="0"/>
          <w:sz w:val="24"/>
          <w:szCs w:val="24"/>
          <w:highlight w:val="none"/>
          <w14:textFill>
            <w14:solidFill>
              <w14:schemeClr w14:val="tx1"/>
            </w14:solidFill>
          </w14:textFill>
        </w:rPr>
        <w:t>发包人违约的情形</w:t>
      </w:r>
    </w:p>
    <w:p w14:paraId="67B0104A">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在合同履行过程中发生的下列情形，属于发包人违约：</w:t>
      </w:r>
    </w:p>
    <w:p w14:paraId="7323837F">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1）因发包人原因未能在计划开工日期前7天内下达开工通知的；</w:t>
      </w:r>
    </w:p>
    <w:p w14:paraId="15A24BBF">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2）因发包人原因未能按合同约定支付合同价款的；</w:t>
      </w:r>
    </w:p>
    <w:p w14:paraId="77103116">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3）发包人违反第10.1款〔变更的范围〕第（2）项约定，自行实施被取消的工作或转由他人实施的；</w:t>
      </w:r>
    </w:p>
    <w:p w14:paraId="79E009FE">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4）发包人提供的材料、工程设备的规格、数量或质量不符合合同约定，或因发包人原因导致交货日期延误或交货地点变更等情况的；</w:t>
      </w:r>
    </w:p>
    <w:p w14:paraId="14FA09D7">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5）因发包人违反合同约定造成暂停施工的；</w:t>
      </w:r>
    </w:p>
    <w:p w14:paraId="422A5C0A">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6）发包人无正当理由没有在约定期限内发出复工指示，导致承包人无法复工的；</w:t>
      </w:r>
    </w:p>
    <w:p w14:paraId="6BF96233">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7）发包人明确表示或者以其行为表明不履行合同主要义务的；</w:t>
      </w:r>
    </w:p>
    <w:p w14:paraId="124BFA36">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8）发包人未能按照合同约定履行其他义务的。</w:t>
      </w:r>
    </w:p>
    <w:p w14:paraId="371ADFEB">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发包人发生除本项第（</w:t>
      </w:r>
      <w:r>
        <w:rPr>
          <w:rFonts w:ascii="宋体" w:hAnsi="宋体"/>
          <w:color w:val="000000" w:themeColor="text1"/>
          <w:kern w:val="0"/>
          <w:sz w:val="24"/>
          <w:szCs w:val="24"/>
          <w:highlight w:val="none"/>
          <w14:textFill>
            <w14:solidFill>
              <w14:schemeClr w14:val="tx1"/>
            </w14:solidFill>
          </w14:textFill>
        </w:rPr>
        <w:t>7）目以外的违约情况时，承包人可向发包人发出通知，要求发包人采取有效措施纠正违约行为。发包人收到承包人通知后28天内仍不纠正违约行为的，承包人有权暂停相应部位工程施工，并通知监理人。</w:t>
      </w:r>
    </w:p>
    <w:p w14:paraId="7D7A89FA">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16.1.2 </w:t>
      </w:r>
      <w:r>
        <w:rPr>
          <w:rFonts w:hint="eastAsia" w:ascii="宋体" w:hAnsi="宋体"/>
          <w:color w:val="000000" w:themeColor="text1"/>
          <w:kern w:val="0"/>
          <w:sz w:val="24"/>
          <w:szCs w:val="24"/>
          <w:highlight w:val="none"/>
          <w14:textFill>
            <w14:solidFill>
              <w14:schemeClr w14:val="tx1"/>
            </w14:solidFill>
          </w14:textFill>
        </w:rPr>
        <w:t>发包人违约的责任</w:t>
      </w:r>
    </w:p>
    <w:p w14:paraId="6BF81B2C">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发包人应承担因其违约给承包人增加的费用和（或）延误的工期，并支付承包人合理的利润。此外，合同当事人可在专用合同条款中另行约定发包人违约责任的承担方式和计算方法。</w:t>
      </w:r>
    </w:p>
    <w:p w14:paraId="6CB3DF3E">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16.1.3 </w:t>
      </w:r>
      <w:r>
        <w:rPr>
          <w:rFonts w:hint="eastAsia" w:ascii="宋体" w:hAnsi="宋体"/>
          <w:color w:val="000000" w:themeColor="text1"/>
          <w:kern w:val="0"/>
          <w:sz w:val="24"/>
          <w:szCs w:val="24"/>
          <w:highlight w:val="none"/>
          <w14:textFill>
            <w14:solidFill>
              <w14:schemeClr w14:val="tx1"/>
            </w14:solidFill>
          </w14:textFill>
        </w:rPr>
        <w:t>因发包人违约解除合同</w:t>
      </w:r>
    </w:p>
    <w:p w14:paraId="79A0FD95">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除专用合同条款另有约定外，承包人按第</w:t>
      </w:r>
      <w:r>
        <w:rPr>
          <w:rFonts w:ascii="宋体" w:hAnsi="宋体"/>
          <w:color w:val="000000" w:themeColor="text1"/>
          <w:kern w:val="0"/>
          <w:sz w:val="24"/>
          <w:szCs w:val="24"/>
          <w:highlight w:val="none"/>
          <w14:textFill>
            <w14:solidFill>
              <w14:schemeClr w14:val="tx1"/>
            </w14:solidFill>
          </w14:textFill>
        </w:rPr>
        <w:t>16.1.1项〔发包人违约的情形〕约定暂停施工满28天后，发包人仍不纠正其违约行为并致使合同目的不能实现的，或出现第16.1.1项〔发</w:t>
      </w:r>
      <w:r>
        <w:rPr>
          <w:rFonts w:hint="eastAsia" w:ascii="宋体" w:hAnsi="宋体"/>
          <w:color w:val="000000" w:themeColor="text1"/>
          <w:kern w:val="0"/>
          <w:sz w:val="24"/>
          <w:szCs w:val="24"/>
          <w:highlight w:val="none"/>
          <w14:textFill>
            <w14:solidFill>
              <w14:schemeClr w14:val="tx1"/>
            </w14:solidFill>
          </w14:textFill>
        </w:rPr>
        <w:t>包人违约的情形〕第（</w:t>
      </w:r>
      <w:r>
        <w:rPr>
          <w:rFonts w:ascii="宋体" w:hAnsi="宋体"/>
          <w:color w:val="000000" w:themeColor="text1"/>
          <w:kern w:val="0"/>
          <w:sz w:val="24"/>
          <w:szCs w:val="24"/>
          <w:highlight w:val="none"/>
          <w14:textFill>
            <w14:solidFill>
              <w14:schemeClr w14:val="tx1"/>
            </w14:solidFill>
          </w14:textFill>
        </w:rPr>
        <w:t>7）目约定的违约情况，承包人有权解除合同，发包人应承担由此增加的费用，并支付承包人合理的利润。</w:t>
      </w:r>
    </w:p>
    <w:p w14:paraId="10A9482B">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16.1.4 </w:t>
      </w:r>
      <w:r>
        <w:rPr>
          <w:rFonts w:hint="eastAsia" w:ascii="宋体" w:hAnsi="宋体"/>
          <w:color w:val="000000" w:themeColor="text1"/>
          <w:kern w:val="0"/>
          <w:sz w:val="24"/>
          <w:szCs w:val="24"/>
          <w:highlight w:val="none"/>
          <w14:textFill>
            <w14:solidFill>
              <w14:schemeClr w14:val="tx1"/>
            </w14:solidFill>
          </w14:textFill>
        </w:rPr>
        <w:t>因发包人违约解除合同后的付款</w:t>
      </w:r>
    </w:p>
    <w:p w14:paraId="6EE197FA">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承包人按照本款约定解除合同的，发包人应在解除合同后</w:t>
      </w:r>
      <w:r>
        <w:rPr>
          <w:rFonts w:ascii="宋体" w:hAnsi="宋体"/>
          <w:color w:val="000000" w:themeColor="text1"/>
          <w:kern w:val="0"/>
          <w:sz w:val="24"/>
          <w:szCs w:val="24"/>
          <w:highlight w:val="none"/>
          <w14:textFill>
            <w14:solidFill>
              <w14:schemeClr w14:val="tx1"/>
            </w14:solidFill>
          </w14:textFill>
        </w:rPr>
        <w:t>28天内支付下列款项，并解除履约担保：</w:t>
      </w:r>
    </w:p>
    <w:p w14:paraId="47866354">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1）合同解除前所完成工作的价款；</w:t>
      </w:r>
    </w:p>
    <w:p w14:paraId="474391A6">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2）承包人为工程施工订购并已付款的材料、工程设备和其他物品的价款；</w:t>
      </w:r>
    </w:p>
    <w:p w14:paraId="0AC00FBE">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3）承包人撤离施工现场以及遣散承包人人员的款项；</w:t>
      </w:r>
    </w:p>
    <w:p w14:paraId="176CC184">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4）按照合同约定在合同解除前应支付的违约金；</w:t>
      </w:r>
    </w:p>
    <w:p w14:paraId="6988BDDE">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5）按照合同约定应当支付给承包人的其他款项；</w:t>
      </w:r>
    </w:p>
    <w:p w14:paraId="3C9C3FC7">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6）按照合同约定应退还的质量保证金；</w:t>
      </w:r>
    </w:p>
    <w:p w14:paraId="25E34239">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7）因解除合同给承包人造成的损失。</w:t>
      </w:r>
    </w:p>
    <w:p w14:paraId="67B61F4C">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合同当事人未能就解除合同后的结清达成一致的，按照第</w:t>
      </w:r>
      <w:r>
        <w:rPr>
          <w:rFonts w:ascii="宋体" w:hAnsi="宋体"/>
          <w:color w:val="000000" w:themeColor="text1"/>
          <w:kern w:val="0"/>
          <w:sz w:val="24"/>
          <w:szCs w:val="24"/>
          <w:highlight w:val="none"/>
          <w14:textFill>
            <w14:solidFill>
              <w14:schemeClr w14:val="tx1"/>
            </w14:solidFill>
          </w14:textFill>
        </w:rPr>
        <w:t>20条〔争议解决〕的约定处理。</w:t>
      </w:r>
    </w:p>
    <w:p w14:paraId="2F99A228">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承包人应妥善做好已完工程和与工程有关的已购材料、工程设备的保护和移交工作，并将施工设备和人员撤出施工现场，发包人应为承包人撤出提供必要条件。</w:t>
      </w:r>
    </w:p>
    <w:p w14:paraId="75C78951">
      <w:pPr>
        <w:spacing w:before="100" w:after="100" w:line="360" w:lineRule="auto"/>
        <w:ind w:firstLine="480" w:firstLineChars="200"/>
        <w:outlineLvl w:val="9"/>
        <w:rPr>
          <w:rFonts w:ascii="宋体" w:hAnsi="宋体"/>
          <w:color w:val="000000" w:themeColor="text1"/>
          <w:sz w:val="24"/>
          <w:szCs w:val="24"/>
          <w:highlight w:val="none"/>
          <w14:textFill>
            <w14:solidFill>
              <w14:schemeClr w14:val="tx1"/>
            </w14:solidFill>
          </w14:textFill>
        </w:rPr>
      </w:pPr>
      <w:bookmarkStart w:id="422" w:name="_Toc351203605"/>
      <w:bookmarkStart w:id="423" w:name="_Toc296503131"/>
      <w:bookmarkStart w:id="424" w:name="_Toc337558822"/>
      <w:bookmarkStart w:id="425" w:name="_Toc296346632"/>
      <w:r>
        <w:rPr>
          <w:rFonts w:ascii="宋体" w:hAnsi="宋体"/>
          <w:color w:val="000000" w:themeColor="text1"/>
          <w:sz w:val="24"/>
          <w:szCs w:val="24"/>
          <w:highlight w:val="none"/>
          <w14:textFill>
            <w14:solidFill>
              <w14:schemeClr w14:val="tx1"/>
            </w14:solidFill>
          </w14:textFill>
        </w:rPr>
        <w:t xml:space="preserve">16.2 </w:t>
      </w:r>
      <w:r>
        <w:rPr>
          <w:rFonts w:hint="eastAsia" w:ascii="宋体" w:hAnsi="宋体"/>
          <w:color w:val="000000" w:themeColor="text1"/>
          <w:sz w:val="24"/>
          <w:szCs w:val="24"/>
          <w:highlight w:val="none"/>
          <w14:textFill>
            <w14:solidFill>
              <w14:schemeClr w14:val="tx1"/>
            </w14:solidFill>
          </w14:textFill>
        </w:rPr>
        <w:t>承包人违约</w:t>
      </w:r>
      <w:bookmarkEnd w:id="422"/>
    </w:p>
    <w:bookmarkEnd w:id="423"/>
    <w:bookmarkEnd w:id="424"/>
    <w:bookmarkEnd w:id="425"/>
    <w:p w14:paraId="3371A9E9">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16.2.1 </w:t>
      </w:r>
      <w:r>
        <w:rPr>
          <w:rFonts w:hint="eastAsia" w:ascii="宋体" w:hAnsi="宋体"/>
          <w:color w:val="000000" w:themeColor="text1"/>
          <w:kern w:val="0"/>
          <w:sz w:val="24"/>
          <w:szCs w:val="24"/>
          <w:highlight w:val="none"/>
          <w14:textFill>
            <w14:solidFill>
              <w14:schemeClr w14:val="tx1"/>
            </w14:solidFill>
          </w14:textFill>
        </w:rPr>
        <w:t>承包人违约的情形</w:t>
      </w:r>
    </w:p>
    <w:p w14:paraId="70ED5A15">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在合同履行过程中发生的下列情形，属于承包人违约：</w:t>
      </w:r>
    </w:p>
    <w:p w14:paraId="3EC8B939">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1）承包人违反合同约定进行转包或违法分包的；</w:t>
      </w:r>
    </w:p>
    <w:p w14:paraId="548DBCBC">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2）承包人违反合同约定采购和使用不合格的材料和工程设备的；</w:t>
      </w:r>
    </w:p>
    <w:p w14:paraId="447C400A">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 xml:space="preserve">3）因承包人原因导致工程质量不符合合同要求的； </w:t>
      </w:r>
    </w:p>
    <w:p w14:paraId="272BA5F7">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4）承包人违反第8.9款〔材料与设备专用要求〕的约定，未经批准，私自将已按照合同约定进入施工现场的材料或设备撤离施工现场的；</w:t>
      </w:r>
    </w:p>
    <w:p w14:paraId="3795CC4C">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5）承包人未能按施工进度计划及时完成合同约定的工作，造成工期延误的；</w:t>
      </w:r>
    </w:p>
    <w:p w14:paraId="52ECDC8D">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6）承包人在缺陷责任期及保修期内，未能在合理期限对工程缺陷进行修复，或拒绝按发包人要求进行修复的；</w:t>
      </w:r>
    </w:p>
    <w:p w14:paraId="44D1372C">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7）承包人明确表示或者以其行为表明不履行合同主要义务的；</w:t>
      </w:r>
    </w:p>
    <w:p w14:paraId="79291ED4">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8）承包人未能按照合同约定履行其他义务的。</w:t>
      </w:r>
    </w:p>
    <w:p w14:paraId="4D1AD5F1">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承包人发生除本项第（</w:t>
      </w:r>
      <w:r>
        <w:rPr>
          <w:rFonts w:ascii="宋体" w:hAnsi="宋体"/>
          <w:color w:val="000000" w:themeColor="text1"/>
          <w:kern w:val="0"/>
          <w:sz w:val="24"/>
          <w:szCs w:val="24"/>
          <w:highlight w:val="none"/>
          <w14:textFill>
            <w14:solidFill>
              <w14:schemeClr w14:val="tx1"/>
            </w14:solidFill>
          </w14:textFill>
        </w:rPr>
        <w:t>7）目约定以外的其他违约情况时，监理人可向承包人发出整改通知，要求其在指定的期限内改正。</w:t>
      </w:r>
    </w:p>
    <w:p w14:paraId="75FE917D">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16.2.2 </w:t>
      </w:r>
      <w:r>
        <w:rPr>
          <w:rFonts w:hint="eastAsia" w:ascii="宋体" w:hAnsi="宋体"/>
          <w:color w:val="000000" w:themeColor="text1"/>
          <w:kern w:val="0"/>
          <w:sz w:val="24"/>
          <w:szCs w:val="24"/>
          <w:highlight w:val="none"/>
          <w14:textFill>
            <w14:solidFill>
              <w14:schemeClr w14:val="tx1"/>
            </w14:solidFill>
          </w14:textFill>
        </w:rPr>
        <w:t>承包人违约的责任</w:t>
      </w:r>
    </w:p>
    <w:p w14:paraId="2DEB0B63">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承包人应承担因其违约行为而增加的费用和（或）延误的工期。此外，合同当事人可在专用合同条款中另行约定承包人违约责任的承担方式和计算方法。</w:t>
      </w:r>
    </w:p>
    <w:p w14:paraId="4BF8F4E9">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16.2.3 </w:t>
      </w:r>
      <w:r>
        <w:rPr>
          <w:rFonts w:hint="eastAsia" w:ascii="宋体" w:hAnsi="宋体"/>
          <w:color w:val="000000" w:themeColor="text1"/>
          <w:kern w:val="0"/>
          <w:sz w:val="24"/>
          <w:szCs w:val="24"/>
          <w:highlight w:val="none"/>
          <w14:textFill>
            <w14:solidFill>
              <w14:schemeClr w14:val="tx1"/>
            </w14:solidFill>
          </w14:textFill>
        </w:rPr>
        <w:t>因承包人违约解除合同</w:t>
      </w:r>
    </w:p>
    <w:p w14:paraId="09BE0C6F">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除专用合同条款另有约定外，出现第</w:t>
      </w:r>
      <w:r>
        <w:rPr>
          <w:rFonts w:ascii="宋体" w:hAnsi="宋体"/>
          <w:color w:val="000000" w:themeColor="text1"/>
          <w:kern w:val="0"/>
          <w:sz w:val="24"/>
          <w:szCs w:val="24"/>
          <w:highlight w:val="none"/>
          <w14:textFill>
            <w14:solidFill>
              <w14:schemeClr w14:val="tx1"/>
            </w14:solidFill>
          </w14:textFill>
        </w:rPr>
        <w:t>16.2.1项〔承包人违约的情形〕第（7）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p>
    <w:p w14:paraId="3D73A7B3">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16.2.4因承包人违约解除合同后的处理</w:t>
      </w:r>
    </w:p>
    <w:p w14:paraId="386571E3">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因承包人原因导致合同解除的，则合同当事人应在合同解除后</w:t>
      </w:r>
      <w:r>
        <w:rPr>
          <w:rFonts w:ascii="宋体" w:hAnsi="宋体"/>
          <w:color w:val="000000" w:themeColor="text1"/>
          <w:kern w:val="0"/>
          <w:sz w:val="24"/>
          <w:szCs w:val="24"/>
          <w:highlight w:val="none"/>
          <w14:textFill>
            <w14:solidFill>
              <w14:schemeClr w14:val="tx1"/>
            </w14:solidFill>
          </w14:textFill>
        </w:rPr>
        <w:t>28天内完成估价、付款和清算，并按以下约定执行：</w:t>
      </w:r>
    </w:p>
    <w:p w14:paraId="3519B40B">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1）合同解除后，按第4.4款〔商定或确定〕商定或确定承包人实际完成工作对应的合同价款，以及承包人已提供的材料、工程设备、施工设备和临时工程等的价值；</w:t>
      </w:r>
    </w:p>
    <w:p w14:paraId="663CB0F4">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2）合同解除后，承包人应支付的违约金；</w:t>
      </w:r>
    </w:p>
    <w:p w14:paraId="4A48467A">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3）合同解除后，因解除合同给发包人造成的损失；</w:t>
      </w:r>
    </w:p>
    <w:p w14:paraId="46248B56">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4）合同解除后，承包人应按照发包人要求和监理人的指示完成现场的清理和撤离；</w:t>
      </w:r>
    </w:p>
    <w:p w14:paraId="2CCB0351">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5）发包人和承包人应在合同解除后进行清算，出具最终结清付款证书，结清全部款项。</w:t>
      </w:r>
    </w:p>
    <w:p w14:paraId="7F3D5DC7">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因承包人违约解除合同的，发包人有权暂停对承包人的付款，查清各项付款和已扣款项。发包人和承包人未能就合同解除后的清算和款项支付达成一致的，按照第</w:t>
      </w:r>
      <w:r>
        <w:rPr>
          <w:rFonts w:ascii="宋体" w:hAnsi="宋体"/>
          <w:color w:val="000000" w:themeColor="text1"/>
          <w:kern w:val="0"/>
          <w:sz w:val="24"/>
          <w:szCs w:val="24"/>
          <w:highlight w:val="none"/>
          <w14:textFill>
            <w14:solidFill>
              <w14:schemeClr w14:val="tx1"/>
            </w14:solidFill>
          </w14:textFill>
        </w:rPr>
        <w:t>20条〔争议解决〕的约定处理。</w:t>
      </w:r>
    </w:p>
    <w:p w14:paraId="3619A981">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16.2.5采购合同权益转让</w:t>
      </w:r>
    </w:p>
    <w:p w14:paraId="5A206674">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因承包人违约解除合同的，发包人有权要求承包人将其为实施合同而签订的材料和设备的采购合同的权益转让给发包人，承包人应在收到解除合同通知后</w:t>
      </w:r>
      <w:r>
        <w:rPr>
          <w:rFonts w:ascii="宋体" w:hAnsi="宋体"/>
          <w:color w:val="000000" w:themeColor="text1"/>
          <w:kern w:val="0"/>
          <w:sz w:val="24"/>
          <w:szCs w:val="24"/>
          <w:highlight w:val="none"/>
          <w14:textFill>
            <w14:solidFill>
              <w14:schemeClr w14:val="tx1"/>
            </w14:solidFill>
          </w14:textFill>
        </w:rPr>
        <w:t>14天内，协助发包人与采购合同的供应商达成相关的转让协议。</w:t>
      </w:r>
    </w:p>
    <w:p w14:paraId="1AEA686A">
      <w:pPr>
        <w:spacing w:before="100" w:after="100" w:line="360" w:lineRule="auto"/>
        <w:ind w:firstLine="480" w:firstLineChars="200"/>
        <w:outlineLvl w:val="9"/>
        <w:rPr>
          <w:rFonts w:ascii="宋体" w:hAnsi="宋体"/>
          <w:color w:val="000000" w:themeColor="text1"/>
          <w:sz w:val="24"/>
          <w:szCs w:val="24"/>
          <w:highlight w:val="none"/>
          <w14:textFill>
            <w14:solidFill>
              <w14:schemeClr w14:val="tx1"/>
            </w14:solidFill>
          </w14:textFill>
        </w:rPr>
      </w:pPr>
      <w:bookmarkStart w:id="426" w:name="_Toc351203606"/>
      <w:r>
        <w:rPr>
          <w:rFonts w:ascii="宋体" w:hAnsi="宋体"/>
          <w:color w:val="000000" w:themeColor="text1"/>
          <w:sz w:val="24"/>
          <w:szCs w:val="24"/>
          <w:highlight w:val="none"/>
          <w14:textFill>
            <w14:solidFill>
              <w14:schemeClr w14:val="tx1"/>
            </w14:solidFill>
          </w14:textFill>
        </w:rPr>
        <w:t xml:space="preserve">16.3 </w:t>
      </w:r>
      <w:r>
        <w:rPr>
          <w:rFonts w:hint="eastAsia" w:ascii="宋体" w:hAnsi="宋体"/>
          <w:color w:val="000000" w:themeColor="text1"/>
          <w:sz w:val="24"/>
          <w:szCs w:val="24"/>
          <w:highlight w:val="none"/>
          <w14:textFill>
            <w14:solidFill>
              <w14:schemeClr w14:val="tx1"/>
            </w14:solidFill>
          </w14:textFill>
        </w:rPr>
        <w:t>第三人造成的违约</w:t>
      </w:r>
      <w:bookmarkEnd w:id="426"/>
    </w:p>
    <w:p w14:paraId="369DC500">
      <w:pPr>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在履行合同过程中，一方当事人因第三人的原因造成违约的，应当向对方当事人承担违约责任。一方当事人和第三人之间的纠纷，依照法律规定或者按照约定解决。</w:t>
      </w:r>
    </w:p>
    <w:p w14:paraId="3F6A0AF3">
      <w:pPr>
        <w:spacing w:line="360" w:lineRule="auto"/>
        <w:ind w:firstLine="480" w:firstLineChars="200"/>
        <w:outlineLvl w:val="9"/>
        <w:rPr>
          <w:rFonts w:ascii="宋体" w:hAnsi="宋体" w:eastAsia="宋体"/>
          <w:b w:val="0"/>
          <w:color w:val="000000" w:themeColor="text1"/>
          <w:sz w:val="24"/>
          <w:szCs w:val="24"/>
          <w:highlight w:val="none"/>
          <w14:textFill>
            <w14:solidFill>
              <w14:schemeClr w14:val="tx1"/>
            </w14:solidFill>
          </w14:textFill>
        </w:rPr>
      </w:pPr>
      <w:bookmarkStart w:id="427" w:name="_Toc351203607"/>
      <w:bookmarkStart w:id="428" w:name="_Toc296346617"/>
      <w:bookmarkStart w:id="429" w:name="_Toc337558823"/>
      <w:bookmarkStart w:id="430" w:name="_Toc296503116"/>
      <w:r>
        <w:rPr>
          <w:rFonts w:ascii="宋体" w:hAnsi="宋体" w:eastAsia="宋体"/>
          <w:b w:val="0"/>
          <w:color w:val="000000" w:themeColor="text1"/>
          <w:sz w:val="24"/>
          <w:szCs w:val="24"/>
          <w:highlight w:val="none"/>
          <w14:textFill>
            <w14:solidFill>
              <w14:schemeClr w14:val="tx1"/>
            </w14:solidFill>
          </w14:textFill>
        </w:rPr>
        <w:t xml:space="preserve">17. </w:t>
      </w:r>
      <w:r>
        <w:rPr>
          <w:rFonts w:hint="eastAsia" w:ascii="宋体" w:hAnsi="宋体" w:eastAsia="宋体"/>
          <w:b w:val="0"/>
          <w:color w:val="000000" w:themeColor="text1"/>
          <w:sz w:val="24"/>
          <w:szCs w:val="24"/>
          <w:highlight w:val="none"/>
          <w14:textFill>
            <w14:solidFill>
              <w14:schemeClr w14:val="tx1"/>
            </w14:solidFill>
          </w14:textFill>
        </w:rPr>
        <w:t>不可抗力</w:t>
      </w:r>
      <w:bookmarkEnd w:id="427"/>
      <w:bookmarkEnd w:id="428"/>
      <w:bookmarkEnd w:id="429"/>
      <w:bookmarkEnd w:id="430"/>
    </w:p>
    <w:p w14:paraId="111B4310">
      <w:pPr>
        <w:spacing w:before="100" w:after="100" w:line="360" w:lineRule="auto"/>
        <w:ind w:firstLine="480" w:firstLineChars="200"/>
        <w:outlineLvl w:val="9"/>
        <w:rPr>
          <w:rFonts w:ascii="宋体" w:hAnsi="宋体"/>
          <w:color w:val="000000" w:themeColor="text1"/>
          <w:sz w:val="24"/>
          <w:szCs w:val="24"/>
          <w:highlight w:val="none"/>
          <w14:textFill>
            <w14:solidFill>
              <w14:schemeClr w14:val="tx1"/>
            </w14:solidFill>
          </w14:textFill>
        </w:rPr>
      </w:pPr>
      <w:bookmarkStart w:id="431" w:name="_Toc351203608"/>
      <w:bookmarkStart w:id="432" w:name="_Toc296346618"/>
      <w:bookmarkStart w:id="433" w:name="_Toc337558824"/>
      <w:bookmarkStart w:id="434" w:name="_Toc296503117"/>
      <w:r>
        <w:rPr>
          <w:rFonts w:ascii="宋体" w:hAnsi="宋体"/>
          <w:color w:val="000000" w:themeColor="text1"/>
          <w:sz w:val="24"/>
          <w:szCs w:val="24"/>
          <w:highlight w:val="none"/>
          <w14:textFill>
            <w14:solidFill>
              <w14:schemeClr w14:val="tx1"/>
            </w14:solidFill>
          </w14:textFill>
        </w:rPr>
        <w:t xml:space="preserve">17.1 </w:t>
      </w:r>
      <w:r>
        <w:rPr>
          <w:rFonts w:hint="eastAsia" w:ascii="宋体" w:hAnsi="宋体"/>
          <w:color w:val="000000" w:themeColor="text1"/>
          <w:sz w:val="24"/>
          <w:szCs w:val="24"/>
          <w:highlight w:val="none"/>
          <w14:textFill>
            <w14:solidFill>
              <w14:schemeClr w14:val="tx1"/>
            </w14:solidFill>
          </w14:textFill>
        </w:rPr>
        <w:t>不可抗力的确认</w:t>
      </w:r>
      <w:bookmarkEnd w:id="431"/>
    </w:p>
    <w:bookmarkEnd w:id="432"/>
    <w:bookmarkEnd w:id="433"/>
    <w:bookmarkEnd w:id="434"/>
    <w:p w14:paraId="00F7EEB3">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不可抗力是指合同当事人在签订合同时不可预见，在合同履行过程中不可避免且不能克服的自然灾害和社会性突发事件，如地震、海啸、瘟疫、骚乱、戒严、暴动、战争和专用合同条款中约定的其他情形。</w:t>
      </w:r>
    </w:p>
    <w:p w14:paraId="7FED89C1">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不可抗力发生后，发包人和承包人应收集证明不可抗力发生及不可抗力造成损失的证据，并及时认真统计所造成的损失。合同当事人对是否属于不可抗力或其损失的意见不一致的，由监理人按第</w:t>
      </w:r>
      <w:r>
        <w:rPr>
          <w:rFonts w:ascii="宋体" w:hAnsi="宋体"/>
          <w:color w:val="000000" w:themeColor="text1"/>
          <w:kern w:val="0"/>
          <w:sz w:val="24"/>
          <w:szCs w:val="24"/>
          <w:highlight w:val="none"/>
          <w14:textFill>
            <w14:solidFill>
              <w14:schemeClr w14:val="tx1"/>
            </w14:solidFill>
          </w14:textFill>
        </w:rPr>
        <w:t>4.4款〔商定或确定〕的约定处理。发生争议时，按第20条〔争议解决〕的约定处理。</w:t>
      </w:r>
    </w:p>
    <w:p w14:paraId="5AA9F102">
      <w:pPr>
        <w:spacing w:before="100" w:after="100" w:line="360" w:lineRule="auto"/>
        <w:ind w:firstLine="480" w:firstLineChars="200"/>
        <w:outlineLvl w:val="9"/>
        <w:rPr>
          <w:rFonts w:ascii="宋体" w:hAnsi="宋体"/>
          <w:color w:val="000000" w:themeColor="text1"/>
          <w:sz w:val="24"/>
          <w:szCs w:val="24"/>
          <w:highlight w:val="none"/>
          <w14:textFill>
            <w14:solidFill>
              <w14:schemeClr w14:val="tx1"/>
            </w14:solidFill>
          </w14:textFill>
        </w:rPr>
      </w:pPr>
      <w:bookmarkStart w:id="435" w:name="_Toc351203609"/>
      <w:bookmarkStart w:id="436" w:name="_Toc337558825"/>
      <w:bookmarkStart w:id="437" w:name="_Toc296503118"/>
      <w:bookmarkStart w:id="438" w:name="_Toc296346619"/>
      <w:r>
        <w:rPr>
          <w:rFonts w:ascii="宋体" w:hAnsi="宋体"/>
          <w:color w:val="000000" w:themeColor="text1"/>
          <w:sz w:val="24"/>
          <w:szCs w:val="24"/>
          <w:highlight w:val="none"/>
          <w14:textFill>
            <w14:solidFill>
              <w14:schemeClr w14:val="tx1"/>
            </w14:solidFill>
          </w14:textFill>
        </w:rPr>
        <w:t xml:space="preserve">17.2 </w:t>
      </w:r>
      <w:r>
        <w:rPr>
          <w:rFonts w:hint="eastAsia" w:ascii="宋体" w:hAnsi="宋体"/>
          <w:color w:val="000000" w:themeColor="text1"/>
          <w:sz w:val="24"/>
          <w:szCs w:val="24"/>
          <w:highlight w:val="none"/>
          <w14:textFill>
            <w14:solidFill>
              <w14:schemeClr w14:val="tx1"/>
            </w14:solidFill>
          </w14:textFill>
        </w:rPr>
        <w:t>不可抗力的通知</w:t>
      </w:r>
      <w:bookmarkEnd w:id="435"/>
    </w:p>
    <w:bookmarkEnd w:id="436"/>
    <w:bookmarkEnd w:id="437"/>
    <w:bookmarkEnd w:id="438"/>
    <w:p w14:paraId="384383D2">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合同一方当事人遇到不可抗力事件，使其履行合同义务受到阻碍时，应立即通知合同另一方当事人和监理人，书面说明不可抗力和受阻碍的详细情况，并提供必要的证明。</w:t>
      </w:r>
    </w:p>
    <w:p w14:paraId="4E246C45">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不可抗力持续发生的，合同一方当事人应及时向合同另一方当事人和监理人提交中间报告，说明不可抗力和履行合同受阻的情况，并于不可抗力事件结束后</w:t>
      </w:r>
      <w:r>
        <w:rPr>
          <w:rFonts w:ascii="宋体" w:hAnsi="宋体"/>
          <w:color w:val="000000" w:themeColor="text1"/>
          <w:kern w:val="0"/>
          <w:sz w:val="24"/>
          <w:szCs w:val="24"/>
          <w:highlight w:val="none"/>
          <w14:textFill>
            <w14:solidFill>
              <w14:schemeClr w14:val="tx1"/>
            </w14:solidFill>
          </w14:textFill>
        </w:rPr>
        <w:t>28天内提交最终报告及有关资料。</w:t>
      </w:r>
    </w:p>
    <w:p w14:paraId="71A017AB">
      <w:pPr>
        <w:spacing w:before="100" w:after="100" w:line="360" w:lineRule="auto"/>
        <w:ind w:firstLine="480" w:firstLineChars="200"/>
        <w:outlineLvl w:val="9"/>
        <w:rPr>
          <w:rFonts w:ascii="宋体" w:hAnsi="宋体"/>
          <w:color w:val="000000" w:themeColor="text1"/>
          <w:sz w:val="24"/>
          <w:szCs w:val="24"/>
          <w:highlight w:val="none"/>
          <w14:textFill>
            <w14:solidFill>
              <w14:schemeClr w14:val="tx1"/>
            </w14:solidFill>
          </w14:textFill>
        </w:rPr>
      </w:pPr>
      <w:bookmarkStart w:id="439" w:name="_Toc351203610"/>
      <w:bookmarkStart w:id="440" w:name="_Toc296346620"/>
      <w:bookmarkStart w:id="441" w:name="_Toc296503119"/>
      <w:bookmarkStart w:id="442" w:name="_Toc337558826"/>
      <w:r>
        <w:rPr>
          <w:rFonts w:ascii="宋体" w:hAnsi="宋体"/>
          <w:color w:val="000000" w:themeColor="text1"/>
          <w:sz w:val="24"/>
          <w:szCs w:val="24"/>
          <w:highlight w:val="none"/>
          <w14:textFill>
            <w14:solidFill>
              <w14:schemeClr w14:val="tx1"/>
            </w14:solidFill>
          </w14:textFill>
        </w:rPr>
        <w:t xml:space="preserve">17.3 </w:t>
      </w:r>
      <w:r>
        <w:rPr>
          <w:rFonts w:hint="eastAsia" w:ascii="宋体" w:hAnsi="宋体"/>
          <w:color w:val="000000" w:themeColor="text1"/>
          <w:sz w:val="24"/>
          <w:szCs w:val="24"/>
          <w:highlight w:val="none"/>
          <w14:textFill>
            <w14:solidFill>
              <w14:schemeClr w14:val="tx1"/>
            </w14:solidFill>
          </w14:textFill>
        </w:rPr>
        <w:t>不可抗力后果的承担</w:t>
      </w:r>
      <w:bookmarkEnd w:id="439"/>
    </w:p>
    <w:bookmarkEnd w:id="440"/>
    <w:bookmarkEnd w:id="441"/>
    <w:bookmarkEnd w:id="442"/>
    <w:p w14:paraId="71AC1275">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17.3.1 </w:t>
      </w:r>
      <w:r>
        <w:rPr>
          <w:rFonts w:hint="eastAsia" w:ascii="宋体" w:hAnsi="宋体"/>
          <w:color w:val="000000" w:themeColor="text1"/>
          <w:kern w:val="0"/>
          <w:sz w:val="24"/>
          <w:szCs w:val="24"/>
          <w:highlight w:val="none"/>
          <w14:textFill>
            <w14:solidFill>
              <w14:schemeClr w14:val="tx1"/>
            </w14:solidFill>
          </w14:textFill>
        </w:rPr>
        <w:t>不可抗力引起的后果及造成的损失由合同当事人按照法律规定及合同约定各自承担。不可抗力发生前已完成的工程应当按照合同约定进行计量支付。</w:t>
      </w:r>
    </w:p>
    <w:p w14:paraId="287696F3">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17.3.2 </w:t>
      </w:r>
      <w:r>
        <w:rPr>
          <w:rFonts w:hint="eastAsia" w:ascii="宋体" w:hAnsi="宋体"/>
          <w:color w:val="000000" w:themeColor="text1"/>
          <w:kern w:val="0"/>
          <w:sz w:val="24"/>
          <w:szCs w:val="24"/>
          <w:highlight w:val="none"/>
          <w14:textFill>
            <w14:solidFill>
              <w14:schemeClr w14:val="tx1"/>
            </w14:solidFill>
          </w14:textFill>
        </w:rPr>
        <w:t>不可抗力导致的人员伤亡、财产损失、费用增加和（或）工期延误等后果，由合同当事人按以下原则承担：</w:t>
      </w:r>
    </w:p>
    <w:p w14:paraId="4DFE1C03">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1）永久工程、已运至施工现场的材料和工程设备的损坏，以及因工程损坏造成的第三人人员伤亡和财产损失由发包人承担；</w:t>
      </w:r>
    </w:p>
    <w:p w14:paraId="656610CA">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2）承包人施工设备的损坏由承包人承担；</w:t>
      </w:r>
    </w:p>
    <w:p w14:paraId="0D9C6FE4">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3）发包人和承包人承担各自人员伤亡和财产的损失；</w:t>
      </w:r>
    </w:p>
    <w:p w14:paraId="778F2676">
      <w:pPr>
        <w:autoSpaceDE w:val="0"/>
        <w:autoSpaceDN w:val="0"/>
        <w:adjustRightInd w:val="0"/>
        <w:spacing w:line="360" w:lineRule="auto"/>
        <w:ind w:firstLine="480" w:firstLineChars="200"/>
        <w:jc w:val="left"/>
        <w:outlineLvl w:val="9"/>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4）因不可抗力影响承包人履行合同约定的义务，已经引起或将引起工期延误的，应当顺延工期，由此导致承包人停工的费用损失由发包人和承包人合理分担，停工期间必须支付的工人工资由发包人承担；</w:t>
      </w:r>
    </w:p>
    <w:p w14:paraId="4DF6D4C4">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5）因不可抗力引起或将引起工期延误，发包人要求赶工的，由此增加的赶工费用由发包人承担；</w:t>
      </w:r>
    </w:p>
    <w:p w14:paraId="529989A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6）承包人在停工期间按照发包人要求照管、清理和修复工程的费用由发包人承担。</w:t>
      </w:r>
    </w:p>
    <w:p w14:paraId="7148535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不可抗力发生后，合同当事人均应采取措施尽量避免和减少损失的扩大，任何一方当事人没有采取有效措施导致损失扩大的，应对扩大的损失承担责任。</w:t>
      </w:r>
    </w:p>
    <w:p w14:paraId="5DE108A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因合同一方迟延履行合同义务，在迟延履行期间遭遇不可抗力的，不免除其违约责任。</w:t>
      </w:r>
    </w:p>
    <w:p w14:paraId="2E59C37D">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43" w:name="_Toc351203611"/>
      <w:bookmarkStart w:id="444" w:name="_Toc337558827"/>
      <w:r>
        <w:rPr>
          <w:rFonts w:ascii="宋体" w:hAnsi="宋体"/>
          <w:color w:val="000000" w:themeColor="text1"/>
          <w:sz w:val="24"/>
          <w:szCs w:val="24"/>
          <w:highlight w:val="none"/>
          <w14:textFill>
            <w14:solidFill>
              <w14:schemeClr w14:val="tx1"/>
            </w14:solidFill>
          </w14:textFill>
        </w:rPr>
        <w:t xml:space="preserve">17.4 </w:t>
      </w:r>
      <w:r>
        <w:rPr>
          <w:rFonts w:hint="eastAsia" w:ascii="宋体" w:hAnsi="宋体"/>
          <w:color w:val="000000" w:themeColor="text1"/>
          <w:sz w:val="24"/>
          <w:szCs w:val="24"/>
          <w:highlight w:val="none"/>
          <w14:textFill>
            <w14:solidFill>
              <w14:schemeClr w14:val="tx1"/>
            </w14:solidFill>
          </w14:textFill>
        </w:rPr>
        <w:t>因不可抗力解除合同</w:t>
      </w:r>
      <w:bookmarkEnd w:id="443"/>
    </w:p>
    <w:bookmarkEnd w:id="444"/>
    <w:p w14:paraId="70F32688">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因不可抗力导致合同无法履行连续超过</w:t>
      </w:r>
      <w:r>
        <w:rPr>
          <w:rFonts w:ascii="宋体" w:hAnsi="宋体"/>
          <w:color w:val="000000" w:themeColor="text1"/>
          <w:kern w:val="0"/>
          <w:sz w:val="24"/>
          <w:szCs w:val="24"/>
          <w:highlight w:val="none"/>
          <w14:textFill>
            <w14:solidFill>
              <w14:schemeClr w14:val="tx1"/>
            </w14:solidFill>
          </w14:textFill>
        </w:rPr>
        <w:t>84天或累计超过140天的，发包人和承包人均有权解除合同。合同解除后，由双方当事人按照第4.4款〔商定或确定〕商定或确定发包人应支付的款项，该款项包括：</w:t>
      </w:r>
    </w:p>
    <w:p w14:paraId="75301DE1">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1）合同解除前承包人已完成工作的价款；</w:t>
      </w:r>
    </w:p>
    <w:p w14:paraId="54122C6F">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2）承包人为工程订购的并已交付给承包人，或承包人有责任接受交付的材料、工程</w:t>
      </w:r>
      <w:r>
        <w:rPr>
          <w:rFonts w:hint="eastAsia" w:ascii="宋体" w:hAnsi="宋体"/>
          <w:color w:val="000000" w:themeColor="text1"/>
          <w:kern w:val="0"/>
          <w:sz w:val="24"/>
          <w:szCs w:val="24"/>
          <w:highlight w:val="none"/>
          <w14:textFill>
            <w14:solidFill>
              <w14:schemeClr w14:val="tx1"/>
            </w14:solidFill>
          </w14:textFill>
        </w:rPr>
        <w:t>设备和其他物品的价款；</w:t>
      </w:r>
    </w:p>
    <w:p w14:paraId="6BF9E9CC">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3）发包人要求承包人退货或解除订货合同而产生的费用，或因不能退货或解除合同而产生的损失；</w:t>
      </w:r>
    </w:p>
    <w:p w14:paraId="579E465E">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4）承包人撤离施工现场以及遣散承包人人员的费用；</w:t>
      </w:r>
    </w:p>
    <w:p w14:paraId="26D5E52E">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5）按照合同约定在合同解除前应支付给承包人的其他款项；</w:t>
      </w:r>
    </w:p>
    <w:p w14:paraId="40A90B25">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6）扣减承包人按照合同约定应向发包人支付的款项；</w:t>
      </w:r>
    </w:p>
    <w:p w14:paraId="65C5FD4F">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7）双方商定或确定的其他款项。</w:t>
      </w:r>
    </w:p>
    <w:p w14:paraId="1E1D7D1E">
      <w:pPr>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除专用合同条款另有约定外，合同解除后，发包人应在商定或确定上述款项后</w:t>
      </w:r>
      <w:r>
        <w:rPr>
          <w:rFonts w:ascii="宋体" w:hAnsi="宋体"/>
          <w:color w:val="000000" w:themeColor="text1"/>
          <w:kern w:val="0"/>
          <w:sz w:val="24"/>
          <w:szCs w:val="24"/>
          <w:highlight w:val="none"/>
          <w14:textFill>
            <w14:solidFill>
              <w14:schemeClr w14:val="tx1"/>
            </w14:solidFill>
          </w14:textFill>
        </w:rPr>
        <w:t>28天内完成上述款项的支付。</w:t>
      </w:r>
    </w:p>
    <w:p w14:paraId="7D3FDB74">
      <w:pPr>
        <w:spacing w:line="360" w:lineRule="auto"/>
        <w:ind w:firstLine="480" w:firstLineChars="200"/>
        <w:outlineLvl w:val="9"/>
        <w:rPr>
          <w:rFonts w:ascii="宋体" w:hAnsi="宋体" w:eastAsia="宋体"/>
          <w:b w:val="0"/>
          <w:color w:val="000000" w:themeColor="text1"/>
          <w:sz w:val="24"/>
          <w:szCs w:val="24"/>
          <w:highlight w:val="none"/>
          <w14:textFill>
            <w14:solidFill>
              <w14:schemeClr w14:val="tx1"/>
            </w14:solidFill>
          </w14:textFill>
        </w:rPr>
      </w:pPr>
      <w:bookmarkStart w:id="445" w:name="_Toc351203612"/>
      <w:bookmarkStart w:id="446" w:name="_Toc337558828"/>
      <w:bookmarkStart w:id="447" w:name="_Toc296346621"/>
      <w:bookmarkStart w:id="448" w:name="_Toc296503120"/>
      <w:r>
        <w:rPr>
          <w:rFonts w:ascii="宋体" w:hAnsi="宋体" w:eastAsia="宋体"/>
          <w:b w:val="0"/>
          <w:color w:val="000000" w:themeColor="text1"/>
          <w:sz w:val="24"/>
          <w:szCs w:val="24"/>
          <w:highlight w:val="none"/>
          <w14:textFill>
            <w14:solidFill>
              <w14:schemeClr w14:val="tx1"/>
            </w14:solidFill>
          </w14:textFill>
        </w:rPr>
        <w:t xml:space="preserve">18. </w:t>
      </w:r>
      <w:r>
        <w:rPr>
          <w:rFonts w:hint="eastAsia" w:ascii="宋体" w:hAnsi="宋体" w:eastAsia="宋体"/>
          <w:b w:val="0"/>
          <w:color w:val="000000" w:themeColor="text1"/>
          <w:sz w:val="24"/>
          <w:szCs w:val="24"/>
          <w:highlight w:val="none"/>
          <w14:textFill>
            <w14:solidFill>
              <w14:schemeClr w14:val="tx1"/>
            </w14:solidFill>
          </w14:textFill>
        </w:rPr>
        <w:t>保险</w:t>
      </w:r>
      <w:bookmarkEnd w:id="445"/>
    </w:p>
    <w:bookmarkEnd w:id="446"/>
    <w:bookmarkEnd w:id="447"/>
    <w:bookmarkEnd w:id="448"/>
    <w:p w14:paraId="0184C24B">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49" w:name="_Toc351203613"/>
      <w:bookmarkStart w:id="450" w:name="_Toc296503121"/>
      <w:bookmarkStart w:id="451" w:name="_Toc296346622"/>
      <w:bookmarkStart w:id="452" w:name="_Toc337558829"/>
      <w:r>
        <w:rPr>
          <w:rFonts w:ascii="宋体" w:hAnsi="宋体"/>
          <w:color w:val="000000" w:themeColor="text1"/>
          <w:sz w:val="24"/>
          <w:szCs w:val="24"/>
          <w:highlight w:val="none"/>
          <w14:textFill>
            <w14:solidFill>
              <w14:schemeClr w14:val="tx1"/>
            </w14:solidFill>
          </w14:textFill>
        </w:rPr>
        <w:t xml:space="preserve">18.1 </w:t>
      </w:r>
      <w:r>
        <w:rPr>
          <w:rFonts w:hint="eastAsia" w:ascii="宋体" w:hAnsi="宋体"/>
          <w:color w:val="000000" w:themeColor="text1"/>
          <w:sz w:val="24"/>
          <w:szCs w:val="24"/>
          <w:highlight w:val="none"/>
          <w14:textFill>
            <w14:solidFill>
              <w14:schemeClr w14:val="tx1"/>
            </w14:solidFill>
          </w14:textFill>
        </w:rPr>
        <w:t>工程保险</w:t>
      </w:r>
      <w:bookmarkEnd w:id="449"/>
    </w:p>
    <w:bookmarkEnd w:id="450"/>
    <w:bookmarkEnd w:id="451"/>
    <w:bookmarkEnd w:id="452"/>
    <w:p w14:paraId="4C8396C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除专用合同条款另有约定外，发包人应投保建筑工程一切险或安装工程一切险；发包人委托承包人投保的，因投保产生的保险费和其他相关费用由发包人承担。</w:t>
      </w:r>
    </w:p>
    <w:p w14:paraId="3271CAA1">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53" w:name="_Toc351203614"/>
      <w:bookmarkStart w:id="454" w:name="_Toc296503122"/>
      <w:bookmarkStart w:id="455" w:name="_Toc296346623"/>
      <w:bookmarkStart w:id="456" w:name="_Toc337558830"/>
      <w:r>
        <w:rPr>
          <w:rFonts w:ascii="宋体" w:hAnsi="宋体"/>
          <w:color w:val="000000" w:themeColor="text1"/>
          <w:sz w:val="24"/>
          <w:szCs w:val="24"/>
          <w:highlight w:val="none"/>
          <w14:textFill>
            <w14:solidFill>
              <w14:schemeClr w14:val="tx1"/>
            </w14:solidFill>
          </w14:textFill>
        </w:rPr>
        <w:t xml:space="preserve">18.2 </w:t>
      </w:r>
      <w:r>
        <w:rPr>
          <w:rFonts w:hint="eastAsia" w:ascii="宋体" w:hAnsi="宋体"/>
          <w:color w:val="000000" w:themeColor="text1"/>
          <w:sz w:val="24"/>
          <w:szCs w:val="24"/>
          <w:highlight w:val="none"/>
          <w14:textFill>
            <w14:solidFill>
              <w14:schemeClr w14:val="tx1"/>
            </w14:solidFill>
          </w14:textFill>
        </w:rPr>
        <w:t>工伤保险</w:t>
      </w:r>
      <w:bookmarkEnd w:id="453"/>
    </w:p>
    <w:bookmarkEnd w:id="454"/>
    <w:bookmarkEnd w:id="455"/>
    <w:bookmarkEnd w:id="456"/>
    <w:p w14:paraId="1D51756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18.2.1 </w:t>
      </w:r>
      <w:r>
        <w:rPr>
          <w:rFonts w:hint="eastAsia" w:ascii="宋体" w:hAnsi="宋体"/>
          <w:color w:val="000000" w:themeColor="text1"/>
          <w:kern w:val="0"/>
          <w:sz w:val="24"/>
          <w:szCs w:val="24"/>
          <w:highlight w:val="none"/>
          <w14:textFill>
            <w14:solidFill>
              <w14:schemeClr w14:val="tx1"/>
            </w14:solidFill>
          </w14:textFill>
        </w:rPr>
        <w:t>发包人应依照法律规定参加工伤保险，并为在施工现场的全部员工办理工伤保险，缴纳工伤保险费，并要求监理人及由发包人为履行合同聘请的第三方依法参加工伤保险。</w:t>
      </w:r>
    </w:p>
    <w:p w14:paraId="09E56E1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18.2.2 </w:t>
      </w:r>
      <w:r>
        <w:rPr>
          <w:rFonts w:hint="eastAsia" w:ascii="宋体" w:hAnsi="宋体"/>
          <w:color w:val="000000" w:themeColor="text1"/>
          <w:kern w:val="0"/>
          <w:sz w:val="24"/>
          <w:szCs w:val="24"/>
          <w:highlight w:val="none"/>
          <w14:textFill>
            <w14:solidFill>
              <w14:schemeClr w14:val="tx1"/>
            </w14:solidFill>
          </w14:textFill>
        </w:rPr>
        <w:t>承包人应依照法律规定参加工伤保险，并为其履行合同的全部员工办理工伤保险，缴纳工伤保险费，并要求分包人及由承包人为履行合同聘请的第三方依法参加工伤保险。</w:t>
      </w:r>
    </w:p>
    <w:p w14:paraId="3D66557C">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57" w:name="_Toc351203615"/>
      <w:bookmarkStart w:id="458" w:name="_Toc296346626"/>
      <w:bookmarkStart w:id="459" w:name="_Toc337558831"/>
      <w:bookmarkStart w:id="460" w:name="_Toc296503125"/>
      <w:r>
        <w:rPr>
          <w:rFonts w:ascii="宋体" w:hAnsi="宋体"/>
          <w:color w:val="000000" w:themeColor="text1"/>
          <w:sz w:val="24"/>
          <w:szCs w:val="24"/>
          <w:highlight w:val="none"/>
          <w14:textFill>
            <w14:solidFill>
              <w14:schemeClr w14:val="tx1"/>
            </w14:solidFill>
          </w14:textFill>
        </w:rPr>
        <w:t>18.3其他保险</w:t>
      </w:r>
      <w:bookmarkEnd w:id="457"/>
    </w:p>
    <w:bookmarkEnd w:id="458"/>
    <w:bookmarkEnd w:id="459"/>
    <w:bookmarkEnd w:id="460"/>
    <w:p w14:paraId="0545AEB6">
      <w:pPr>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发包人和承包人可以为其施工现场的全部人员办理意外伤害保险并支付保险费，包括其员工及为履行合同聘请的第三方的人员，具体事项由合同当事人在专用合同条款约定。</w:t>
      </w:r>
    </w:p>
    <w:p w14:paraId="37C23825">
      <w:pPr>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除专用合同条款另有约定外，承包人应为其施工设备等办理财产保险。</w:t>
      </w:r>
    </w:p>
    <w:p w14:paraId="55D22B2C">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61" w:name="_Toc351203616"/>
      <w:r>
        <w:rPr>
          <w:rFonts w:ascii="宋体" w:hAnsi="宋体"/>
          <w:color w:val="000000" w:themeColor="text1"/>
          <w:sz w:val="24"/>
          <w:szCs w:val="24"/>
          <w:highlight w:val="none"/>
          <w14:textFill>
            <w14:solidFill>
              <w14:schemeClr w14:val="tx1"/>
            </w14:solidFill>
          </w14:textFill>
        </w:rPr>
        <w:t>18.4持续保险</w:t>
      </w:r>
      <w:bookmarkEnd w:id="461"/>
    </w:p>
    <w:p w14:paraId="4667A482">
      <w:pPr>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合同当事人应与保险人保持联系，使保险人能够随时了解工程实施中的变动，并确保按保险合同条款要求持续保险。</w:t>
      </w:r>
    </w:p>
    <w:p w14:paraId="1786EF66">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62" w:name="_Toc351203617"/>
      <w:bookmarkStart w:id="463" w:name="_Toc337558832"/>
      <w:bookmarkStart w:id="464" w:name="_Toc296503126"/>
      <w:bookmarkStart w:id="465" w:name="_Toc296346627"/>
      <w:r>
        <w:rPr>
          <w:rFonts w:ascii="宋体" w:hAnsi="宋体"/>
          <w:color w:val="000000" w:themeColor="text1"/>
          <w:sz w:val="24"/>
          <w:szCs w:val="24"/>
          <w:highlight w:val="none"/>
          <w14:textFill>
            <w14:solidFill>
              <w14:schemeClr w14:val="tx1"/>
            </w14:solidFill>
          </w14:textFill>
        </w:rPr>
        <w:t xml:space="preserve">18.5 </w:t>
      </w:r>
      <w:r>
        <w:rPr>
          <w:rFonts w:hint="eastAsia" w:ascii="宋体" w:hAnsi="宋体"/>
          <w:color w:val="000000" w:themeColor="text1"/>
          <w:sz w:val="24"/>
          <w:szCs w:val="24"/>
          <w:highlight w:val="none"/>
          <w14:textFill>
            <w14:solidFill>
              <w14:schemeClr w14:val="tx1"/>
            </w14:solidFill>
          </w14:textFill>
        </w:rPr>
        <w:t>保险凭证</w:t>
      </w:r>
      <w:bookmarkEnd w:id="462"/>
    </w:p>
    <w:bookmarkEnd w:id="463"/>
    <w:bookmarkEnd w:id="464"/>
    <w:bookmarkEnd w:id="465"/>
    <w:p w14:paraId="42BC0837">
      <w:pPr>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合同当事人应及时向另一方当事人提交其已投保的各项保险的凭证和保险单复印件。</w:t>
      </w:r>
    </w:p>
    <w:p w14:paraId="07EBA473">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66" w:name="_Toc351203618"/>
      <w:bookmarkStart w:id="467" w:name="_Toc296346628"/>
      <w:bookmarkStart w:id="468" w:name="_Toc296503127"/>
      <w:bookmarkStart w:id="469" w:name="_Toc337558833"/>
      <w:r>
        <w:rPr>
          <w:rFonts w:ascii="宋体" w:hAnsi="宋体"/>
          <w:color w:val="000000" w:themeColor="text1"/>
          <w:sz w:val="24"/>
          <w:szCs w:val="24"/>
          <w:highlight w:val="none"/>
          <w14:textFill>
            <w14:solidFill>
              <w14:schemeClr w14:val="tx1"/>
            </w14:solidFill>
          </w14:textFill>
        </w:rPr>
        <w:t xml:space="preserve">18.6 </w:t>
      </w:r>
      <w:r>
        <w:rPr>
          <w:rFonts w:hint="eastAsia" w:ascii="宋体" w:hAnsi="宋体"/>
          <w:color w:val="000000" w:themeColor="text1"/>
          <w:sz w:val="24"/>
          <w:szCs w:val="24"/>
          <w:highlight w:val="none"/>
          <w14:textFill>
            <w14:solidFill>
              <w14:schemeClr w14:val="tx1"/>
            </w14:solidFill>
          </w14:textFill>
        </w:rPr>
        <w:t>未按约定投保的补救</w:t>
      </w:r>
      <w:bookmarkEnd w:id="466"/>
    </w:p>
    <w:bookmarkEnd w:id="467"/>
    <w:bookmarkEnd w:id="468"/>
    <w:bookmarkEnd w:id="469"/>
    <w:p w14:paraId="09500D15">
      <w:pPr>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18.6.1发包人未按合同约定办理保险，或未能使保险持续有效的，则承包人可代为办理，所需费用由发包人承担。发包人未按合同约定办理保险，导致未能得到足额赔偿的，由发包人负责补足。</w:t>
      </w:r>
    </w:p>
    <w:p w14:paraId="44A02B45">
      <w:pPr>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18.6.2承包人未按合同约定办理保险，或未能使保险持续有效的，则发包人可代为办理，所需费用由承包人承担。承包人未按合同约定办理保险，导致未能得到足额赔偿的，由承包人负责补足。</w:t>
      </w:r>
    </w:p>
    <w:p w14:paraId="222CD0D9">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70" w:name="_Toc351203619"/>
      <w:bookmarkStart w:id="471" w:name="_Toc337558834"/>
      <w:r>
        <w:rPr>
          <w:rFonts w:ascii="宋体" w:hAnsi="宋体"/>
          <w:color w:val="000000" w:themeColor="text1"/>
          <w:sz w:val="24"/>
          <w:szCs w:val="24"/>
          <w:highlight w:val="none"/>
          <w14:textFill>
            <w14:solidFill>
              <w14:schemeClr w14:val="tx1"/>
            </w14:solidFill>
          </w14:textFill>
        </w:rPr>
        <w:t xml:space="preserve">18.7 </w:t>
      </w:r>
      <w:r>
        <w:rPr>
          <w:rFonts w:hint="eastAsia" w:ascii="宋体" w:hAnsi="宋体"/>
          <w:color w:val="000000" w:themeColor="text1"/>
          <w:sz w:val="24"/>
          <w:szCs w:val="24"/>
          <w:highlight w:val="none"/>
          <w14:textFill>
            <w14:solidFill>
              <w14:schemeClr w14:val="tx1"/>
            </w14:solidFill>
          </w14:textFill>
        </w:rPr>
        <w:t>通知义务</w:t>
      </w:r>
      <w:bookmarkEnd w:id="470"/>
    </w:p>
    <w:bookmarkEnd w:id="471"/>
    <w:p w14:paraId="67F6F51E">
      <w:pPr>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除专用合同条款另有约定外，发包人变更除工伤保险之外的保险合同时，应事先征得承包人同意，并通知监理人；承包人变更除工伤保险之外的保险合同时，应事先征得发包人同意，并通知监理人。</w:t>
      </w:r>
    </w:p>
    <w:p w14:paraId="1151524B">
      <w:pPr>
        <w:spacing w:line="360" w:lineRule="auto"/>
        <w:ind w:firstLine="480" w:firstLineChars="200"/>
        <w:jc w:val="lef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保险事故发生时，投保人应按照保险合同规定的条件和期限及时向保险人报告。发包人和承包人应当在知道保险事故发生后及时通知对方。</w:t>
      </w:r>
    </w:p>
    <w:p w14:paraId="58B8B184">
      <w:pPr>
        <w:spacing w:line="360" w:lineRule="auto"/>
        <w:ind w:firstLine="480" w:firstLineChars="200"/>
        <w:outlineLvl w:val="9"/>
        <w:rPr>
          <w:rFonts w:ascii="宋体" w:hAnsi="宋体" w:eastAsia="宋体"/>
          <w:b w:val="0"/>
          <w:color w:val="000000" w:themeColor="text1"/>
          <w:sz w:val="24"/>
          <w:szCs w:val="24"/>
          <w:highlight w:val="none"/>
          <w14:textFill>
            <w14:solidFill>
              <w14:schemeClr w14:val="tx1"/>
            </w14:solidFill>
          </w14:textFill>
        </w:rPr>
      </w:pPr>
      <w:bookmarkStart w:id="472" w:name="_Toc351203620"/>
      <w:bookmarkStart w:id="473" w:name="_Toc337558835"/>
      <w:bookmarkStart w:id="474" w:name="_Toc296346641"/>
      <w:bookmarkStart w:id="475" w:name="_Toc296503140"/>
      <w:r>
        <w:rPr>
          <w:rFonts w:ascii="宋体" w:hAnsi="宋体" w:eastAsia="宋体"/>
          <w:b w:val="0"/>
          <w:color w:val="000000" w:themeColor="text1"/>
          <w:sz w:val="24"/>
          <w:szCs w:val="24"/>
          <w:highlight w:val="none"/>
          <w14:textFill>
            <w14:solidFill>
              <w14:schemeClr w14:val="tx1"/>
            </w14:solidFill>
          </w14:textFill>
        </w:rPr>
        <w:t xml:space="preserve">19. </w:t>
      </w:r>
      <w:r>
        <w:rPr>
          <w:rFonts w:hint="eastAsia" w:ascii="宋体" w:hAnsi="宋体" w:eastAsia="宋体"/>
          <w:b w:val="0"/>
          <w:color w:val="000000" w:themeColor="text1"/>
          <w:sz w:val="24"/>
          <w:szCs w:val="24"/>
          <w:highlight w:val="none"/>
          <w14:textFill>
            <w14:solidFill>
              <w14:schemeClr w14:val="tx1"/>
            </w14:solidFill>
          </w14:textFill>
        </w:rPr>
        <w:t>索赔</w:t>
      </w:r>
      <w:bookmarkEnd w:id="472"/>
    </w:p>
    <w:bookmarkEnd w:id="473"/>
    <w:bookmarkEnd w:id="474"/>
    <w:bookmarkEnd w:id="475"/>
    <w:p w14:paraId="271984F1">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76" w:name="_Toc351203621"/>
      <w:bookmarkStart w:id="477" w:name="_Toc337558836"/>
      <w:bookmarkStart w:id="478" w:name="_Toc296503141"/>
      <w:bookmarkStart w:id="479" w:name="_Toc296346642"/>
      <w:r>
        <w:rPr>
          <w:rFonts w:ascii="宋体" w:hAnsi="宋体"/>
          <w:color w:val="000000" w:themeColor="text1"/>
          <w:sz w:val="24"/>
          <w:szCs w:val="24"/>
          <w:highlight w:val="none"/>
          <w14:textFill>
            <w14:solidFill>
              <w14:schemeClr w14:val="tx1"/>
            </w14:solidFill>
          </w14:textFill>
        </w:rPr>
        <w:t>19.1承包人的索赔</w:t>
      </w:r>
      <w:bookmarkEnd w:id="476"/>
    </w:p>
    <w:bookmarkEnd w:id="477"/>
    <w:bookmarkEnd w:id="478"/>
    <w:bookmarkEnd w:id="479"/>
    <w:p w14:paraId="13F8920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根据合同约定，承包人认为有权得到追加付款和（或）延长工期的，应按以下程序向发包人提出索赔：</w:t>
      </w:r>
    </w:p>
    <w:p w14:paraId="776E23D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1）承包人应在知道或应当知道索赔事件发生后28天内，向监理人递交索赔意向通知书，并说明发生索赔事件的事由；承包人未在前述28天内发出索赔意向通知书的，丧失要求追加付款和（或）延长工期的权利；</w:t>
      </w:r>
    </w:p>
    <w:p w14:paraId="2157BB6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2）承包人应在发出索赔意向通知书后28天内，向监理人正式递交索赔报告；索赔报告应详细说明索赔理由以及要求追加的付款金额和（或）延长的工期，并附必要的记录和证明材料；</w:t>
      </w:r>
    </w:p>
    <w:p w14:paraId="4E7C036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3）索赔事件具有持续影响的，承包人应按合理时间间隔继续递交延续索赔通知，说明持续影响的实际情况和记录，列出累计的追加付款金额和（或）工期延长天数；</w:t>
      </w:r>
    </w:p>
    <w:p w14:paraId="2CE65AE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4）在索赔事件影响结束后28天内，承包人应向监理人递交最终索赔报告，说明最终要求索赔的追加付款金额和（或）延长的工期，并附必要的记录和证明材料。</w:t>
      </w:r>
    </w:p>
    <w:p w14:paraId="522DF9F8">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80" w:name="_Toc351203622"/>
      <w:bookmarkStart w:id="481" w:name="_Toc296503142"/>
      <w:bookmarkStart w:id="482" w:name="_Toc296346643"/>
      <w:bookmarkStart w:id="483" w:name="_Toc337558837"/>
      <w:r>
        <w:rPr>
          <w:rFonts w:ascii="宋体" w:hAnsi="宋体"/>
          <w:color w:val="000000" w:themeColor="text1"/>
          <w:sz w:val="24"/>
          <w:szCs w:val="24"/>
          <w:highlight w:val="none"/>
          <w14:textFill>
            <w14:solidFill>
              <w14:schemeClr w14:val="tx1"/>
            </w14:solidFill>
          </w14:textFill>
        </w:rPr>
        <w:t xml:space="preserve">19.2 </w:t>
      </w:r>
      <w:r>
        <w:rPr>
          <w:rFonts w:hint="eastAsia" w:ascii="宋体" w:hAnsi="宋体"/>
          <w:color w:val="000000" w:themeColor="text1"/>
          <w:sz w:val="24"/>
          <w:szCs w:val="24"/>
          <w:highlight w:val="none"/>
          <w14:textFill>
            <w14:solidFill>
              <w14:schemeClr w14:val="tx1"/>
            </w14:solidFill>
          </w14:textFill>
        </w:rPr>
        <w:t>对承包人索赔的处理</w:t>
      </w:r>
      <w:bookmarkEnd w:id="480"/>
    </w:p>
    <w:bookmarkEnd w:id="481"/>
    <w:bookmarkEnd w:id="482"/>
    <w:bookmarkEnd w:id="483"/>
    <w:p w14:paraId="2636F6E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对承包人索赔的处理如下：</w:t>
      </w:r>
    </w:p>
    <w:p w14:paraId="726985BB">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1）监理人应在收到索赔报告后14天内完成审查并报送发包人。监理人对索赔报告存在异议的，有权要求承包人提交全部原始记录副本；</w:t>
      </w:r>
    </w:p>
    <w:p w14:paraId="02648E1A">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2）发包人应在监理人收到索赔报告或有关索赔的进一步证明材料后的28天内，由监理人向承包人出具经发包人签认的索赔处理结果。发包人逾期答复的，则视为认可承包人的索赔要求；</w:t>
      </w:r>
    </w:p>
    <w:p w14:paraId="3698306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3）承包人接受索赔处理结果的，索赔款项在当期进度款中进行支付；承包人不接受索赔处理结果的，按照第20条〔争议解决〕约定处理。</w:t>
      </w:r>
    </w:p>
    <w:p w14:paraId="085D7554">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84" w:name="_Toc351203623"/>
      <w:bookmarkStart w:id="485" w:name="_Toc337558838"/>
      <w:bookmarkStart w:id="486" w:name="_Toc296503143"/>
      <w:bookmarkStart w:id="487" w:name="_Toc296346644"/>
      <w:r>
        <w:rPr>
          <w:rFonts w:ascii="宋体" w:hAnsi="宋体"/>
          <w:color w:val="000000" w:themeColor="text1"/>
          <w:sz w:val="24"/>
          <w:szCs w:val="24"/>
          <w:highlight w:val="none"/>
          <w14:textFill>
            <w14:solidFill>
              <w14:schemeClr w14:val="tx1"/>
            </w14:solidFill>
          </w14:textFill>
        </w:rPr>
        <w:t>19.3发包人的索赔</w:t>
      </w:r>
      <w:bookmarkEnd w:id="484"/>
    </w:p>
    <w:bookmarkEnd w:id="485"/>
    <w:bookmarkEnd w:id="486"/>
    <w:bookmarkEnd w:id="487"/>
    <w:p w14:paraId="63E7F43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根据合同约定，发包人认为有权得到赔付金额和（或）延长缺陷责任期的，监理人应向承包人发出通知并附有详细的证明。</w:t>
      </w:r>
    </w:p>
    <w:p w14:paraId="7C0FF02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发包人应在知道或应当知道索赔事件发生后</w:t>
      </w:r>
      <w:r>
        <w:rPr>
          <w:rFonts w:ascii="宋体" w:hAnsi="宋体"/>
          <w:color w:val="000000" w:themeColor="text1"/>
          <w:kern w:val="0"/>
          <w:sz w:val="24"/>
          <w:szCs w:val="24"/>
          <w:highlight w:val="none"/>
          <w14:textFill>
            <w14:solidFill>
              <w14:schemeClr w14:val="tx1"/>
            </w14:solidFill>
          </w14:textFill>
        </w:rPr>
        <w:t>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p>
    <w:p w14:paraId="1D4DCE29">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88" w:name="_Toc351203624"/>
      <w:bookmarkStart w:id="489" w:name="_Toc296503144"/>
      <w:bookmarkStart w:id="490" w:name="_Toc337558839"/>
      <w:bookmarkStart w:id="491" w:name="_Toc296346645"/>
      <w:r>
        <w:rPr>
          <w:rFonts w:ascii="宋体" w:hAnsi="宋体"/>
          <w:color w:val="000000" w:themeColor="text1"/>
          <w:sz w:val="24"/>
          <w:szCs w:val="24"/>
          <w:highlight w:val="none"/>
          <w14:textFill>
            <w14:solidFill>
              <w14:schemeClr w14:val="tx1"/>
            </w14:solidFill>
          </w14:textFill>
        </w:rPr>
        <w:t xml:space="preserve">19.4 </w:t>
      </w:r>
      <w:r>
        <w:rPr>
          <w:rFonts w:hint="eastAsia" w:ascii="宋体" w:hAnsi="宋体"/>
          <w:color w:val="000000" w:themeColor="text1"/>
          <w:sz w:val="24"/>
          <w:szCs w:val="24"/>
          <w:highlight w:val="none"/>
          <w14:textFill>
            <w14:solidFill>
              <w14:schemeClr w14:val="tx1"/>
            </w14:solidFill>
          </w14:textFill>
        </w:rPr>
        <w:t>对发包人索赔的处理</w:t>
      </w:r>
      <w:bookmarkEnd w:id="488"/>
    </w:p>
    <w:bookmarkEnd w:id="489"/>
    <w:bookmarkEnd w:id="490"/>
    <w:bookmarkEnd w:id="491"/>
    <w:p w14:paraId="1CB65B8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对发包人索赔的处理如下：</w:t>
      </w:r>
    </w:p>
    <w:p w14:paraId="75948AF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1）承包人收到发包人提交的索赔报告后，应及时审查索赔报告的内容、查验发包人证明材料；</w:t>
      </w:r>
    </w:p>
    <w:p w14:paraId="00FDAFE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2）承包人应在收到索赔报告或有关索赔的进一步证明材料后28天内，将索赔处理结果答复发包人。如果承包人未在上述期限内作出答复的，则视为对发包人索赔要求的认可；</w:t>
      </w:r>
    </w:p>
    <w:p w14:paraId="3104BF2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3）承包人接受索赔处理结果的，发包人可从应支付给承包人的合同价款中扣除赔付的金额或延长缺陷责任期；发包人不接受索赔处理结果的，按第20条〔争议解决〕约定处理。</w:t>
      </w:r>
    </w:p>
    <w:p w14:paraId="7AC77C5A">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92" w:name="_Toc351203625"/>
      <w:r>
        <w:rPr>
          <w:rFonts w:ascii="宋体" w:hAnsi="宋体"/>
          <w:color w:val="000000" w:themeColor="text1"/>
          <w:sz w:val="24"/>
          <w:szCs w:val="24"/>
          <w:highlight w:val="none"/>
          <w14:textFill>
            <w14:solidFill>
              <w14:schemeClr w14:val="tx1"/>
            </w14:solidFill>
          </w14:textFill>
        </w:rPr>
        <w:t xml:space="preserve">19.5 </w:t>
      </w:r>
      <w:r>
        <w:rPr>
          <w:rFonts w:hint="eastAsia" w:ascii="宋体" w:hAnsi="宋体"/>
          <w:color w:val="000000" w:themeColor="text1"/>
          <w:sz w:val="24"/>
          <w:szCs w:val="24"/>
          <w:highlight w:val="none"/>
          <w14:textFill>
            <w14:solidFill>
              <w14:schemeClr w14:val="tx1"/>
            </w14:solidFill>
          </w14:textFill>
        </w:rPr>
        <w:t>提出索赔的期限</w:t>
      </w:r>
      <w:bookmarkEnd w:id="492"/>
    </w:p>
    <w:p w14:paraId="72F63D2D">
      <w:pPr>
        <w:spacing w:line="360" w:lineRule="auto"/>
        <w:ind w:firstLine="480" w:firstLineChars="200"/>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1）承包人按第14.2款〔竣工结算审核〕约定接收竣工付款证书后，应被视为已无权再提出在工程接收证书颁发前所发生的任何索赔。</w:t>
      </w:r>
    </w:p>
    <w:p w14:paraId="069AF7DB">
      <w:pPr>
        <w:spacing w:line="360" w:lineRule="auto"/>
        <w:ind w:firstLine="480" w:firstLineChars="200"/>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2）承包人按第14.4款〔最终结清〕提交的最终结清申请单中，只限于提出工程接收证书颁发后发生的索赔。提出索赔的期限自接受最终结清证书时终止。</w:t>
      </w:r>
    </w:p>
    <w:p w14:paraId="6C462E15">
      <w:pPr>
        <w:spacing w:line="360" w:lineRule="auto"/>
        <w:ind w:firstLine="480" w:firstLineChars="200"/>
        <w:outlineLvl w:val="9"/>
        <w:rPr>
          <w:rFonts w:ascii="宋体" w:hAnsi="宋体" w:eastAsia="宋体"/>
          <w:b w:val="0"/>
          <w:color w:val="000000" w:themeColor="text1"/>
          <w:sz w:val="24"/>
          <w:szCs w:val="24"/>
          <w:highlight w:val="none"/>
          <w14:textFill>
            <w14:solidFill>
              <w14:schemeClr w14:val="tx1"/>
            </w14:solidFill>
          </w14:textFill>
        </w:rPr>
      </w:pPr>
      <w:bookmarkStart w:id="493" w:name="_Toc351203626"/>
      <w:r>
        <w:rPr>
          <w:rFonts w:ascii="宋体" w:hAnsi="宋体" w:eastAsia="宋体"/>
          <w:b w:val="0"/>
          <w:color w:val="000000" w:themeColor="text1"/>
          <w:sz w:val="24"/>
          <w:szCs w:val="24"/>
          <w:highlight w:val="none"/>
          <w14:textFill>
            <w14:solidFill>
              <w14:schemeClr w14:val="tx1"/>
            </w14:solidFill>
          </w14:textFill>
        </w:rPr>
        <w:t>20</w:t>
      </w:r>
      <w:bookmarkStart w:id="494" w:name="_Toc296346647"/>
      <w:bookmarkStart w:id="495" w:name="_Toc296503146"/>
      <w:bookmarkStart w:id="496" w:name="_Toc337558840"/>
      <w:r>
        <w:rPr>
          <w:rFonts w:ascii="宋体" w:hAnsi="宋体" w:eastAsia="宋体"/>
          <w:b w:val="0"/>
          <w:color w:val="000000" w:themeColor="text1"/>
          <w:sz w:val="24"/>
          <w:szCs w:val="24"/>
          <w:highlight w:val="none"/>
          <w14:textFill>
            <w14:solidFill>
              <w14:schemeClr w14:val="tx1"/>
            </w14:solidFill>
          </w14:textFill>
        </w:rPr>
        <w:t xml:space="preserve">. </w:t>
      </w:r>
      <w:r>
        <w:rPr>
          <w:rFonts w:hint="eastAsia" w:ascii="宋体" w:hAnsi="宋体" w:eastAsia="宋体"/>
          <w:b w:val="0"/>
          <w:color w:val="000000" w:themeColor="text1"/>
          <w:sz w:val="24"/>
          <w:szCs w:val="24"/>
          <w:highlight w:val="none"/>
          <w14:textFill>
            <w14:solidFill>
              <w14:schemeClr w14:val="tx1"/>
            </w14:solidFill>
          </w14:textFill>
        </w:rPr>
        <w:t>争议解决</w:t>
      </w:r>
      <w:bookmarkEnd w:id="493"/>
    </w:p>
    <w:bookmarkEnd w:id="494"/>
    <w:bookmarkEnd w:id="495"/>
    <w:bookmarkEnd w:id="496"/>
    <w:p w14:paraId="4AAEAACA">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497" w:name="_Toc351203627"/>
      <w:bookmarkStart w:id="498" w:name="_Toc296503147"/>
      <w:bookmarkStart w:id="499" w:name="_Toc296346648"/>
      <w:bookmarkStart w:id="500" w:name="_Toc337558841"/>
      <w:r>
        <w:rPr>
          <w:rFonts w:ascii="宋体" w:hAnsi="宋体"/>
          <w:color w:val="000000" w:themeColor="text1"/>
          <w:sz w:val="24"/>
          <w:szCs w:val="24"/>
          <w:highlight w:val="none"/>
          <w14:textFill>
            <w14:solidFill>
              <w14:schemeClr w14:val="tx1"/>
            </w14:solidFill>
          </w14:textFill>
        </w:rPr>
        <w:t>20.1和解</w:t>
      </w:r>
      <w:bookmarkEnd w:id="497"/>
    </w:p>
    <w:bookmarkEnd w:id="498"/>
    <w:bookmarkEnd w:id="499"/>
    <w:bookmarkEnd w:id="500"/>
    <w:p w14:paraId="757F178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合同当事人可以就争议自行和解，自行和解达成协议的经双方签字并盖章后作为合同补充文件，双方均应遵照执行。</w:t>
      </w:r>
    </w:p>
    <w:p w14:paraId="5CC0CDF6">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501" w:name="_Toc351203628"/>
      <w:r>
        <w:rPr>
          <w:rFonts w:ascii="宋体" w:hAnsi="宋体"/>
          <w:color w:val="000000" w:themeColor="text1"/>
          <w:sz w:val="24"/>
          <w:szCs w:val="24"/>
          <w:highlight w:val="none"/>
          <w14:textFill>
            <w14:solidFill>
              <w14:schemeClr w14:val="tx1"/>
            </w14:solidFill>
          </w14:textFill>
        </w:rPr>
        <w:t>20</w:t>
      </w:r>
      <w:bookmarkStart w:id="502" w:name="_Toc296503148"/>
      <w:bookmarkStart w:id="503" w:name="_Toc296346649"/>
      <w:bookmarkStart w:id="504" w:name="_Toc337558842"/>
      <w:r>
        <w:rPr>
          <w:rFonts w:ascii="宋体" w:hAnsi="宋体"/>
          <w:color w:val="000000" w:themeColor="text1"/>
          <w:sz w:val="24"/>
          <w:szCs w:val="24"/>
          <w:highlight w:val="none"/>
          <w14:textFill>
            <w14:solidFill>
              <w14:schemeClr w14:val="tx1"/>
            </w14:solidFill>
          </w14:textFill>
        </w:rPr>
        <w:t>.2调解</w:t>
      </w:r>
      <w:bookmarkEnd w:id="501"/>
    </w:p>
    <w:bookmarkEnd w:id="502"/>
    <w:bookmarkEnd w:id="503"/>
    <w:bookmarkEnd w:id="504"/>
    <w:p w14:paraId="10A0E29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合同当事人可以就争议请求建设行政主管部门、行业协会或其他第三方进行调解，调解达成协议的，经双方签字并盖章后作为合同补充文件，双方均应遵照执行。</w:t>
      </w:r>
    </w:p>
    <w:p w14:paraId="24138D7F">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505" w:name="_Toc351203629"/>
      <w:bookmarkStart w:id="506" w:name="_Toc296503149"/>
      <w:bookmarkStart w:id="507" w:name="_Toc337558843"/>
      <w:bookmarkStart w:id="508" w:name="_Toc296346650"/>
      <w:r>
        <w:rPr>
          <w:rFonts w:ascii="宋体" w:hAnsi="宋体"/>
          <w:color w:val="000000" w:themeColor="text1"/>
          <w:sz w:val="24"/>
          <w:szCs w:val="24"/>
          <w:highlight w:val="none"/>
          <w14:textFill>
            <w14:solidFill>
              <w14:schemeClr w14:val="tx1"/>
            </w14:solidFill>
          </w14:textFill>
        </w:rPr>
        <w:t>20.3争议评审</w:t>
      </w:r>
      <w:bookmarkEnd w:id="505"/>
    </w:p>
    <w:bookmarkEnd w:id="506"/>
    <w:bookmarkEnd w:id="507"/>
    <w:bookmarkEnd w:id="508"/>
    <w:p w14:paraId="2201D7A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合同当事人在专用合同条款中约定采取争议评审方式解决争议以及评审规则，并按下列约定执行：</w:t>
      </w:r>
      <w:r>
        <w:rPr>
          <w:rFonts w:ascii="宋体" w:hAnsi="宋体"/>
          <w:color w:val="000000" w:themeColor="text1"/>
          <w:kern w:val="0"/>
          <w:sz w:val="24"/>
          <w:szCs w:val="24"/>
          <w:highlight w:val="none"/>
          <w14:textFill>
            <w14:solidFill>
              <w14:schemeClr w14:val="tx1"/>
            </w14:solidFill>
          </w14:textFill>
        </w:rPr>
        <w:t xml:space="preserve"> </w:t>
      </w:r>
    </w:p>
    <w:p w14:paraId="0472CF3E">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20.3.1 </w:t>
      </w:r>
      <w:r>
        <w:rPr>
          <w:rFonts w:hint="eastAsia" w:ascii="宋体" w:hAnsi="宋体"/>
          <w:color w:val="000000" w:themeColor="text1"/>
          <w:kern w:val="0"/>
          <w:sz w:val="24"/>
          <w:szCs w:val="24"/>
          <w:highlight w:val="none"/>
          <w14:textFill>
            <w14:solidFill>
              <w14:schemeClr w14:val="tx1"/>
            </w14:solidFill>
          </w14:textFill>
        </w:rPr>
        <w:t>争议评审小组的确定</w:t>
      </w:r>
    </w:p>
    <w:p w14:paraId="01DD1438">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合同当事人可以共同选择一名或三名争议评审员，组成争议评审小组。除专用合同条款另有约定外，合同当事人应当自合同签订后</w:t>
      </w:r>
      <w:r>
        <w:rPr>
          <w:rFonts w:ascii="宋体" w:hAnsi="宋体"/>
          <w:color w:val="000000" w:themeColor="text1"/>
          <w:kern w:val="0"/>
          <w:sz w:val="24"/>
          <w:szCs w:val="24"/>
          <w:highlight w:val="none"/>
          <w14:textFill>
            <w14:solidFill>
              <w14:schemeClr w14:val="tx1"/>
            </w14:solidFill>
          </w14:textFill>
        </w:rPr>
        <w:t>28天内，或者争议发生后14天内，选定争议评审员。</w:t>
      </w:r>
    </w:p>
    <w:p w14:paraId="28E305F3">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选择一名争议评审员的，由合同当事人共同确定；选择三名争议评审员的，各自选定一名，第三名成员为首席争议评审员，由合同当事人共同确定或由合同当事人委托已选定的争议评审员共同确定，或由专用合同条款约定的评审机构指定第三名首席争议评审员。</w:t>
      </w:r>
      <w:r>
        <w:rPr>
          <w:rFonts w:ascii="宋体" w:hAnsi="宋体"/>
          <w:color w:val="000000" w:themeColor="text1"/>
          <w:kern w:val="0"/>
          <w:sz w:val="24"/>
          <w:szCs w:val="24"/>
          <w:highlight w:val="none"/>
          <w14:textFill>
            <w14:solidFill>
              <w14:schemeClr w14:val="tx1"/>
            </w14:solidFill>
          </w14:textFill>
        </w:rPr>
        <w:t xml:space="preserve"> </w:t>
      </w:r>
    </w:p>
    <w:p w14:paraId="752283C0">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除专用合同条款另有约定外，评审员报酬由发包人和承包人各承担一半。</w:t>
      </w:r>
    </w:p>
    <w:p w14:paraId="6F6E7FD7">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20.3.2 </w:t>
      </w:r>
      <w:r>
        <w:rPr>
          <w:rFonts w:hint="eastAsia" w:ascii="宋体" w:hAnsi="宋体"/>
          <w:color w:val="000000" w:themeColor="text1"/>
          <w:kern w:val="0"/>
          <w:sz w:val="24"/>
          <w:szCs w:val="24"/>
          <w:highlight w:val="none"/>
          <w14:textFill>
            <w14:solidFill>
              <w14:schemeClr w14:val="tx1"/>
            </w14:solidFill>
          </w14:textFill>
        </w:rPr>
        <w:t>争议评审小组的决定</w:t>
      </w:r>
    </w:p>
    <w:p w14:paraId="0D350F3F">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w:t>
      </w:r>
      <w:r>
        <w:rPr>
          <w:rFonts w:ascii="宋体" w:hAnsi="宋体"/>
          <w:color w:val="000000" w:themeColor="text1"/>
          <w:kern w:val="0"/>
          <w:sz w:val="24"/>
          <w:szCs w:val="24"/>
          <w:highlight w:val="none"/>
          <w14:textFill>
            <w14:solidFill>
              <w14:schemeClr w14:val="tx1"/>
            </w14:solidFill>
          </w14:textFill>
        </w:rPr>
        <w:t>14天内作出书面决定，并说明理由。合同当事人可以在专用合同条款中对本项事项另行约定。</w:t>
      </w:r>
    </w:p>
    <w:p w14:paraId="4F8E4512">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ascii="宋体" w:hAnsi="宋体"/>
          <w:color w:val="000000" w:themeColor="text1"/>
          <w:kern w:val="0"/>
          <w:sz w:val="24"/>
          <w:szCs w:val="24"/>
          <w:highlight w:val="none"/>
          <w14:textFill>
            <w14:solidFill>
              <w14:schemeClr w14:val="tx1"/>
            </w14:solidFill>
          </w14:textFill>
        </w:rPr>
        <w:t xml:space="preserve">20.3.3 </w:t>
      </w:r>
      <w:r>
        <w:rPr>
          <w:rFonts w:hint="eastAsia" w:ascii="宋体" w:hAnsi="宋体"/>
          <w:color w:val="000000" w:themeColor="text1"/>
          <w:kern w:val="0"/>
          <w:sz w:val="24"/>
          <w:szCs w:val="24"/>
          <w:highlight w:val="none"/>
          <w14:textFill>
            <w14:solidFill>
              <w14:schemeClr w14:val="tx1"/>
            </w14:solidFill>
          </w14:textFill>
        </w:rPr>
        <w:t>争议评审小组决定的效力</w:t>
      </w:r>
    </w:p>
    <w:p w14:paraId="46A9B481">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争议评审小组作出的书面决定经合同当事人签字确认后，对双方具有约束力，双方应遵照执行。</w:t>
      </w:r>
    </w:p>
    <w:p w14:paraId="39BA9FA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任何一方当事人不接受争议评审小组决定或不履行争议评审小组决定的，双方可选择采用其他争议解决方式。</w:t>
      </w:r>
    </w:p>
    <w:p w14:paraId="4FB92A41">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509" w:name="_Toc351203630"/>
      <w:bookmarkStart w:id="510" w:name="_Toc337558844"/>
      <w:bookmarkStart w:id="511" w:name="_Toc296503150"/>
      <w:bookmarkStart w:id="512" w:name="_Toc296346651"/>
      <w:r>
        <w:rPr>
          <w:rFonts w:ascii="宋体" w:hAnsi="宋体"/>
          <w:color w:val="000000" w:themeColor="text1"/>
          <w:sz w:val="24"/>
          <w:szCs w:val="24"/>
          <w:highlight w:val="none"/>
          <w14:textFill>
            <w14:solidFill>
              <w14:schemeClr w14:val="tx1"/>
            </w14:solidFill>
          </w14:textFill>
        </w:rPr>
        <w:t>20.4仲裁或诉讼</w:t>
      </w:r>
      <w:bookmarkEnd w:id="509"/>
    </w:p>
    <w:bookmarkEnd w:id="510"/>
    <w:bookmarkEnd w:id="511"/>
    <w:bookmarkEnd w:id="512"/>
    <w:p w14:paraId="73BDBB35">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因合同及合同有关事项产生的争议，合同当事人可以在专用合同条款中约定以下一种方式解决争议：</w:t>
      </w:r>
    </w:p>
    <w:p w14:paraId="6276DCD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1）向约定的仲裁委员会申请仲裁；</w:t>
      </w:r>
    </w:p>
    <w:p w14:paraId="7A4FA96D">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w:t>
      </w:r>
      <w:r>
        <w:rPr>
          <w:rFonts w:ascii="宋体" w:hAnsi="宋体"/>
          <w:color w:val="000000" w:themeColor="text1"/>
          <w:kern w:val="0"/>
          <w:sz w:val="24"/>
          <w:szCs w:val="24"/>
          <w:highlight w:val="none"/>
          <w14:textFill>
            <w14:solidFill>
              <w14:schemeClr w14:val="tx1"/>
            </w14:solidFill>
          </w14:textFill>
        </w:rPr>
        <w:t>2）向有管辖权的人民法院起诉。</w:t>
      </w:r>
    </w:p>
    <w:p w14:paraId="7B2C6F67">
      <w:pPr>
        <w:spacing w:before="100" w:after="100" w:line="360" w:lineRule="auto"/>
        <w:ind w:firstLine="480" w:firstLineChars="200"/>
        <w:rPr>
          <w:rFonts w:ascii="宋体" w:hAnsi="宋体"/>
          <w:color w:val="000000" w:themeColor="text1"/>
          <w:sz w:val="24"/>
          <w:szCs w:val="24"/>
          <w:highlight w:val="none"/>
          <w14:textFill>
            <w14:solidFill>
              <w14:schemeClr w14:val="tx1"/>
            </w14:solidFill>
          </w14:textFill>
        </w:rPr>
      </w:pPr>
      <w:bookmarkStart w:id="513" w:name="_Toc351203631"/>
      <w:bookmarkStart w:id="514" w:name="_Toc296346653"/>
      <w:bookmarkStart w:id="515" w:name="_Toc296503152"/>
      <w:bookmarkStart w:id="516" w:name="_Toc337558845"/>
      <w:r>
        <w:rPr>
          <w:rFonts w:ascii="宋体" w:hAnsi="宋体"/>
          <w:color w:val="000000" w:themeColor="text1"/>
          <w:sz w:val="24"/>
          <w:szCs w:val="24"/>
          <w:highlight w:val="none"/>
          <w14:textFill>
            <w14:solidFill>
              <w14:schemeClr w14:val="tx1"/>
            </w14:solidFill>
          </w14:textFill>
        </w:rPr>
        <w:t>20.5争议解决条款效力</w:t>
      </w:r>
      <w:bookmarkEnd w:id="513"/>
    </w:p>
    <w:bookmarkEnd w:id="514"/>
    <w:bookmarkEnd w:id="515"/>
    <w:bookmarkEnd w:id="516"/>
    <w:p w14:paraId="1E2AAB99">
      <w:pPr>
        <w:autoSpaceDE w:val="0"/>
        <w:autoSpaceDN w:val="0"/>
        <w:adjustRightInd w:val="0"/>
        <w:spacing w:line="360" w:lineRule="auto"/>
        <w:ind w:firstLine="480" w:firstLineChars="200"/>
        <w:jc w:val="left"/>
        <w:rPr>
          <w:rFonts w:ascii="宋体" w:hAnsi="宋体"/>
          <w:color w:val="000000" w:themeColor="text1"/>
          <w:kern w:val="0"/>
          <w:sz w:val="24"/>
          <w:szCs w:val="24"/>
          <w:highlight w:val="none"/>
          <w14:textFill>
            <w14:solidFill>
              <w14:schemeClr w14:val="tx1"/>
            </w14:solidFill>
          </w14:textFill>
        </w:rPr>
      </w:pPr>
      <w:r>
        <w:rPr>
          <w:rFonts w:hint="eastAsia" w:ascii="宋体" w:hAnsi="宋体"/>
          <w:color w:val="000000" w:themeColor="text1"/>
          <w:kern w:val="0"/>
          <w:sz w:val="24"/>
          <w:szCs w:val="24"/>
          <w:highlight w:val="none"/>
          <w14:textFill>
            <w14:solidFill>
              <w14:schemeClr w14:val="tx1"/>
            </w14:solidFill>
          </w14:textFill>
        </w:rPr>
        <w:t xml:space="preserve">合同有关争议解决的条款独立存在，合同的变更、解除、终止、无效或者被撤销均不影响其效力。 </w:t>
      </w:r>
    </w:p>
    <w:bookmarkEnd w:id="95"/>
    <w:p w14:paraId="63AC072E">
      <w:pPr>
        <w:keepNext/>
        <w:keepLines/>
        <w:numPr>
          <w:ilvl w:val="1"/>
          <w:numId w:val="4"/>
        </w:numPr>
        <w:spacing w:before="260" w:after="260" w:line="416" w:lineRule="auto"/>
        <w:jc w:val="center"/>
        <w:outlineLvl w:val="9"/>
        <w:rPr>
          <w:rFonts w:ascii="宋体" w:hAnsi="宋体" w:cs="宋体"/>
          <w:b/>
          <w:bCs/>
          <w:color w:val="000000" w:themeColor="text1"/>
          <w:sz w:val="32"/>
          <w:szCs w:val="32"/>
          <w:highlight w:val="none"/>
          <w14:textFill>
            <w14:solidFill>
              <w14:schemeClr w14:val="tx1"/>
            </w14:solidFill>
          </w14:textFill>
        </w:rPr>
      </w:pPr>
      <w:bookmarkStart w:id="517" w:name="_Toc147658434"/>
      <w:bookmarkStart w:id="518" w:name="_Toc147658821"/>
      <w:bookmarkStart w:id="519" w:name="_Toc482980303"/>
      <w:r>
        <w:rPr>
          <w:rFonts w:hint="eastAsia" w:ascii="宋体" w:hAnsi="宋体" w:cs="宋体"/>
          <w:b/>
          <w:bCs/>
          <w:color w:val="000000" w:themeColor="text1"/>
          <w:sz w:val="32"/>
          <w:szCs w:val="32"/>
          <w:highlight w:val="none"/>
          <w14:textFill>
            <w14:solidFill>
              <w14:schemeClr w14:val="tx1"/>
            </w14:solidFill>
          </w14:textFill>
        </w:rPr>
        <w:t>第三部分 专用合同条款</w:t>
      </w:r>
      <w:bookmarkEnd w:id="517"/>
      <w:bookmarkEnd w:id="518"/>
    </w:p>
    <w:p w14:paraId="2F24F610">
      <w:pPr>
        <w:keepNext/>
        <w:keepLines/>
        <w:spacing w:before="120" w:after="120" w:line="360" w:lineRule="auto"/>
        <w:ind w:firstLine="482" w:firstLineChars="200"/>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1. 一般约定</w:t>
      </w:r>
    </w:p>
    <w:p w14:paraId="6F6A2773">
      <w:pPr>
        <w:spacing w:after="120"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 词语定义</w:t>
      </w:r>
    </w:p>
    <w:p w14:paraId="3604C45B">
      <w:pPr>
        <w:spacing w:line="360" w:lineRule="auto"/>
        <w:ind w:firstLine="480" w:firstLineChars="200"/>
        <w:outlineLvl w:val="9"/>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1.1.1合同</w:t>
      </w:r>
    </w:p>
    <w:p w14:paraId="0B65A3F1">
      <w:pPr>
        <w:spacing w:line="360" w:lineRule="auto"/>
        <w:ind w:firstLine="480" w:firstLineChars="200"/>
        <w:outlineLvl w:val="9"/>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1.1.1.10其他合同文件包括：</w:t>
      </w:r>
      <w:r>
        <w:rPr>
          <w:rFonts w:hint="eastAsia" w:ascii="宋体" w:hAnsi="宋体" w:cs="宋体"/>
          <w:color w:val="000000" w:themeColor="text1"/>
          <w:sz w:val="24"/>
          <w:szCs w:val="24"/>
          <w:highlight w:val="none"/>
          <w:u w:val="single"/>
          <w14:textFill>
            <w14:solidFill>
              <w14:schemeClr w14:val="tx1"/>
            </w14:solidFill>
          </w14:textFill>
        </w:rPr>
        <w:t>1、发包人与承包人约定的与工程施工有关的具有合同约束力的文件或补充协议；2、招标文件及招标文件修改澄清（含答疑）</w:t>
      </w:r>
      <w:r>
        <w:rPr>
          <w:rFonts w:hint="eastAsia" w:ascii="宋体" w:hAnsi="宋体" w:cs="宋体"/>
          <w:color w:val="000000" w:themeColor="text1"/>
          <w:sz w:val="24"/>
          <w:szCs w:val="24"/>
          <w:highlight w:val="none"/>
          <w14:textFill>
            <w14:solidFill>
              <w14:schemeClr w14:val="tx1"/>
            </w14:solidFill>
          </w14:textFill>
        </w:rPr>
        <w:t>。</w:t>
      </w:r>
    </w:p>
    <w:p w14:paraId="456E7CE9">
      <w:pPr>
        <w:spacing w:line="360" w:lineRule="auto"/>
        <w:ind w:firstLine="480" w:firstLineChars="200"/>
        <w:outlineLvl w:val="9"/>
        <w:rPr>
          <w:color w:val="000000" w:themeColor="text1"/>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1.1.2 合同当事人及其他相关方</w:t>
      </w:r>
    </w:p>
    <w:p w14:paraId="4E502B9C">
      <w:pPr>
        <w:ind w:firstLine="420" w:firstLineChars="200"/>
        <w:outlineLvl w:val="9"/>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1.1.2.4监理人：</w:t>
      </w:r>
    </w:p>
    <w:p w14:paraId="05195F96">
      <w:pPr>
        <w:ind w:firstLine="420" w:firstLineChars="200"/>
        <w:outlineLvl w:val="9"/>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名    称</w:t>
      </w:r>
      <w:r>
        <w:rPr>
          <w:rFonts w:hint="eastAsia" w:ascii="宋体" w:hAnsi="宋体"/>
          <w:color w:val="000000" w:themeColor="text1"/>
          <w:szCs w:val="21"/>
          <w:highlight w:val="none"/>
          <w14:textFill>
            <w14:solidFill>
              <w14:schemeClr w14:val="tx1"/>
            </w14:solidFill>
          </w14:textFill>
        </w:rPr>
        <w:t>：</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w:t>
      </w:r>
    </w:p>
    <w:p w14:paraId="32E26D3C">
      <w:pPr>
        <w:ind w:firstLine="420" w:firstLineChars="200"/>
        <w:outlineLvl w:val="9"/>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资质类别和等级</w:t>
      </w:r>
      <w:r>
        <w:rPr>
          <w:rFonts w:hint="eastAsia" w:ascii="宋体" w:hAnsi="宋体"/>
          <w:color w:val="000000" w:themeColor="text1"/>
          <w:szCs w:val="21"/>
          <w:highlight w:val="none"/>
          <w14:textFill>
            <w14:solidFill>
              <w14:schemeClr w14:val="tx1"/>
            </w14:solidFill>
          </w14:textFill>
        </w:rPr>
        <w:t>：</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w:t>
      </w:r>
    </w:p>
    <w:p w14:paraId="09FDD497">
      <w:pPr>
        <w:ind w:firstLine="420" w:firstLineChars="200"/>
        <w:outlineLvl w:val="9"/>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联系电话</w:t>
      </w:r>
      <w:r>
        <w:rPr>
          <w:rFonts w:hint="eastAsia" w:ascii="宋体" w:hAnsi="宋体"/>
          <w:color w:val="000000" w:themeColor="text1"/>
          <w:szCs w:val="21"/>
          <w:highlight w:val="none"/>
          <w14:textFill>
            <w14:solidFill>
              <w14:schemeClr w14:val="tx1"/>
            </w14:solidFill>
          </w14:textFill>
        </w:rPr>
        <w:t>：</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w:t>
      </w:r>
    </w:p>
    <w:p w14:paraId="020677FF">
      <w:pPr>
        <w:ind w:firstLine="420" w:firstLineChars="200"/>
        <w:outlineLvl w:val="9"/>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电子信箱</w:t>
      </w:r>
      <w:r>
        <w:rPr>
          <w:rFonts w:hint="eastAsia" w:ascii="宋体" w:hAnsi="宋体"/>
          <w:color w:val="000000" w:themeColor="text1"/>
          <w:szCs w:val="21"/>
          <w:highlight w:val="none"/>
          <w14:textFill>
            <w14:solidFill>
              <w14:schemeClr w14:val="tx1"/>
            </w14:solidFill>
          </w14:textFill>
        </w:rPr>
        <w:t>：</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w:t>
      </w:r>
    </w:p>
    <w:p w14:paraId="44718313">
      <w:pPr>
        <w:ind w:firstLine="420" w:firstLineChars="200"/>
        <w:outlineLvl w:val="9"/>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通信地址</w:t>
      </w:r>
      <w:r>
        <w:rPr>
          <w:rFonts w:hint="eastAsia" w:ascii="宋体" w:hAnsi="宋体"/>
          <w:color w:val="000000" w:themeColor="text1"/>
          <w:szCs w:val="21"/>
          <w:highlight w:val="none"/>
          <w14:textFill>
            <w14:solidFill>
              <w14:schemeClr w14:val="tx1"/>
            </w14:solidFill>
          </w14:textFill>
        </w:rPr>
        <w:t>：</w:t>
      </w:r>
      <w:r>
        <w:rPr>
          <w:rFonts w:hint="eastAsia" w:ascii="宋体" w:hAnsi="宋体"/>
          <w:color w:val="000000" w:themeColor="text1"/>
          <w:highlight w:val="none"/>
          <w:u w:val="single"/>
          <w14:textFill>
            <w14:solidFill>
              <w14:schemeClr w14:val="tx1"/>
            </w14:solidFill>
          </w14:textFill>
        </w:rPr>
        <w:t xml:space="preserve">                                </w:t>
      </w:r>
      <w:r>
        <w:rPr>
          <w:rFonts w:hint="eastAsia" w:ascii="宋体" w:hAnsi="宋体"/>
          <w:color w:val="000000" w:themeColor="text1"/>
          <w:highlight w:val="none"/>
          <w14:textFill>
            <w14:solidFill>
              <w14:schemeClr w14:val="tx1"/>
            </w14:solidFill>
          </w14:textFill>
        </w:rPr>
        <w:t>。</w:t>
      </w:r>
    </w:p>
    <w:p w14:paraId="53001EDF">
      <w:pPr>
        <w:ind w:firstLine="420" w:firstLineChars="200"/>
        <w:outlineLvl w:val="9"/>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1.1.2.5 设计人：</w:t>
      </w:r>
    </w:p>
    <w:p w14:paraId="2921F591">
      <w:pPr>
        <w:ind w:firstLine="420" w:firstLineChars="200"/>
        <w:outlineLvl w:val="9"/>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名    称</w:t>
      </w:r>
      <w:r>
        <w:rPr>
          <w:rFonts w:hint="eastAsia"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w:t>
      </w:r>
    </w:p>
    <w:p w14:paraId="75C9E20D">
      <w:pPr>
        <w:ind w:firstLine="420" w:firstLineChars="200"/>
        <w:outlineLvl w:val="9"/>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资质类别和等级：</w:t>
      </w:r>
      <w:r>
        <w:rPr>
          <w:rFonts w:hint="eastAsia" w:ascii="宋体" w:hAnsi="宋体"/>
          <w:color w:val="000000" w:themeColor="text1"/>
          <w:szCs w:val="21"/>
          <w:highlight w:val="none"/>
          <w:u w:val="single"/>
          <w14:textFill>
            <w14:solidFill>
              <w14:schemeClr w14:val="tx1"/>
            </w14:solidFill>
          </w14:textFill>
        </w:rPr>
        <w:t xml:space="preserve">               ；</w:t>
      </w:r>
    </w:p>
    <w:p w14:paraId="7BB32044">
      <w:pPr>
        <w:ind w:firstLine="420" w:firstLineChars="200"/>
        <w:outlineLvl w:val="9"/>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联系电话：</w:t>
      </w:r>
      <w:r>
        <w:rPr>
          <w:rFonts w:hint="eastAsia" w:ascii="宋体" w:hAnsi="宋体"/>
          <w:color w:val="000000" w:themeColor="text1"/>
          <w:szCs w:val="21"/>
          <w:highlight w:val="none"/>
          <w:u w:val="single"/>
          <w14:textFill>
            <w14:solidFill>
              <w14:schemeClr w14:val="tx1"/>
            </w14:solidFill>
          </w14:textFill>
        </w:rPr>
        <w:t xml:space="preserve">                     ；</w:t>
      </w:r>
    </w:p>
    <w:p w14:paraId="0E793AFB">
      <w:pPr>
        <w:ind w:firstLine="420" w:firstLineChars="200"/>
        <w:outlineLvl w:val="9"/>
        <w:rPr>
          <w:rFonts w:ascii="宋体" w:hAnsi="宋体"/>
          <w:color w:val="000000" w:themeColor="text1"/>
          <w:szCs w:val="21"/>
          <w:highlight w:val="none"/>
          <w:u w:val="singl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电子信箱：</w:t>
      </w:r>
      <w:r>
        <w:rPr>
          <w:rFonts w:hint="eastAsia" w:ascii="宋体" w:hAnsi="宋体"/>
          <w:color w:val="000000" w:themeColor="text1"/>
          <w:szCs w:val="21"/>
          <w:highlight w:val="none"/>
          <w:u w:val="single"/>
          <w14:textFill>
            <w14:solidFill>
              <w14:schemeClr w14:val="tx1"/>
            </w14:solidFill>
          </w14:textFill>
        </w:rPr>
        <w:t xml:space="preserve">             ；</w:t>
      </w:r>
    </w:p>
    <w:p w14:paraId="415B85F1">
      <w:pPr>
        <w:ind w:firstLine="420" w:firstLineChars="200"/>
        <w:outlineLvl w:val="9"/>
        <w:rPr>
          <w:color w:val="000000" w:themeColor="text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通信地址：</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w:t>
      </w:r>
    </w:p>
    <w:p w14:paraId="622F3559">
      <w:pPr>
        <w:spacing w:line="360" w:lineRule="auto"/>
        <w:ind w:firstLine="480" w:firstLineChars="200"/>
        <w:outlineLvl w:val="9"/>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1.1.3 工程和设备</w:t>
      </w:r>
    </w:p>
    <w:p w14:paraId="59DF1982">
      <w:pPr>
        <w:spacing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1.1.3.7 作为施工现场组成部分的其他场所包括：</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7095E3FE">
      <w:pPr>
        <w:spacing w:line="360" w:lineRule="auto"/>
        <w:ind w:firstLine="480" w:firstLineChars="200"/>
        <w:jc w:val="left"/>
        <w:outlineLvl w:val="9"/>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1.1.3.9 永久占地包括：</w:t>
      </w:r>
      <w:r>
        <w:rPr>
          <w:rFonts w:hint="eastAsia" w:ascii="宋体" w:hAnsi="宋体" w:cs="宋体"/>
          <w:color w:val="000000" w:themeColor="text1"/>
          <w:sz w:val="24"/>
          <w:szCs w:val="24"/>
          <w:highlight w:val="none"/>
          <w:u w:val="single"/>
          <w14:textFill>
            <w14:solidFill>
              <w14:schemeClr w14:val="tx1"/>
            </w14:solidFill>
          </w14:textFill>
        </w:rPr>
        <w:t>        /      </w:t>
      </w:r>
      <w:r>
        <w:rPr>
          <w:rFonts w:hint="eastAsia" w:ascii="宋体" w:hAnsi="宋体" w:cs="宋体"/>
          <w:color w:val="000000" w:themeColor="text1"/>
          <w:kern w:val="0"/>
          <w:sz w:val="24"/>
          <w:szCs w:val="24"/>
          <w:highlight w:val="none"/>
          <w14:textFill>
            <w14:solidFill>
              <w14:schemeClr w14:val="tx1"/>
            </w14:solidFill>
          </w14:textFill>
        </w:rPr>
        <w:t>。</w:t>
      </w:r>
    </w:p>
    <w:p w14:paraId="1D3705DD">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1.1.3.10 临时占地包括：</w:t>
      </w:r>
      <w:r>
        <w:rPr>
          <w:rFonts w:hint="eastAsia" w:ascii="宋体" w:hAnsi="宋体" w:cs="宋体"/>
          <w:color w:val="000000" w:themeColor="text1"/>
          <w:sz w:val="24"/>
          <w:szCs w:val="24"/>
          <w:highlight w:val="none"/>
          <w:u w:val="single"/>
          <w14:textFill>
            <w14:solidFill>
              <w14:schemeClr w14:val="tx1"/>
            </w14:solidFill>
          </w14:textFill>
        </w:rPr>
        <w:t xml:space="preserve">     /         </w:t>
      </w:r>
      <w:r>
        <w:rPr>
          <w:rFonts w:hint="eastAsia" w:ascii="宋体" w:hAnsi="宋体" w:cs="宋体"/>
          <w:color w:val="000000" w:themeColor="text1"/>
          <w:kern w:val="0"/>
          <w:sz w:val="24"/>
          <w:szCs w:val="24"/>
          <w:highlight w:val="none"/>
          <w14:textFill>
            <w14:solidFill>
              <w14:schemeClr w14:val="tx1"/>
            </w14:solidFill>
          </w14:textFill>
        </w:rPr>
        <w:t>。</w:t>
      </w:r>
    </w:p>
    <w:p w14:paraId="354EB3EA">
      <w:pPr>
        <w:spacing w:line="360" w:lineRule="auto"/>
        <w:ind w:firstLine="480" w:firstLineChars="200"/>
        <w:outlineLvl w:val="9"/>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1.3法律</w:t>
      </w:r>
    </w:p>
    <w:p w14:paraId="5A8630A0">
      <w:pPr>
        <w:pStyle w:val="8"/>
        <w:outlineLvl w:val="9"/>
        <w:rPr>
          <w:rFonts w:hint="eastAsia" w:ascii="宋体" w:hAnsi="宋体" w:cs="宋体"/>
          <w:color w:val="000000" w:themeColor="text1"/>
          <w:kern w:val="0"/>
          <w:sz w:val="24"/>
          <w:szCs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适用于合同的其他规范性文件：</w:t>
      </w:r>
      <w:r>
        <w:rPr>
          <w:rFonts w:hint="eastAsia" w:ascii="宋体" w:hAnsi="宋体" w:cs="宋体"/>
          <w:color w:val="000000" w:themeColor="text1"/>
          <w:kern w:val="0"/>
          <w:sz w:val="24"/>
          <w:szCs w:val="24"/>
          <w:highlight w:val="none"/>
          <w:u w:val="single"/>
          <w14:textFill>
            <w14:solidFill>
              <w14:schemeClr w14:val="tx1"/>
            </w14:solidFill>
          </w14:textFill>
        </w:rPr>
        <w:t>江苏省、南京市、</w:t>
      </w:r>
      <w:r>
        <w:rPr>
          <w:rFonts w:hint="eastAsia" w:ascii="宋体" w:hAnsi="宋体" w:cs="宋体"/>
          <w:color w:val="000000" w:themeColor="text1"/>
          <w:kern w:val="0"/>
          <w:sz w:val="24"/>
          <w:szCs w:val="24"/>
          <w:highlight w:val="none"/>
          <w:u w:val="single"/>
          <w:lang w:val="en-US" w:eastAsia="zh-CN"/>
          <w14:textFill>
            <w14:solidFill>
              <w14:schemeClr w14:val="tx1"/>
            </w14:solidFill>
          </w14:textFill>
        </w:rPr>
        <w:t>项目所在地</w:t>
      </w:r>
      <w:r>
        <w:rPr>
          <w:rFonts w:hint="eastAsia" w:ascii="宋体" w:hAnsi="宋体" w:cs="宋体"/>
          <w:color w:val="000000" w:themeColor="text1"/>
          <w:kern w:val="0"/>
          <w:sz w:val="24"/>
          <w:szCs w:val="24"/>
          <w:highlight w:val="none"/>
          <w:u w:val="single"/>
          <w14:textFill>
            <w14:solidFill>
              <w14:schemeClr w14:val="tx1"/>
            </w14:solidFill>
          </w14:textFill>
        </w:rPr>
        <w:t>有关工程建设类的规范性文件。</w:t>
      </w:r>
    </w:p>
    <w:p w14:paraId="4EE51CD1">
      <w:pPr>
        <w:spacing w:after="120"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1.4 标准和规范</w:t>
      </w:r>
    </w:p>
    <w:p w14:paraId="0B44B1FC">
      <w:pPr>
        <w:spacing w:line="360" w:lineRule="auto"/>
        <w:ind w:firstLine="480" w:firstLineChars="200"/>
        <w:outlineLvl w:val="9"/>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1.4.1适用于工程的标准规范包括：</w:t>
      </w:r>
      <w:r>
        <w:rPr>
          <w:rFonts w:hint="eastAsia" w:ascii="宋体" w:hAnsi="宋体" w:cs="宋体"/>
          <w:color w:val="000000" w:themeColor="text1"/>
          <w:sz w:val="24"/>
          <w:szCs w:val="24"/>
          <w:highlight w:val="none"/>
          <w:u w:val="single"/>
          <w14:textFill>
            <w14:solidFill>
              <w14:schemeClr w14:val="tx1"/>
            </w14:solidFill>
          </w14:textFill>
        </w:rPr>
        <w:t>现行国家、行业、专业及南京市的有关标准、规范、规定和条例所阐明的强制性标准。当对同一考核指标国家、行业、专业和南京市颁布的有关标准、规范产生不一致时，以其颁布的标准、规范较为严格者为准。</w:t>
      </w:r>
    </w:p>
    <w:p w14:paraId="5C7642A2">
      <w:pPr>
        <w:spacing w:line="360" w:lineRule="auto"/>
        <w:ind w:firstLine="480" w:firstLineChars="200"/>
        <w:outlineLvl w:val="9"/>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1.4.2 发包人提供国外标准、规范的名称：</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kern w:val="0"/>
          <w:sz w:val="24"/>
          <w:szCs w:val="24"/>
          <w:highlight w:val="none"/>
          <w14:textFill>
            <w14:solidFill>
              <w14:schemeClr w14:val="tx1"/>
            </w14:solidFill>
          </w14:textFill>
        </w:rPr>
        <w:t>；</w:t>
      </w:r>
    </w:p>
    <w:p w14:paraId="069108B9">
      <w:pPr>
        <w:spacing w:line="360" w:lineRule="auto"/>
        <w:ind w:firstLine="480" w:firstLineChars="200"/>
        <w:outlineLvl w:val="9"/>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发包人提供国外标准、规范的份数：</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kern w:val="0"/>
          <w:sz w:val="24"/>
          <w:szCs w:val="24"/>
          <w:highlight w:val="none"/>
          <w14:textFill>
            <w14:solidFill>
              <w14:schemeClr w14:val="tx1"/>
            </w14:solidFill>
          </w14:textFill>
        </w:rPr>
        <w:t>；</w:t>
      </w:r>
    </w:p>
    <w:p w14:paraId="535961F1">
      <w:pPr>
        <w:spacing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发包人提供国外标准、规范的名称：</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kern w:val="0"/>
          <w:sz w:val="24"/>
          <w:szCs w:val="24"/>
          <w:highlight w:val="none"/>
          <w14:textFill>
            <w14:solidFill>
              <w14:schemeClr w14:val="tx1"/>
            </w14:solidFill>
          </w14:textFill>
        </w:rPr>
        <w:t>。</w:t>
      </w:r>
    </w:p>
    <w:p w14:paraId="20878951">
      <w:pPr>
        <w:spacing w:line="360" w:lineRule="auto"/>
        <w:ind w:firstLine="480" w:firstLineChars="200"/>
        <w:outlineLvl w:val="9"/>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1.4.3发包人对工程的技术标准和功能要求的特殊要求：</w:t>
      </w:r>
      <w:r>
        <w:rPr>
          <w:rFonts w:hint="eastAsia" w:ascii="宋体" w:hAnsi="宋体" w:cs="宋体"/>
          <w:color w:val="000000" w:themeColor="text1"/>
          <w:kern w:val="0"/>
          <w:sz w:val="24"/>
          <w:szCs w:val="24"/>
          <w:highlight w:val="none"/>
          <w:u w:val="single"/>
          <w14:textFill>
            <w14:solidFill>
              <w14:schemeClr w14:val="tx1"/>
            </w14:solidFill>
          </w14:textFill>
        </w:rPr>
        <w:t>/</w:t>
      </w:r>
      <w:r>
        <w:rPr>
          <w:rFonts w:hint="eastAsia" w:ascii="宋体" w:hAnsi="宋体" w:cs="宋体"/>
          <w:color w:val="000000" w:themeColor="text1"/>
          <w:kern w:val="0"/>
          <w:sz w:val="24"/>
          <w:szCs w:val="24"/>
          <w:highlight w:val="none"/>
          <w14:textFill>
            <w14:solidFill>
              <w14:schemeClr w14:val="tx1"/>
            </w14:solidFill>
          </w14:textFill>
        </w:rPr>
        <w:t>。</w:t>
      </w:r>
    </w:p>
    <w:p w14:paraId="040E1B12">
      <w:pPr>
        <w:spacing w:after="120"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1.5 合同文件的优先顺序</w:t>
      </w:r>
    </w:p>
    <w:p w14:paraId="173EBA22">
      <w:pPr>
        <w:spacing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合同文件组成及优先顺序为：</w:t>
      </w:r>
      <w:r>
        <w:rPr>
          <w:rFonts w:hint="eastAsia" w:ascii="宋体" w:hAnsi="宋体" w:cs="宋体"/>
          <w:color w:val="000000" w:themeColor="text1"/>
          <w:sz w:val="24"/>
          <w:szCs w:val="24"/>
          <w:highlight w:val="none"/>
          <w:u w:val="single"/>
          <w14:textFill>
            <w14:solidFill>
              <w14:schemeClr w14:val="tx1"/>
            </w14:solidFill>
          </w14:textFill>
        </w:rPr>
        <w:t>（1）本合同协议书；（2）中标通知书；（3）投标函及其附录；（4）本合同专用条款及其附件；（5）本合同通用条款；（6）技术标准和要求；（7）施工图纸；（8）双方洽商的有效的会议纪要、补充协议；（9）招标文件及招标文件修改澄清(含答疑)；（10）已标价工程量清单及投标文件；（11）其他合同文件</w:t>
      </w:r>
      <w:r>
        <w:rPr>
          <w:rFonts w:hint="eastAsia" w:ascii="宋体" w:hAnsi="宋体" w:cs="宋体"/>
          <w:color w:val="000000" w:themeColor="text1"/>
          <w:sz w:val="24"/>
          <w:szCs w:val="24"/>
          <w:highlight w:val="none"/>
          <w14:textFill>
            <w14:solidFill>
              <w14:schemeClr w14:val="tx1"/>
            </w14:solidFill>
          </w14:textFill>
        </w:rPr>
        <w:t>。</w:t>
      </w:r>
    </w:p>
    <w:p w14:paraId="1348344E">
      <w:pPr>
        <w:spacing w:after="120"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1.6 图纸和承包人文件</w:t>
      </w:r>
      <w:r>
        <w:rPr>
          <w:rFonts w:hint="eastAsia" w:ascii="宋体" w:hAnsi="宋体" w:cs="宋体"/>
          <w:color w:val="000000" w:themeColor="text1"/>
          <w:sz w:val="24"/>
          <w:szCs w:val="24"/>
          <w:highlight w:val="none"/>
          <w14:textFill>
            <w14:solidFill>
              <w14:schemeClr w14:val="tx1"/>
            </w14:solidFill>
          </w14:textFill>
        </w:rPr>
        <w:tab/>
      </w:r>
    </w:p>
    <w:p w14:paraId="46CCBF60">
      <w:pPr>
        <w:spacing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1.6.1 图纸的提供</w:t>
      </w:r>
    </w:p>
    <w:p w14:paraId="7CAD5D66">
      <w:pPr>
        <w:spacing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发包人向承包人提供图纸的期限：</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color w:val="000000" w:themeColor="text1"/>
          <w:szCs w:val="21"/>
          <w:highlight w:val="none"/>
          <w:u w:val="single"/>
          <w14:textFill>
            <w14:solidFill>
              <w14:schemeClr w14:val="tx1"/>
            </w14:solidFill>
          </w14:textFill>
        </w:rPr>
        <w:t>开工前</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w:t>
      </w:r>
    </w:p>
    <w:p w14:paraId="1101814B">
      <w:pPr>
        <w:spacing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发包人向承包人提供图纸的数量：</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ascii="宋体" w:hAnsi="宋体" w:cs="宋体"/>
          <w:color w:val="000000" w:themeColor="text1"/>
          <w:sz w:val="24"/>
          <w:szCs w:val="24"/>
          <w:highlight w:val="none"/>
          <w:u w:val="single"/>
          <w14:textFill>
            <w14:solidFill>
              <w14:schemeClr w14:val="tx1"/>
            </w14:solidFill>
          </w14:textFill>
        </w:rPr>
        <w:t xml:space="preserve">   </w:t>
      </w:r>
      <w:r>
        <w:rPr>
          <w:rFonts w:hint="eastAsia"/>
          <w:color w:val="000000" w:themeColor="text1"/>
          <w:spacing w:val="10"/>
          <w:highlight w:val="none"/>
          <w:u w:val="single"/>
          <w14:textFill>
            <w14:solidFill>
              <w14:schemeClr w14:val="tx1"/>
            </w14:solidFill>
          </w14:textFill>
        </w:rPr>
        <w:t xml:space="preserve">2套 </w:t>
      </w:r>
      <w:r>
        <w:rPr>
          <w:color w:val="000000" w:themeColor="text1"/>
          <w:spacing w:val="10"/>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3BBA59E4">
      <w:pPr>
        <w:spacing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发包人向承包人提供图纸的内容：</w:t>
      </w:r>
      <w:r>
        <w:rPr>
          <w:rFonts w:hint="eastAsia" w:ascii="宋体" w:hAnsi="宋体" w:cs="宋体"/>
          <w:color w:val="000000" w:themeColor="text1"/>
          <w:sz w:val="24"/>
          <w:szCs w:val="24"/>
          <w:highlight w:val="none"/>
          <w:u w:val="single"/>
          <w14:textFill>
            <w14:solidFill>
              <w14:schemeClr w14:val="tx1"/>
            </w14:solidFill>
          </w14:textFill>
        </w:rPr>
        <w:t></w:t>
      </w:r>
      <w:r>
        <w:rPr>
          <w:rFonts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41CF9A85">
      <w:pPr>
        <w:spacing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1.6.4 承包人文件</w:t>
      </w:r>
    </w:p>
    <w:p w14:paraId="2A8A8A65">
      <w:pPr>
        <w:autoSpaceDE w:val="0"/>
        <w:autoSpaceDN w:val="0"/>
        <w:adjustRightInd w:val="0"/>
        <w:spacing w:line="360" w:lineRule="auto"/>
        <w:ind w:left="-359" w:leftChars="-171" w:right="-178" w:rightChars="-85" w:firstLine="480" w:firstLineChars="200"/>
        <w:outlineLvl w:val="9"/>
        <w:rPr>
          <w:rFonts w:ascii="宋体" w:hAnsi="宋体" w:cs="宋体"/>
          <w:bCs/>
          <w:color w:val="000000" w:themeColor="text1"/>
          <w:szCs w:val="21"/>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需要由承包人提供的文件，包括：</w:t>
      </w:r>
      <w:r>
        <w:rPr>
          <w:rFonts w:hint="eastAsia" w:ascii="宋体" w:hAnsi="宋体" w:cs="宋体"/>
          <w:color w:val="000000" w:themeColor="text1"/>
          <w:sz w:val="24"/>
          <w:szCs w:val="24"/>
          <w:highlight w:val="none"/>
          <w:u w:val="single"/>
          <w14:textFill>
            <w14:solidFill>
              <w14:schemeClr w14:val="tx1"/>
            </w14:solidFill>
          </w14:textFill>
        </w:rPr>
        <w:t>（1）开工报审表（2）施工组织设计（3）总进度计划（4）甲供材料、设备供应总计划（5）工程款支付计划（6）合理化建议（7）设计变更、签证申请报告（8）月度完成工程量统计表（9）次月工程进度计划（10）次月甲供材料使用计划（11）隐蔽工程和中间验收通知（12）乙供材料、设备的合格证明、检验试验报告（13）专业工程分包申请（14）暂停施工通知书（15）索赔意向通知书、索赔报告（16）工程款申请单（17）竣工付款申请单（18）竣工验收申请报告（19）竣工资料（20）竣工结算申请单及结算资料（21）最终结清申请单（22）应监理人或发包人要求提交的其他报告、报表</w:t>
      </w:r>
      <w:r>
        <w:rPr>
          <w:rFonts w:hint="eastAsia" w:ascii="宋体" w:hAnsi="宋体" w:cs="宋体"/>
          <w:bCs/>
          <w:color w:val="000000" w:themeColor="text1"/>
          <w:szCs w:val="21"/>
          <w:highlight w:val="none"/>
          <w:u w:val="single"/>
          <w14:textFill>
            <w14:solidFill>
              <w14:schemeClr w14:val="tx1"/>
            </w14:solidFill>
          </w14:textFill>
        </w:rPr>
        <w:t>。</w:t>
      </w:r>
    </w:p>
    <w:p w14:paraId="0D1422A8">
      <w:pPr>
        <w:spacing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承包人提供的文件的期限为：</w:t>
      </w:r>
      <w:r>
        <w:rPr>
          <w:rFonts w:hint="eastAsia" w:ascii="宋体" w:hAnsi="宋体" w:cs="宋体"/>
          <w:color w:val="000000" w:themeColor="text1"/>
          <w:sz w:val="24"/>
          <w:szCs w:val="24"/>
          <w:highlight w:val="none"/>
          <w:u w:val="single"/>
          <w14:textFill>
            <w14:solidFill>
              <w14:schemeClr w14:val="tx1"/>
            </w14:solidFill>
          </w14:textFill>
        </w:rPr>
        <w:t>每月25日提供本月实际完成工作量统计表、次月工程进度计划、次月工程发包人供应材料使用计划及监理或发包人要求提供的其它报表</w:t>
      </w:r>
      <w:r>
        <w:rPr>
          <w:rFonts w:hint="eastAsia" w:ascii="宋体" w:hAnsi="宋体" w:cs="宋体"/>
          <w:color w:val="000000" w:themeColor="text1"/>
          <w:sz w:val="24"/>
          <w:szCs w:val="24"/>
          <w:highlight w:val="none"/>
          <w14:textFill>
            <w14:solidFill>
              <w14:schemeClr w14:val="tx1"/>
            </w14:solidFill>
          </w14:textFill>
        </w:rPr>
        <w:t>；</w:t>
      </w:r>
    </w:p>
    <w:p w14:paraId="167838EB">
      <w:pPr>
        <w:spacing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承包人提供的文件的数量为：</w:t>
      </w:r>
      <w:r>
        <w:rPr>
          <w:rFonts w:hint="eastAsia" w:ascii="宋体" w:hAnsi="宋体" w:cs="宋体"/>
          <w:color w:val="000000" w:themeColor="text1"/>
          <w:sz w:val="24"/>
          <w:szCs w:val="24"/>
          <w:highlight w:val="none"/>
          <w:u w:val="single"/>
          <w14:textFill>
            <w14:solidFill>
              <w14:schemeClr w14:val="tx1"/>
            </w14:solidFill>
          </w14:textFill>
        </w:rPr>
        <w:t>提交给监理一式3份，承包人留存一份</w:t>
      </w:r>
      <w:r>
        <w:rPr>
          <w:rFonts w:hint="eastAsia" w:ascii="宋体" w:hAnsi="宋体" w:cs="宋体"/>
          <w:color w:val="000000" w:themeColor="text1"/>
          <w:sz w:val="24"/>
          <w:szCs w:val="24"/>
          <w:highlight w:val="none"/>
          <w14:textFill>
            <w14:solidFill>
              <w14:schemeClr w14:val="tx1"/>
            </w14:solidFill>
          </w14:textFill>
        </w:rPr>
        <w:t>；</w:t>
      </w:r>
    </w:p>
    <w:p w14:paraId="72C501C0">
      <w:pPr>
        <w:spacing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承包人提供的文件的形式为：</w:t>
      </w:r>
      <w:r>
        <w:rPr>
          <w:rFonts w:hint="eastAsia" w:ascii="宋体" w:hAnsi="宋体" w:cs="宋体"/>
          <w:color w:val="000000" w:themeColor="text1"/>
          <w:sz w:val="24"/>
          <w:szCs w:val="24"/>
          <w:highlight w:val="none"/>
          <w:u w:val="single"/>
          <w14:textFill>
            <w14:solidFill>
              <w14:schemeClr w14:val="tx1"/>
            </w14:solidFill>
          </w14:textFill>
        </w:rPr>
        <w:t>书面形式</w:t>
      </w:r>
      <w:r>
        <w:rPr>
          <w:rFonts w:hint="eastAsia" w:ascii="宋体" w:hAnsi="宋体" w:cs="宋体"/>
          <w:color w:val="000000" w:themeColor="text1"/>
          <w:sz w:val="24"/>
          <w:szCs w:val="24"/>
          <w:highlight w:val="none"/>
          <w14:textFill>
            <w14:solidFill>
              <w14:schemeClr w14:val="tx1"/>
            </w14:solidFill>
          </w14:textFill>
        </w:rPr>
        <w:t>；</w:t>
      </w:r>
    </w:p>
    <w:p w14:paraId="03D86AC2">
      <w:pPr>
        <w:spacing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发包人审批承包人文件的期限：</w:t>
      </w:r>
      <w:r>
        <w:rPr>
          <w:rFonts w:hint="eastAsia" w:ascii="宋体" w:hAnsi="宋体" w:cs="宋体"/>
          <w:color w:val="000000" w:themeColor="text1"/>
          <w:sz w:val="24"/>
          <w:szCs w:val="24"/>
          <w:highlight w:val="none"/>
          <w:u w:val="single"/>
          <w14:textFill>
            <w14:solidFill>
              <w14:schemeClr w14:val="tx1"/>
            </w14:solidFill>
          </w14:textFill>
        </w:rPr>
        <w:t>监理人收到文件后14天内</w:t>
      </w:r>
      <w:r>
        <w:rPr>
          <w:rFonts w:hint="eastAsia" w:ascii="宋体" w:hAnsi="宋体" w:cs="宋体"/>
          <w:color w:val="000000" w:themeColor="text1"/>
          <w:sz w:val="24"/>
          <w:szCs w:val="24"/>
          <w:highlight w:val="none"/>
          <w14:textFill>
            <w14:solidFill>
              <w14:schemeClr w14:val="tx1"/>
            </w14:solidFill>
          </w14:textFill>
        </w:rPr>
        <w:t>。</w:t>
      </w:r>
    </w:p>
    <w:p w14:paraId="438556F0">
      <w:pPr>
        <w:spacing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1.6.5 现场图纸准备</w:t>
      </w:r>
    </w:p>
    <w:p w14:paraId="1F00CC63">
      <w:pPr>
        <w:spacing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关于现场图纸准备的约定：</w:t>
      </w:r>
      <w:r>
        <w:rPr>
          <w:rFonts w:hint="eastAsia" w:ascii="宋体" w:hAnsi="宋体" w:cs="宋体"/>
          <w:color w:val="000000" w:themeColor="text1"/>
          <w:sz w:val="24"/>
          <w:szCs w:val="24"/>
          <w:highlight w:val="none"/>
          <w:u w:val="single"/>
          <w14:textFill>
            <w14:solidFill>
              <w14:schemeClr w14:val="tx1"/>
            </w14:solidFill>
          </w14:textFill>
        </w:rPr>
        <w:t>承包人应在施工现场另外保存一套完整的图纸和承包人文件，供发包人、监理人及有关人员进行工程检查时使用</w:t>
      </w:r>
      <w:r>
        <w:rPr>
          <w:rFonts w:hint="eastAsia" w:ascii="宋体" w:hAnsi="宋体" w:cs="宋体"/>
          <w:color w:val="000000" w:themeColor="text1"/>
          <w:sz w:val="24"/>
          <w:szCs w:val="24"/>
          <w:highlight w:val="none"/>
          <w14:textFill>
            <w14:solidFill>
              <w14:schemeClr w14:val="tx1"/>
            </w14:solidFill>
          </w14:textFill>
        </w:rPr>
        <w:t>。</w:t>
      </w:r>
    </w:p>
    <w:p w14:paraId="05141804">
      <w:pPr>
        <w:spacing w:after="120"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1.7 联络</w:t>
      </w:r>
    </w:p>
    <w:p w14:paraId="714FDA1C">
      <w:pPr>
        <w:spacing w:line="360" w:lineRule="auto"/>
        <w:ind w:firstLine="480" w:firstLineChars="200"/>
        <w:outlineLvl w:val="9"/>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1.7.1发包人和承包人应当在</w:t>
      </w:r>
      <w:r>
        <w:rPr>
          <w:rFonts w:hint="eastAsia" w:ascii="宋体" w:hAnsi="宋体" w:cs="宋体"/>
          <w:color w:val="000000" w:themeColor="text1"/>
          <w:sz w:val="24"/>
          <w:szCs w:val="24"/>
          <w:highlight w:val="none"/>
          <w:u w:val="single"/>
          <w14:textFill>
            <w14:solidFill>
              <w14:schemeClr w14:val="tx1"/>
            </w14:solidFill>
          </w14:textFill>
        </w:rPr>
        <w:t>7</w:t>
      </w:r>
      <w:r>
        <w:rPr>
          <w:rFonts w:hint="eastAsia" w:ascii="宋体" w:hAnsi="宋体" w:cs="宋体"/>
          <w:color w:val="000000" w:themeColor="text1"/>
          <w:kern w:val="0"/>
          <w:sz w:val="24"/>
          <w:szCs w:val="24"/>
          <w:highlight w:val="none"/>
          <w14:textFill>
            <w14:solidFill>
              <w14:schemeClr w14:val="tx1"/>
            </w14:solidFill>
          </w14:textFill>
        </w:rPr>
        <w:t>天内将与合同有关的通知、批准、证明、证书、指示、指令、要求、请求、同意、意见、确定和决定等书面函件送达对方当事人。</w:t>
      </w:r>
    </w:p>
    <w:p w14:paraId="2E478986">
      <w:pPr>
        <w:spacing w:line="360" w:lineRule="auto"/>
        <w:ind w:firstLine="480" w:firstLineChars="200"/>
        <w:outlineLvl w:val="9"/>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1.7.2 发包人接收文件的地点：</w:t>
      </w:r>
      <w:r>
        <w:rPr>
          <w:rFonts w:hint="eastAsia" w:ascii="宋体" w:hAnsi="宋体" w:cs="宋体"/>
          <w:color w:val="000000" w:themeColor="text1"/>
          <w:sz w:val="24"/>
          <w:szCs w:val="24"/>
          <w:highlight w:val="none"/>
          <w:u w:val="single"/>
          <w14:textFill>
            <w14:solidFill>
              <w14:schemeClr w14:val="tx1"/>
            </w14:solidFill>
          </w14:textFill>
        </w:rPr>
        <w:t>项目所在地发包人项目部或发包人办公室</w:t>
      </w:r>
      <w:r>
        <w:rPr>
          <w:rFonts w:hint="eastAsia" w:ascii="宋体" w:hAnsi="宋体" w:cs="宋体"/>
          <w:color w:val="000000" w:themeColor="text1"/>
          <w:kern w:val="0"/>
          <w:sz w:val="24"/>
          <w:szCs w:val="24"/>
          <w:highlight w:val="none"/>
          <w14:textFill>
            <w14:solidFill>
              <w14:schemeClr w14:val="tx1"/>
            </w14:solidFill>
          </w14:textFill>
        </w:rPr>
        <w:t>；</w:t>
      </w:r>
    </w:p>
    <w:p w14:paraId="41A1D96D">
      <w:pPr>
        <w:spacing w:line="360" w:lineRule="auto"/>
        <w:ind w:firstLine="480" w:firstLineChars="200"/>
        <w:outlineLvl w:val="9"/>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发包人指定的接收人为：</w:t>
      </w:r>
      <w:r>
        <w:rPr>
          <w:rFonts w:hint="eastAsia" w:ascii="宋体" w:hAnsi="宋体" w:cs="宋体"/>
          <w:color w:val="000000" w:themeColor="text1"/>
          <w:sz w:val="24"/>
          <w:szCs w:val="24"/>
          <w:highlight w:val="none"/>
          <w:u w:val="single"/>
          <w14:textFill>
            <w14:solidFill>
              <w14:schemeClr w14:val="tx1"/>
            </w14:solidFill>
          </w14:textFill>
        </w:rPr>
        <w:t></w:t>
      </w:r>
      <w:r>
        <w:rPr>
          <w:rFonts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kern w:val="0"/>
          <w:sz w:val="24"/>
          <w:szCs w:val="24"/>
          <w:highlight w:val="none"/>
          <w14:textFill>
            <w14:solidFill>
              <w14:schemeClr w14:val="tx1"/>
            </w14:solidFill>
          </w14:textFill>
        </w:rPr>
        <w:t>。</w:t>
      </w:r>
    </w:p>
    <w:p w14:paraId="07A82C29">
      <w:pPr>
        <w:spacing w:line="360" w:lineRule="auto"/>
        <w:ind w:firstLine="480" w:firstLineChars="200"/>
        <w:outlineLvl w:val="9"/>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承包人接收文件的地点：</w:t>
      </w:r>
      <w:r>
        <w:rPr>
          <w:rFonts w:hint="eastAsia" w:ascii="宋体" w:hAnsi="宋体" w:cs="宋体"/>
          <w:color w:val="000000" w:themeColor="text1"/>
          <w:sz w:val="24"/>
          <w:szCs w:val="24"/>
          <w:highlight w:val="none"/>
          <w:u w:val="single"/>
          <w14:textFill>
            <w14:solidFill>
              <w14:schemeClr w14:val="tx1"/>
            </w14:solidFill>
          </w14:textFill>
        </w:rPr>
        <w:t>项目所在地发包人项目部或发包人办公室</w:t>
      </w:r>
      <w:r>
        <w:rPr>
          <w:rFonts w:hint="eastAsia" w:ascii="宋体" w:hAnsi="宋体" w:cs="宋体"/>
          <w:color w:val="000000" w:themeColor="text1"/>
          <w:kern w:val="0"/>
          <w:sz w:val="24"/>
          <w:szCs w:val="24"/>
          <w:highlight w:val="none"/>
          <w14:textFill>
            <w14:solidFill>
              <w14:schemeClr w14:val="tx1"/>
            </w14:solidFill>
          </w14:textFill>
        </w:rPr>
        <w:t>；</w:t>
      </w:r>
    </w:p>
    <w:p w14:paraId="771FE17C">
      <w:pPr>
        <w:spacing w:line="360" w:lineRule="auto"/>
        <w:ind w:firstLine="480" w:firstLineChars="200"/>
        <w:outlineLvl w:val="9"/>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承包人指定的接收人为：</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kern w:val="0"/>
          <w:sz w:val="24"/>
          <w:szCs w:val="24"/>
          <w:highlight w:val="none"/>
          <w14:textFill>
            <w14:solidFill>
              <w14:schemeClr w14:val="tx1"/>
            </w14:solidFill>
          </w14:textFill>
        </w:rPr>
        <w:t>。</w:t>
      </w:r>
    </w:p>
    <w:p w14:paraId="4CBAFCF2">
      <w:pPr>
        <w:spacing w:line="360" w:lineRule="auto"/>
        <w:ind w:firstLine="480" w:firstLineChars="200"/>
        <w:outlineLvl w:val="9"/>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监理人接收文件的地点：</w:t>
      </w:r>
      <w:r>
        <w:rPr>
          <w:rFonts w:hint="eastAsia" w:ascii="宋体" w:hAnsi="宋体" w:cs="宋体"/>
          <w:color w:val="000000" w:themeColor="text1"/>
          <w:sz w:val="24"/>
          <w:szCs w:val="24"/>
          <w:highlight w:val="none"/>
          <w:u w:val="single"/>
          <w14:textFill>
            <w14:solidFill>
              <w14:schemeClr w14:val="tx1"/>
            </w14:solidFill>
          </w14:textFill>
        </w:rPr>
        <w:t>项目所在地发包人项目部或项目所在地监理人办公室</w:t>
      </w:r>
      <w:r>
        <w:rPr>
          <w:rFonts w:hint="eastAsia" w:ascii="宋体" w:hAnsi="宋体" w:cs="宋体"/>
          <w:color w:val="000000" w:themeColor="text1"/>
          <w:kern w:val="0"/>
          <w:sz w:val="24"/>
          <w:szCs w:val="24"/>
          <w:highlight w:val="none"/>
          <w14:textFill>
            <w14:solidFill>
              <w14:schemeClr w14:val="tx1"/>
            </w14:solidFill>
          </w14:textFill>
        </w:rPr>
        <w:t>；，</w:t>
      </w:r>
    </w:p>
    <w:p w14:paraId="32715EB3">
      <w:pPr>
        <w:spacing w:line="360" w:lineRule="auto"/>
        <w:ind w:firstLine="480" w:firstLineChars="200"/>
        <w:outlineLvl w:val="9"/>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监理人指定的接收人为：</w:t>
      </w:r>
      <w:r>
        <w:rPr>
          <w:rFonts w:hint="eastAsia" w:ascii="宋体" w:hAnsi="宋体"/>
          <w:color w:val="000000" w:themeColor="text1"/>
          <w:szCs w:val="21"/>
          <w:highlight w:val="none"/>
          <w:u w:val="single"/>
          <w14:textFill>
            <w14:solidFill>
              <w14:schemeClr w14:val="tx1"/>
            </w14:solidFill>
          </w14:textFill>
        </w:rPr>
        <w:t xml:space="preserve">      </w:t>
      </w:r>
      <w:r>
        <w:rPr>
          <w:rFonts w:ascii="宋体" w:hAnsi="宋体"/>
          <w:snapToGrid w:val="0"/>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kern w:val="0"/>
          <w:sz w:val="24"/>
          <w:szCs w:val="24"/>
          <w:highlight w:val="none"/>
          <w14:textFill>
            <w14:solidFill>
              <w14:schemeClr w14:val="tx1"/>
            </w14:solidFill>
          </w14:textFill>
        </w:rPr>
        <w:t>。</w:t>
      </w:r>
    </w:p>
    <w:p w14:paraId="2F5A5D17">
      <w:pPr>
        <w:spacing w:after="120"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1.10 交通运输</w:t>
      </w:r>
    </w:p>
    <w:p w14:paraId="439DCD0A">
      <w:pPr>
        <w:spacing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1.10.1 出入现场的权利</w:t>
      </w:r>
    </w:p>
    <w:p w14:paraId="2C556EA9">
      <w:pPr>
        <w:spacing w:line="360" w:lineRule="auto"/>
        <w:ind w:left="596" w:leftChars="284"/>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关于出入现场的权利的约定：</w:t>
      </w:r>
      <w:r>
        <w:rPr>
          <w:rFonts w:hint="eastAsia" w:ascii="宋体" w:hAnsi="宋体" w:cs="宋体"/>
          <w:color w:val="000000" w:themeColor="text1"/>
          <w:sz w:val="24"/>
          <w:szCs w:val="24"/>
          <w:highlight w:val="none"/>
          <w:u w:val="single"/>
          <w14:textFill>
            <w14:solidFill>
              <w14:schemeClr w14:val="tx1"/>
            </w14:solidFill>
          </w14:textFill>
        </w:rPr>
        <w:t>未经发包人同意不得将材料运出施工现场</w:t>
      </w:r>
      <w:r>
        <w:rPr>
          <w:rFonts w:hint="eastAsia" w:ascii="宋体" w:hAnsi="宋体" w:cs="宋体"/>
          <w:color w:val="000000" w:themeColor="text1"/>
          <w:sz w:val="24"/>
          <w:szCs w:val="24"/>
          <w:highlight w:val="none"/>
          <w14:textFill>
            <w14:solidFill>
              <w14:schemeClr w14:val="tx1"/>
            </w14:solidFill>
          </w14:textFill>
        </w:rPr>
        <w:t>。</w:t>
      </w:r>
    </w:p>
    <w:p w14:paraId="0AD54717">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1.10.3 场内交通</w:t>
      </w:r>
    </w:p>
    <w:p w14:paraId="3ABC600C">
      <w:pPr>
        <w:spacing w:line="360" w:lineRule="auto"/>
        <w:ind w:firstLine="480" w:firstLineChars="200"/>
        <w:jc w:val="left"/>
        <w:outlineLvl w:val="9"/>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关于场外交通和场内交通的边界的约定：</w:t>
      </w:r>
      <w:r>
        <w:rPr>
          <w:rFonts w:hint="eastAsia" w:ascii="宋体" w:hAnsi="宋体" w:cs="宋体"/>
          <w:color w:val="000000" w:themeColor="text1"/>
          <w:sz w:val="24"/>
          <w:szCs w:val="24"/>
          <w:highlight w:val="none"/>
          <w:u w:val="single"/>
          <w14:textFill>
            <w14:solidFill>
              <w14:schemeClr w14:val="tx1"/>
            </w14:solidFill>
          </w14:textFill>
        </w:rPr>
        <w:t>根据现场实际情况而定</w:t>
      </w:r>
      <w:r>
        <w:rPr>
          <w:rFonts w:hint="eastAsia" w:ascii="宋体" w:hAnsi="宋体" w:cs="宋体"/>
          <w:color w:val="000000" w:themeColor="text1"/>
          <w:sz w:val="24"/>
          <w:szCs w:val="24"/>
          <w:highlight w:val="none"/>
          <w14:textFill>
            <w14:solidFill>
              <w14:schemeClr w14:val="tx1"/>
            </w14:solidFill>
          </w14:textFill>
        </w:rPr>
        <w:t>。</w:t>
      </w:r>
    </w:p>
    <w:p w14:paraId="34129DE5">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关于发包人向承包人免费提供满足工程施工需要的场内道路和交通设施的约定：</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05BCEEE5">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1.10.4超大件和超重件的运输</w:t>
      </w:r>
    </w:p>
    <w:p w14:paraId="0D917316">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运输超大件或超重件所需的道路和桥梁临时加固改造费用和其他有关费用由</w:t>
      </w:r>
      <w:r>
        <w:rPr>
          <w:rFonts w:hint="eastAsia" w:ascii="宋体" w:hAnsi="宋体" w:cs="宋体"/>
          <w:color w:val="000000" w:themeColor="text1"/>
          <w:sz w:val="24"/>
          <w:szCs w:val="24"/>
          <w:highlight w:val="none"/>
          <w:u w:val="single"/>
          <w14:textFill>
            <w14:solidFill>
              <w14:schemeClr w14:val="tx1"/>
            </w14:solidFill>
          </w14:textFill>
        </w:rPr>
        <w:t>承包人</w:t>
      </w:r>
      <w:r>
        <w:rPr>
          <w:rFonts w:hint="eastAsia" w:ascii="宋体" w:hAnsi="宋体" w:cs="宋体"/>
          <w:color w:val="000000" w:themeColor="text1"/>
          <w:sz w:val="24"/>
          <w:szCs w:val="24"/>
          <w:highlight w:val="none"/>
          <w14:textFill>
            <w14:solidFill>
              <w14:schemeClr w14:val="tx1"/>
            </w14:solidFill>
          </w14:textFill>
        </w:rPr>
        <w:t>承担。</w:t>
      </w:r>
    </w:p>
    <w:p w14:paraId="5E6C56FB">
      <w:pPr>
        <w:spacing w:after="120"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1.11 知识产权</w:t>
      </w:r>
    </w:p>
    <w:p w14:paraId="03C57DA1">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1.11.1关于发包人提供给承包人的图纸、发包人为实施工程自行编制或委托编制的技术规范以及反映发包人关于合同要求或其他类似性质的文件的著作权的归属：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000000" w:themeColor="text1"/>
          <w:sz w:val="24"/>
          <w:szCs w:val="24"/>
          <w:highlight w:val="none"/>
          <w:u w:val="single"/>
          <w14:textFill>
            <w14:solidFill>
              <w14:schemeClr w14:val="tx1"/>
            </w14:solidFill>
          </w14:textFill>
        </w:rPr>
        <w:t>属于发包人</w:t>
      </w:r>
      <w:r>
        <w:rPr>
          <w:rFonts w:hint="eastAsia" w:ascii="宋体" w:hAnsi="宋体" w:cs="宋体"/>
          <w:color w:val="000000" w:themeColor="text1"/>
          <w:sz w:val="24"/>
          <w:szCs w:val="24"/>
          <w:highlight w:val="none"/>
          <w14:textFill>
            <w14:solidFill>
              <w14:schemeClr w14:val="tx1"/>
            </w14:solidFill>
          </w14:textFill>
        </w:rPr>
        <w:t>。</w:t>
      </w:r>
    </w:p>
    <w:p w14:paraId="2264D100">
      <w:pPr>
        <w:spacing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关于发包人提供的上述文件的使用限制的要求：</w:t>
      </w:r>
      <w:r>
        <w:rPr>
          <w:rFonts w:hint="eastAsia" w:ascii="宋体" w:hAnsi="宋体" w:cs="宋体"/>
          <w:color w:val="000000" w:themeColor="text1"/>
          <w:sz w:val="24"/>
          <w:szCs w:val="24"/>
          <w:highlight w:val="none"/>
          <w:u w:val="single"/>
          <w14:textFill>
            <w14:solidFill>
              <w14:schemeClr w14:val="tx1"/>
            </w14:solidFill>
          </w14:textFill>
        </w:rPr>
        <w:t>承包人可以为实现合同目的而复制、使用此类文件，但不能用于与合同无关的其他事项。未经发包人书面同意，承包人不得为了合同以外的目的而复制、使用上述文件或将之提供给任何第三方。</w:t>
      </w:r>
    </w:p>
    <w:p w14:paraId="72DFC202">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1.11.2 关于承包人为实施工程所编制文件的著作权的归属：</w:t>
      </w:r>
      <w:r>
        <w:rPr>
          <w:rFonts w:hint="eastAsia" w:ascii="宋体" w:hAnsi="宋体" w:cs="宋体"/>
          <w:color w:val="000000" w:themeColor="text1"/>
          <w:sz w:val="24"/>
          <w:szCs w:val="24"/>
          <w:highlight w:val="none"/>
          <w:u w:val="single"/>
          <w14:textFill>
            <w14:solidFill>
              <w14:schemeClr w14:val="tx1"/>
            </w14:solidFill>
          </w14:textFill>
        </w:rPr>
        <w:t>除署名权以外的著作权属于发包人</w:t>
      </w:r>
      <w:r>
        <w:rPr>
          <w:rFonts w:hint="eastAsia" w:ascii="宋体" w:hAnsi="宋体" w:cs="宋体"/>
          <w:color w:val="000000" w:themeColor="text1"/>
          <w:sz w:val="24"/>
          <w:szCs w:val="24"/>
          <w:highlight w:val="none"/>
          <w14:textFill>
            <w14:solidFill>
              <w14:schemeClr w14:val="tx1"/>
            </w14:solidFill>
          </w14:textFill>
        </w:rPr>
        <w:t>。</w:t>
      </w:r>
    </w:p>
    <w:p w14:paraId="55C7C064">
      <w:pPr>
        <w:spacing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关于承包人提供的上述文件的使用限制的要求：</w:t>
      </w:r>
      <w:r>
        <w:rPr>
          <w:rFonts w:hint="eastAsia" w:ascii="宋体" w:hAnsi="宋体" w:cs="宋体"/>
          <w:color w:val="000000" w:themeColor="text1"/>
          <w:sz w:val="24"/>
          <w:szCs w:val="24"/>
          <w:highlight w:val="none"/>
          <w:u w:val="single"/>
          <w14:textFill>
            <w14:solidFill>
              <w14:schemeClr w14:val="tx1"/>
            </w14:solidFill>
          </w14:textFill>
        </w:rPr>
        <w:t>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hint="eastAsia" w:ascii="宋体" w:hAnsi="宋体" w:cs="宋体"/>
          <w:color w:val="000000" w:themeColor="text1"/>
          <w:sz w:val="24"/>
          <w:szCs w:val="24"/>
          <w:highlight w:val="none"/>
          <w14:textFill>
            <w14:solidFill>
              <w14:schemeClr w14:val="tx1"/>
            </w14:solidFill>
          </w14:textFill>
        </w:rPr>
        <w:t>。</w:t>
      </w:r>
    </w:p>
    <w:p w14:paraId="00BF7DA0">
      <w:pPr>
        <w:spacing w:line="360" w:lineRule="auto"/>
        <w:ind w:firstLine="480" w:firstLineChars="200"/>
        <w:outlineLvl w:val="9"/>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1.11.4 承包人在施工过程中所采用的专利、专有技术、技术秘密的使用费的承担方式：</w:t>
      </w:r>
      <w:r>
        <w:rPr>
          <w:rFonts w:hint="eastAsia" w:ascii="宋体" w:hAnsi="宋体" w:cs="宋体"/>
          <w:color w:val="000000" w:themeColor="text1"/>
          <w:sz w:val="24"/>
          <w:szCs w:val="24"/>
          <w:highlight w:val="none"/>
          <w:u w:val="single"/>
          <w14:textFill>
            <w14:solidFill>
              <w14:schemeClr w14:val="tx1"/>
            </w14:solidFill>
          </w14:textFill>
        </w:rPr>
        <w:t>已含在合同价中</w:t>
      </w:r>
      <w:r>
        <w:rPr>
          <w:rFonts w:hint="eastAsia" w:ascii="宋体" w:hAnsi="宋体" w:cs="宋体"/>
          <w:color w:val="000000" w:themeColor="text1"/>
          <w:kern w:val="0"/>
          <w:sz w:val="24"/>
          <w:szCs w:val="24"/>
          <w:highlight w:val="none"/>
          <w14:textFill>
            <w14:solidFill>
              <w14:schemeClr w14:val="tx1"/>
            </w14:solidFill>
          </w14:textFill>
        </w:rPr>
        <w:t>。</w:t>
      </w:r>
    </w:p>
    <w:p w14:paraId="6371F290">
      <w:pPr>
        <w:spacing w:after="120"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1.13工程量清单错误的修正</w:t>
      </w:r>
    </w:p>
    <w:p w14:paraId="264FDC74">
      <w:pPr>
        <w:spacing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出现工程量清单错误时，是否调整合同价格：</w:t>
      </w:r>
      <w:r>
        <w:rPr>
          <w:rFonts w:hint="eastAsia" w:ascii="宋体" w:hAnsi="宋体" w:cs="宋体"/>
          <w:color w:val="000000" w:themeColor="text1"/>
          <w:sz w:val="24"/>
          <w:szCs w:val="24"/>
          <w:highlight w:val="none"/>
          <w:u w:val="single"/>
          <w14:textFill>
            <w14:solidFill>
              <w14:schemeClr w14:val="tx1"/>
            </w14:solidFill>
          </w14:textFill>
        </w:rPr>
        <w:t>是</w:t>
      </w:r>
      <w:r>
        <w:rPr>
          <w:rFonts w:hint="eastAsia" w:ascii="宋体" w:hAnsi="宋体" w:cs="宋体"/>
          <w:color w:val="000000" w:themeColor="text1"/>
          <w:kern w:val="0"/>
          <w:sz w:val="24"/>
          <w:szCs w:val="24"/>
          <w:highlight w:val="none"/>
          <w14:textFill>
            <w14:solidFill>
              <w14:schemeClr w14:val="tx1"/>
            </w14:solidFill>
          </w14:textFill>
        </w:rPr>
        <w:t>。</w:t>
      </w:r>
    </w:p>
    <w:p w14:paraId="43987C70">
      <w:pPr>
        <w:spacing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允许调整合同价格的工程量偏差范围：</w:t>
      </w:r>
      <w:r>
        <w:rPr>
          <w:rFonts w:hint="eastAsia" w:ascii="宋体" w:hAnsi="宋体" w:cs="宋体"/>
          <w:color w:val="000000" w:themeColor="text1"/>
          <w:sz w:val="24"/>
          <w:szCs w:val="24"/>
          <w:highlight w:val="none"/>
          <w:u w:val="single"/>
          <w14:textFill>
            <w14:solidFill>
              <w14:schemeClr w14:val="tx1"/>
            </w14:solidFill>
          </w14:textFill>
        </w:rPr>
        <w:t>工程量按实调整，综合单价不予调整。</w:t>
      </w:r>
    </w:p>
    <w:p w14:paraId="353ABDE6">
      <w:pPr>
        <w:keepNext/>
        <w:keepLines/>
        <w:numPr>
          <w:ilvl w:val="3"/>
          <w:numId w:val="4"/>
        </w:numPr>
        <w:spacing w:line="360" w:lineRule="auto"/>
        <w:ind w:firstLine="482" w:firstLineChars="200"/>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2. 发包人</w:t>
      </w:r>
    </w:p>
    <w:p w14:paraId="67374358">
      <w:pPr>
        <w:spacing w:after="120"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2.2 发包人代表</w:t>
      </w:r>
    </w:p>
    <w:p w14:paraId="5289558D">
      <w:pPr>
        <w:spacing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发包人代表：</w:t>
      </w:r>
    </w:p>
    <w:p w14:paraId="07E52377">
      <w:pPr>
        <w:spacing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姓    名：</w:t>
      </w:r>
      <w:r>
        <w:rPr>
          <w:rFonts w:hint="eastAsia" w:ascii="宋体" w:hAnsi="宋体" w:cs="宋体"/>
          <w:color w:val="000000" w:themeColor="text1"/>
          <w:sz w:val="24"/>
          <w:szCs w:val="24"/>
          <w:highlight w:val="none"/>
          <w:u w:val="single"/>
          <w14:textFill>
            <w14:solidFill>
              <w14:schemeClr w14:val="tx1"/>
            </w14:solidFill>
          </w14:textFill>
        </w:rPr>
        <w:t>    </w:t>
      </w:r>
      <w:r>
        <w:rPr>
          <w:rFonts w:hint="eastAsia" w:ascii="宋体" w:hAnsi="宋体" w:cs="宋体"/>
          <w:color w:val="000000" w:themeColor="text1"/>
          <w:sz w:val="24"/>
          <w:szCs w:val="24"/>
          <w:highlight w:val="none"/>
          <w14:textFill>
            <w14:solidFill>
              <w14:schemeClr w14:val="tx1"/>
            </w14:solidFill>
          </w14:textFill>
        </w:rPr>
        <w:t>；</w:t>
      </w:r>
    </w:p>
    <w:p w14:paraId="7414527A">
      <w:pPr>
        <w:spacing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身份证号：</w:t>
      </w:r>
      <w:r>
        <w:rPr>
          <w:rFonts w:hint="eastAsia" w:ascii="宋体" w:hAnsi="宋体" w:cs="宋体"/>
          <w:color w:val="000000" w:themeColor="text1"/>
          <w:sz w:val="24"/>
          <w:szCs w:val="24"/>
          <w:highlight w:val="none"/>
          <w:u w:val="single"/>
          <w14:textFill>
            <w14:solidFill>
              <w14:schemeClr w14:val="tx1"/>
            </w14:solidFill>
          </w14:textFill>
        </w:rPr>
        <w:t> /  </w:t>
      </w:r>
      <w:r>
        <w:rPr>
          <w:rFonts w:hint="eastAsia" w:ascii="宋体" w:hAnsi="宋体" w:cs="宋体"/>
          <w:color w:val="000000" w:themeColor="text1"/>
          <w:sz w:val="24"/>
          <w:szCs w:val="24"/>
          <w:highlight w:val="none"/>
          <w14:textFill>
            <w14:solidFill>
              <w14:schemeClr w14:val="tx1"/>
            </w14:solidFill>
          </w14:textFill>
        </w:rPr>
        <w:t>；</w:t>
      </w:r>
    </w:p>
    <w:p w14:paraId="43057C57">
      <w:pPr>
        <w:spacing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职    务：</w:t>
      </w:r>
      <w:r>
        <w:rPr>
          <w:rFonts w:hint="eastAsia" w:ascii="宋体" w:hAnsi="宋体" w:cs="宋体"/>
          <w:color w:val="000000" w:themeColor="text1"/>
          <w:sz w:val="24"/>
          <w:szCs w:val="24"/>
          <w:highlight w:val="none"/>
          <w:u w:val="single"/>
          <w14:textFill>
            <w14:solidFill>
              <w14:schemeClr w14:val="tx1"/>
            </w14:solidFill>
          </w14:textFill>
        </w:rPr>
        <w:t>  / </w:t>
      </w:r>
      <w:r>
        <w:rPr>
          <w:rFonts w:hint="eastAsia" w:ascii="宋体" w:hAnsi="宋体" w:cs="宋体"/>
          <w:color w:val="000000" w:themeColor="text1"/>
          <w:sz w:val="24"/>
          <w:szCs w:val="24"/>
          <w:highlight w:val="none"/>
          <w14:textFill>
            <w14:solidFill>
              <w14:schemeClr w14:val="tx1"/>
            </w14:solidFill>
          </w14:textFill>
        </w:rPr>
        <w:t>；</w:t>
      </w:r>
    </w:p>
    <w:p w14:paraId="76781021">
      <w:pPr>
        <w:spacing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联系电话：</w:t>
      </w:r>
      <w:r>
        <w:rPr>
          <w:rFonts w:hint="eastAsia" w:ascii="宋体" w:hAnsi="宋体" w:cs="宋体"/>
          <w:color w:val="000000" w:themeColor="text1"/>
          <w:sz w:val="24"/>
          <w:szCs w:val="24"/>
          <w:highlight w:val="none"/>
          <w:u w:val="single"/>
          <w14:textFill>
            <w14:solidFill>
              <w14:schemeClr w14:val="tx1"/>
            </w14:solidFill>
          </w14:textFill>
        </w:rPr>
        <w:t> /  </w:t>
      </w:r>
      <w:r>
        <w:rPr>
          <w:rFonts w:hint="eastAsia" w:ascii="宋体" w:hAnsi="宋体" w:cs="宋体"/>
          <w:color w:val="000000" w:themeColor="text1"/>
          <w:sz w:val="24"/>
          <w:szCs w:val="24"/>
          <w:highlight w:val="none"/>
          <w14:textFill>
            <w14:solidFill>
              <w14:schemeClr w14:val="tx1"/>
            </w14:solidFill>
          </w14:textFill>
        </w:rPr>
        <w:t>；</w:t>
      </w:r>
    </w:p>
    <w:p w14:paraId="120F2152">
      <w:pPr>
        <w:spacing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电子信箱：</w:t>
      </w:r>
      <w:r>
        <w:rPr>
          <w:rFonts w:hint="eastAsia" w:ascii="宋体" w:hAnsi="宋体" w:cs="宋体"/>
          <w:color w:val="000000" w:themeColor="text1"/>
          <w:sz w:val="24"/>
          <w:szCs w:val="24"/>
          <w:highlight w:val="none"/>
          <w:u w:val="single"/>
          <w14:textFill>
            <w14:solidFill>
              <w14:schemeClr w14:val="tx1"/>
            </w14:solidFill>
          </w14:textFill>
        </w:rPr>
        <w:t>  / </w:t>
      </w:r>
      <w:r>
        <w:rPr>
          <w:rFonts w:hint="eastAsia" w:ascii="宋体" w:hAnsi="宋体" w:cs="宋体"/>
          <w:color w:val="000000" w:themeColor="text1"/>
          <w:sz w:val="24"/>
          <w:szCs w:val="24"/>
          <w:highlight w:val="none"/>
          <w14:textFill>
            <w14:solidFill>
              <w14:schemeClr w14:val="tx1"/>
            </w14:solidFill>
          </w14:textFill>
        </w:rPr>
        <w:t>；</w:t>
      </w:r>
    </w:p>
    <w:p w14:paraId="053FEBD0">
      <w:pPr>
        <w:spacing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通信地址：</w:t>
      </w:r>
      <w:r>
        <w:rPr>
          <w:rFonts w:hint="eastAsia" w:ascii="宋体" w:hAnsi="宋体" w:cs="宋体"/>
          <w:color w:val="000000" w:themeColor="text1"/>
          <w:sz w:val="24"/>
          <w:szCs w:val="24"/>
          <w:highlight w:val="none"/>
          <w:u w:val="single"/>
          <w14:textFill>
            <w14:solidFill>
              <w14:schemeClr w14:val="tx1"/>
            </w14:solidFill>
          </w14:textFill>
        </w:rPr>
        <w:t>  / </w:t>
      </w:r>
      <w:r>
        <w:rPr>
          <w:rFonts w:hint="eastAsia" w:ascii="宋体" w:hAnsi="宋体" w:cs="宋体"/>
          <w:color w:val="000000" w:themeColor="text1"/>
          <w:sz w:val="24"/>
          <w:szCs w:val="24"/>
          <w:highlight w:val="none"/>
          <w14:textFill>
            <w14:solidFill>
              <w14:schemeClr w14:val="tx1"/>
            </w14:solidFill>
          </w14:textFill>
        </w:rPr>
        <w:t>。</w:t>
      </w:r>
    </w:p>
    <w:p w14:paraId="0988FC77">
      <w:pPr>
        <w:spacing w:line="360" w:lineRule="auto"/>
        <w:ind w:firstLine="480" w:firstLineChars="200"/>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发包人对发包人代表的授权范围如下：</w:t>
      </w:r>
      <w:r>
        <w:rPr>
          <w:rFonts w:hint="eastAsia" w:ascii="宋体" w:hAnsi="宋体" w:cs="宋体"/>
          <w:color w:val="000000" w:themeColor="text1"/>
          <w:sz w:val="24"/>
          <w:szCs w:val="24"/>
          <w:highlight w:val="none"/>
          <w:u w:val="single"/>
          <w14:textFill>
            <w14:solidFill>
              <w14:schemeClr w14:val="tx1"/>
            </w14:solidFill>
          </w14:textFill>
        </w:rPr>
        <w:t>代表发包人行使权利和履行义务，依据本合同并在其授权范围内履行其职责。主持开展施工现场的全面工作；对施工过程中的合同执行情况进行检查监督以及对监理工作的检查；根据合同约定的向承包人发出的通知，以书面形式由其本人签字后送交承包人；代表发包人履行工程量、设计变更等签证、分包单位的确认、工期的签证、工程竣工验收报告的确认职责</w:t>
      </w:r>
      <w:r>
        <w:rPr>
          <w:rFonts w:hint="eastAsia" w:ascii="宋体" w:hAnsi="宋体" w:cs="宋体"/>
          <w:color w:val="000000" w:themeColor="text1"/>
          <w:sz w:val="24"/>
          <w:szCs w:val="24"/>
          <w:highlight w:val="none"/>
          <w14:textFill>
            <w14:solidFill>
              <w14:schemeClr w14:val="tx1"/>
            </w14:solidFill>
          </w14:textFill>
        </w:rPr>
        <w:t>。</w:t>
      </w:r>
    </w:p>
    <w:p w14:paraId="2C6701DE">
      <w:pPr>
        <w:spacing w:after="120"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2.4 施工现场、施工条件和基础资料的提供</w:t>
      </w:r>
    </w:p>
    <w:p w14:paraId="6201F192">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2.4.1 提供施工现场</w:t>
      </w:r>
    </w:p>
    <w:p w14:paraId="3B0CC582">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关于发包人移交施工现场的期限要求：</w:t>
      </w:r>
      <w:r>
        <w:rPr>
          <w:rFonts w:hint="eastAsia" w:ascii="宋体" w:hAnsi="宋体" w:cs="宋体"/>
          <w:color w:val="000000" w:themeColor="text1"/>
          <w:sz w:val="24"/>
          <w:szCs w:val="24"/>
          <w:highlight w:val="none"/>
          <w:u w:val="single"/>
          <w14:textFill>
            <w14:solidFill>
              <w14:schemeClr w14:val="tx1"/>
            </w14:solidFill>
          </w14:textFill>
        </w:rPr>
        <w:t>开工日期7天前</w:t>
      </w:r>
      <w:r>
        <w:rPr>
          <w:rFonts w:hint="eastAsia" w:ascii="宋体" w:hAnsi="宋体" w:cs="宋体"/>
          <w:color w:val="000000" w:themeColor="text1"/>
          <w:sz w:val="24"/>
          <w:szCs w:val="24"/>
          <w:highlight w:val="none"/>
          <w14:textFill>
            <w14:solidFill>
              <w14:schemeClr w14:val="tx1"/>
            </w14:solidFill>
          </w14:textFill>
        </w:rPr>
        <w:t>。</w:t>
      </w:r>
    </w:p>
    <w:p w14:paraId="1FC7B7BB">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2.4.2 提供施工条件</w:t>
      </w:r>
    </w:p>
    <w:p w14:paraId="65FAB2D6">
      <w:pPr>
        <w:spacing w:line="360" w:lineRule="auto"/>
        <w:ind w:firstLine="480" w:firstLineChars="200"/>
        <w:outlineLvl w:val="9"/>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关于发包人应负责提供施工所需要的条件，包括：</w:t>
      </w:r>
      <w:r>
        <w:rPr>
          <w:rFonts w:hint="eastAsia" w:ascii="宋体" w:hAnsi="宋体" w:cs="宋体"/>
          <w:color w:val="000000" w:themeColor="text1"/>
          <w:sz w:val="24"/>
          <w:szCs w:val="24"/>
          <w:highlight w:val="none"/>
          <w:u w:val="single"/>
          <w14:textFill>
            <w14:solidFill>
              <w14:schemeClr w14:val="tx1"/>
            </w14:solidFill>
          </w14:textFill>
        </w:rPr>
        <w:t>（1）通讯线路不提供，由承包人自行解决并承担相应费用；（2）现场指定施工（生活）用水、电接入位置，自指定位置接入施工现场所需的材料、安装等一切费用，由承包人自行解决并承担相应费用，同时施工中发包人不考虑因用电原因（如需自发电或电容量不够）而给承包人的任何额外补偿；（3）</w:t>
      </w:r>
      <w:r>
        <w:rPr>
          <w:rFonts w:hint="eastAsia" w:ascii="宋体" w:hAnsi="宋体" w:eastAsia="宋体"/>
          <w:bCs/>
          <w:color w:val="000000" w:themeColor="text1"/>
          <w:sz w:val="24"/>
          <w:szCs w:val="24"/>
          <w:highlight w:val="none"/>
          <w:u w:val="single"/>
          <w:lang w:val="en-US"/>
          <w14:textFill>
            <w14:solidFill>
              <w14:schemeClr w14:val="tx1"/>
            </w14:solidFill>
          </w14:textFill>
        </w:rPr>
        <w:t>如因现场条件无法挂表，</w:t>
      </w:r>
      <w:r>
        <w:rPr>
          <w:rFonts w:hint="eastAsia" w:ascii="宋体" w:hAnsi="宋体" w:cs="宋体"/>
          <w:color w:val="000000" w:themeColor="text1"/>
          <w:sz w:val="24"/>
          <w:szCs w:val="24"/>
          <w:highlight w:val="none"/>
          <w:u w:val="single"/>
          <w14:textFill>
            <w14:solidFill>
              <w14:schemeClr w14:val="tx1"/>
            </w14:solidFill>
          </w14:textFill>
        </w:rPr>
        <w:t>水电费按工程审定额的千分之一点五计取；（4）正常施工所需要的进入施工现场的交通条件已具备</w:t>
      </w:r>
      <w:r>
        <w:rPr>
          <w:rFonts w:hint="eastAsia" w:ascii="宋体" w:hAnsi="宋体" w:cs="宋体"/>
          <w:color w:val="000000" w:themeColor="text1"/>
          <w:sz w:val="24"/>
          <w:szCs w:val="24"/>
          <w:highlight w:val="none"/>
          <w14:textFill>
            <w14:solidFill>
              <w14:schemeClr w14:val="tx1"/>
            </w14:solidFill>
          </w14:textFill>
        </w:rPr>
        <w:t>。</w:t>
      </w:r>
    </w:p>
    <w:p w14:paraId="76C8514D">
      <w:pPr>
        <w:spacing w:after="120"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2.5 资金来源证明及支付担保</w:t>
      </w:r>
    </w:p>
    <w:p w14:paraId="41273F8E">
      <w:pPr>
        <w:spacing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发包人提供资金来源证明的期限要求：</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70A82E37">
      <w:pPr>
        <w:spacing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发包人是否提供支付担保：</w:t>
      </w:r>
      <w:r>
        <w:rPr>
          <w:rFonts w:hint="eastAsia" w:ascii="宋体" w:hAnsi="宋体" w:cs="宋体"/>
          <w:color w:val="000000" w:themeColor="text1"/>
          <w:sz w:val="24"/>
          <w:szCs w:val="24"/>
          <w:highlight w:val="none"/>
          <w:u w:val="single"/>
          <w14:textFill>
            <w14:solidFill>
              <w14:schemeClr w14:val="tx1"/>
            </w14:solidFill>
          </w14:textFill>
        </w:rPr>
        <w:t>否</w:t>
      </w:r>
      <w:r>
        <w:rPr>
          <w:rFonts w:hint="eastAsia" w:ascii="宋体" w:hAnsi="宋体" w:cs="宋体"/>
          <w:color w:val="000000" w:themeColor="text1"/>
          <w:sz w:val="24"/>
          <w:szCs w:val="24"/>
          <w:highlight w:val="none"/>
          <w14:textFill>
            <w14:solidFill>
              <w14:schemeClr w14:val="tx1"/>
            </w14:solidFill>
          </w14:textFill>
        </w:rPr>
        <w:t>。</w:t>
      </w:r>
    </w:p>
    <w:p w14:paraId="63347CD5">
      <w:pPr>
        <w:spacing w:line="360" w:lineRule="auto"/>
        <w:ind w:firstLine="480" w:firstLineChars="200"/>
        <w:outlineLvl w:val="9"/>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发包人提供支付担保的形式：</w:t>
      </w:r>
      <w:r>
        <w:rPr>
          <w:rFonts w:hint="eastAsia" w:ascii="宋体" w:hAnsi="宋体" w:cs="宋体"/>
          <w:color w:val="000000" w:themeColor="text1"/>
          <w:sz w:val="24"/>
          <w:szCs w:val="24"/>
          <w:highlight w:val="none"/>
          <w:u w:val="single"/>
          <w14:textFill>
            <w14:solidFill>
              <w14:schemeClr w14:val="tx1"/>
            </w14:solidFill>
          </w14:textFill>
        </w:rPr>
        <w:t>/。</w:t>
      </w:r>
    </w:p>
    <w:p w14:paraId="000A39C3">
      <w:pPr>
        <w:keepNext/>
        <w:keepLines/>
        <w:numPr>
          <w:ilvl w:val="3"/>
          <w:numId w:val="4"/>
        </w:numPr>
        <w:spacing w:before="120" w:after="120" w:line="360" w:lineRule="auto"/>
        <w:ind w:firstLine="482" w:firstLineChars="200"/>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3. 承包人</w:t>
      </w:r>
    </w:p>
    <w:p w14:paraId="104BF6AF">
      <w:pPr>
        <w:spacing w:after="120"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3.1 承包人的一般义务</w:t>
      </w:r>
    </w:p>
    <w:p w14:paraId="519F30AA">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w:t>
      </w:r>
      <w:r>
        <w:rPr>
          <w:rFonts w:ascii="宋体" w:hAnsi="宋体" w:cs="宋体"/>
          <w:color w:val="000000" w:themeColor="text1"/>
          <w:kern w:val="0"/>
          <w:sz w:val="24"/>
          <w:szCs w:val="24"/>
          <w:highlight w:val="none"/>
          <w14:textFill>
            <w14:solidFill>
              <w14:schemeClr w14:val="tx1"/>
            </w14:solidFill>
          </w14:textFill>
        </w:rPr>
        <w:t>1</w:t>
      </w:r>
      <w:r>
        <w:rPr>
          <w:rFonts w:hint="eastAsia" w:ascii="宋体" w:hAnsi="宋体" w:cs="宋体"/>
          <w:color w:val="000000" w:themeColor="text1"/>
          <w:kern w:val="0"/>
          <w:sz w:val="24"/>
          <w:szCs w:val="24"/>
          <w:highlight w:val="non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承包人提交的竣工资料的内容：</w:t>
      </w:r>
      <w:r>
        <w:rPr>
          <w:rFonts w:hint="eastAsia" w:ascii="宋体" w:hAnsi="宋体" w:cs="宋体"/>
          <w:color w:val="000000" w:themeColor="text1"/>
          <w:sz w:val="24"/>
          <w:szCs w:val="24"/>
          <w:highlight w:val="none"/>
          <w:u w:val="single"/>
          <w14:textFill>
            <w14:solidFill>
              <w14:schemeClr w14:val="tx1"/>
            </w14:solidFill>
          </w14:textFill>
        </w:rPr>
        <w:t>工程竣工报告、施工技术管理资料、产品质量证明文件、施工质量试验资料、施工质量检测资料、施工记录、工程安全和功能检验资料核查及主要功能抽查记录、竣工图等,具体按国家有关规定和</w:t>
      </w:r>
      <w:r>
        <w:rPr>
          <w:rFonts w:hint="eastAsia" w:ascii="宋体" w:hAnsi="宋体" w:cs="宋体"/>
          <w:color w:val="000000" w:themeColor="text1"/>
          <w:sz w:val="24"/>
          <w:szCs w:val="24"/>
          <w:highlight w:val="none"/>
          <w:u w:val="single"/>
          <w:lang w:eastAsia="zh-CN"/>
          <w14:textFill>
            <w14:solidFill>
              <w14:schemeClr w14:val="tx1"/>
            </w14:solidFill>
          </w14:textFill>
        </w:rPr>
        <w:t>鼓楼</w:t>
      </w:r>
      <w:r>
        <w:rPr>
          <w:rFonts w:hint="eastAsia" w:ascii="宋体" w:hAnsi="宋体" w:cs="宋体"/>
          <w:color w:val="000000" w:themeColor="text1"/>
          <w:sz w:val="24"/>
          <w:szCs w:val="24"/>
          <w:highlight w:val="none"/>
          <w:u w:val="single"/>
          <w14:textFill>
            <w14:solidFill>
              <w14:schemeClr w14:val="tx1"/>
            </w14:solidFill>
          </w14:textFill>
        </w:rPr>
        <w:t>区建设工程质量监督站规定要求提供。</w:t>
      </w:r>
    </w:p>
    <w:p w14:paraId="4856C0CD">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承包人需要提交的竣工资料套数：</w:t>
      </w:r>
      <w:r>
        <w:rPr>
          <w:rFonts w:hint="eastAsia" w:ascii="宋体" w:hAnsi="宋体" w:cs="宋体"/>
          <w:color w:val="000000" w:themeColor="text1"/>
          <w:sz w:val="24"/>
          <w:szCs w:val="24"/>
          <w:highlight w:val="none"/>
          <w:u w:val="single"/>
          <w14:textFill>
            <w14:solidFill>
              <w14:schemeClr w14:val="tx1"/>
            </w14:solidFill>
          </w14:textFill>
        </w:rPr>
        <w:t>4套（含原件壹套）</w:t>
      </w:r>
      <w:r>
        <w:rPr>
          <w:rFonts w:hint="eastAsia" w:ascii="宋体" w:hAnsi="宋体" w:cs="宋体"/>
          <w:color w:val="000000" w:themeColor="text1"/>
          <w:sz w:val="24"/>
          <w:szCs w:val="24"/>
          <w:highlight w:val="none"/>
          <w14:textFill>
            <w14:solidFill>
              <w14:schemeClr w14:val="tx1"/>
            </w14:solidFill>
          </w14:textFill>
        </w:rPr>
        <w:t>。</w:t>
      </w:r>
    </w:p>
    <w:p w14:paraId="1645ED3C">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承包人提交的竣工资料的费用承担：</w:t>
      </w:r>
      <w:r>
        <w:rPr>
          <w:rFonts w:hint="eastAsia" w:ascii="宋体" w:hAnsi="宋体" w:cs="宋体"/>
          <w:color w:val="000000" w:themeColor="text1"/>
          <w:sz w:val="24"/>
          <w:szCs w:val="24"/>
          <w:highlight w:val="none"/>
          <w:u w:val="single"/>
          <w14:textFill>
            <w14:solidFill>
              <w14:schemeClr w14:val="tx1"/>
            </w14:solidFill>
          </w14:textFill>
        </w:rPr>
        <w:t>由承包人自行承担</w:t>
      </w:r>
      <w:r>
        <w:rPr>
          <w:rFonts w:hint="eastAsia" w:ascii="宋体" w:hAnsi="宋体" w:cs="宋体"/>
          <w:color w:val="000000" w:themeColor="text1"/>
          <w:sz w:val="24"/>
          <w:szCs w:val="24"/>
          <w:highlight w:val="none"/>
          <w14:textFill>
            <w14:solidFill>
              <w14:schemeClr w14:val="tx1"/>
            </w14:solidFill>
          </w14:textFill>
        </w:rPr>
        <w:t>。</w:t>
      </w:r>
    </w:p>
    <w:p w14:paraId="38E34864">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承包人提交的竣工资料移交时间：</w:t>
      </w:r>
      <w:r>
        <w:rPr>
          <w:rFonts w:hint="eastAsia" w:ascii="宋体" w:hAnsi="宋体" w:cs="宋体"/>
          <w:color w:val="000000" w:themeColor="text1"/>
          <w:sz w:val="24"/>
          <w:szCs w:val="24"/>
          <w:highlight w:val="none"/>
          <w:u w:val="single"/>
          <w14:textFill>
            <w14:solidFill>
              <w14:schemeClr w14:val="tx1"/>
            </w14:solidFill>
          </w14:textFill>
        </w:rPr>
        <w:t>与竣工验收申请报告同时提交。工程竣工验收合格后，承包人应在28天内向发包人递交竣工结算报告和完整的结算资料</w:t>
      </w:r>
      <w:r>
        <w:rPr>
          <w:rFonts w:hint="eastAsia" w:ascii="宋体" w:hAnsi="宋体" w:cs="宋体"/>
          <w:color w:val="000000" w:themeColor="text1"/>
          <w:sz w:val="24"/>
          <w:szCs w:val="24"/>
          <w:highlight w:val="none"/>
          <w14:textFill>
            <w14:solidFill>
              <w14:schemeClr w14:val="tx1"/>
            </w14:solidFill>
          </w14:textFill>
        </w:rPr>
        <w:t>。</w:t>
      </w:r>
    </w:p>
    <w:p w14:paraId="32878B0B">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承包人提交的竣工资料形式要求：</w:t>
      </w:r>
      <w:r>
        <w:rPr>
          <w:rFonts w:hint="eastAsia" w:ascii="宋体" w:hAnsi="宋体" w:cs="宋体"/>
          <w:color w:val="000000" w:themeColor="text1"/>
          <w:sz w:val="24"/>
          <w:szCs w:val="24"/>
          <w:highlight w:val="none"/>
          <w:u w:val="single"/>
          <w14:textFill>
            <w14:solidFill>
              <w14:schemeClr w14:val="tx1"/>
            </w14:solidFill>
          </w14:textFill>
        </w:rPr>
        <w:t>以书面形式提交并提供电子版</w:t>
      </w:r>
      <w:r>
        <w:rPr>
          <w:rFonts w:hint="eastAsia" w:ascii="宋体" w:hAnsi="宋体" w:cs="宋体"/>
          <w:color w:val="000000" w:themeColor="text1"/>
          <w:sz w:val="24"/>
          <w:szCs w:val="24"/>
          <w:highlight w:val="none"/>
          <w14:textFill>
            <w14:solidFill>
              <w14:schemeClr w14:val="tx1"/>
            </w14:solidFill>
          </w14:textFill>
        </w:rPr>
        <w:t>。</w:t>
      </w:r>
    </w:p>
    <w:p w14:paraId="61B649DD">
      <w:pPr>
        <w:autoSpaceDE w:val="0"/>
        <w:autoSpaceDN w:val="0"/>
        <w:adjustRightInd w:val="0"/>
        <w:spacing w:line="360" w:lineRule="auto"/>
        <w:ind w:left="-359" w:leftChars="-171" w:right="-178" w:rightChars="-85" w:firstLine="480" w:firstLineChars="200"/>
        <w:outlineLvl w:val="9"/>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w:t>
      </w:r>
      <w:r>
        <w:rPr>
          <w:rFonts w:ascii="宋体" w:hAnsi="宋体" w:cs="宋体"/>
          <w:color w:val="000000" w:themeColor="text1"/>
          <w:kern w:val="0"/>
          <w:sz w:val="24"/>
          <w:szCs w:val="24"/>
          <w:highlight w:val="none"/>
          <w14:textFill>
            <w14:solidFill>
              <w14:schemeClr w14:val="tx1"/>
            </w14:solidFill>
          </w14:textFill>
        </w:rPr>
        <w:t>2</w:t>
      </w:r>
      <w:r>
        <w:rPr>
          <w:rFonts w:hint="eastAsia" w:ascii="宋体" w:hAnsi="宋体" w:cs="宋体"/>
          <w:color w:val="000000" w:themeColor="text1"/>
          <w:kern w:val="0"/>
          <w:sz w:val="24"/>
          <w:szCs w:val="24"/>
          <w:highlight w:val="none"/>
          <w14:textFill>
            <w14:solidFill>
              <w14:schemeClr w14:val="tx1"/>
            </w14:solidFill>
          </w14:textFill>
        </w:rPr>
        <w:t>）承包人应履行的其他义务：</w:t>
      </w:r>
      <w:r>
        <w:rPr>
          <w:rFonts w:hint="eastAsia" w:ascii="宋体" w:hAnsi="宋体" w:cs="宋体"/>
          <w:color w:val="000000" w:themeColor="text1"/>
          <w:sz w:val="24"/>
          <w:szCs w:val="24"/>
          <w:highlight w:val="none"/>
          <w:u w:val="single"/>
          <w14:textFill>
            <w14:solidFill>
              <w14:schemeClr w14:val="tx1"/>
            </w14:solidFill>
          </w14:textFill>
        </w:rPr>
        <w:t>①按标准化现场要求，做到文明施工、规范施工，保持场地整洁卫生，竣工验收合格后</w:t>
      </w:r>
      <w:r>
        <w:rPr>
          <w:rFonts w:hint="eastAsia" w:ascii="宋体" w:hAnsi="宋体" w:cs="宋体"/>
          <w:color w:val="000000" w:themeColor="text1"/>
          <w:sz w:val="24"/>
          <w:szCs w:val="24"/>
          <w:highlight w:val="none"/>
          <w:u w:val="single"/>
          <w:lang w:val="en-US" w:eastAsia="zh-CN"/>
          <w14:textFill>
            <w14:solidFill>
              <w14:schemeClr w14:val="tx1"/>
            </w14:solidFill>
          </w14:textFill>
        </w:rPr>
        <w:t>10</w:t>
      </w:r>
      <w:r>
        <w:rPr>
          <w:rFonts w:hint="eastAsia" w:ascii="宋体" w:hAnsi="宋体" w:cs="宋体"/>
          <w:color w:val="000000" w:themeColor="text1"/>
          <w:sz w:val="24"/>
          <w:szCs w:val="24"/>
          <w:highlight w:val="none"/>
          <w:u w:val="single"/>
          <w14:textFill>
            <w14:solidFill>
              <w14:schemeClr w14:val="tx1"/>
            </w14:solidFill>
          </w14:textFill>
        </w:rPr>
        <w:t>天内负责将现场所有临时设施拆除，将建筑垃圾清运出场，做到工完场清，并承担相关费用；②承包人应无条件做好自身承包范围内成品保护工作并承担相应费用，直至正式竣工验 收后交付使用，成品保护期间发生损坏，承包人自费予以修复；③应满足现场施工管理的需要，达到政府有关规定的要求及承诺。承包人按照规定负责施工现场的安全保卫工作及施工照明，负责施工人员的治安教育和施工安全教育工作， 建立健全行之有效的防火管理制度，对火灾易发区域应采取特殊的消防安全措施，确保职工食堂卫生安全和饮水设施的安全可靠，施工现场的临时用电安全参照现行规范执行，以确保施工阶段的一切安全工作，因措施不力、管理不善而由此发生的一切事故均由承包人负责承担；④承包人必须保证施工场地与市政道路和施工场地内的道路畅通，并自行解决好与四邻的交通、环卫和施</w:t>
      </w:r>
      <w:r>
        <w:rPr>
          <w:rFonts w:hint="eastAsia" w:ascii="宋体" w:hAnsi="宋体" w:eastAsia="宋体" w:cs="宋体"/>
          <w:color w:val="000000" w:themeColor="text1"/>
          <w:sz w:val="24"/>
          <w:szCs w:val="24"/>
          <w:highlight w:val="none"/>
          <w:u w:val="single"/>
          <w14:textFill>
            <w14:solidFill>
              <w14:schemeClr w14:val="tx1"/>
            </w14:solidFill>
          </w14:textFill>
        </w:rPr>
        <w:t>工噪音问题，降低噪音、渣土证等项费用，由承包人负责，发包人协助，费用由承包人承担；⑤承包人应负责配合监理、审计等部门，及时进行工程量核对、确认；⑥承包人有义务根据发包人提供的图纸及有关文件，提出合理化建议，将可能发生的问题消灭在萌芽状态，杜绝一切因考虑不周而发生的问题。⑦ 承包人必须遵守建设工程施工等方面的相关规定，服从行政主管部门的管理。凡涉及到承包人的施工备案、夜间施工、车辆准运等有关证、照，均由承包人自行办理 ，发包人给予配合，发生的费用全部由承包人承担，包括外地承包人进宁施工备案费用 、排污管理费、噪声管理费、垃圾管理费等。</w:t>
      </w:r>
      <w:r>
        <w:rPr>
          <w:rFonts w:hint="eastAsia" w:ascii="宋体" w:hAnsi="宋体" w:eastAsia="宋体" w:cs="宋体"/>
          <w:color w:val="000000" w:themeColor="text1"/>
          <w:sz w:val="24"/>
          <w:szCs w:val="24"/>
          <w:highlight w:val="none"/>
          <w:u w:val="single"/>
          <w14:textFill>
            <w14:solidFill>
              <w14:schemeClr w14:val="tx1"/>
            </w14:solidFill>
          </w14:textFill>
        </w:rPr>
        <w:fldChar w:fldCharType="begin"/>
      </w:r>
      <w:r>
        <w:rPr>
          <w:rFonts w:hint="eastAsia" w:ascii="宋体" w:hAnsi="宋体" w:eastAsia="宋体" w:cs="宋体"/>
          <w:color w:val="000000" w:themeColor="text1"/>
          <w:sz w:val="24"/>
          <w:szCs w:val="24"/>
          <w:highlight w:val="none"/>
          <w:u w:val="single"/>
          <w14:textFill>
            <w14:solidFill>
              <w14:schemeClr w14:val="tx1"/>
            </w14:solidFill>
          </w14:textFill>
        </w:rPr>
        <w:instrText xml:space="preserve">eq \o\ac(○,8)</w:instrText>
      </w:r>
      <w:r>
        <w:rPr>
          <w:rFonts w:hint="eastAsia" w:ascii="宋体" w:hAnsi="宋体" w:eastAsia="宋体" w:cs="宋体"/>
          <w:color w:val="000000" w:themeColor="text1"/>
          <w:sz w:val="24"/>
          <w:szCs w:val="24"/>
          <w:highlight w:val="none"/>
          <w:u w:val="single"/>
          <w14:textFill>
            <w14:solidFill>
              <w14:schemeClr w14:val="tx1"/>
            </w14:solidFill>
          </w14:textFill>
        </w:rPr>
        <w:fldChar w:fldCharType="end"/>
      </w:r>
      <w:r>
        <w:rPr>
          <w:rFonts w:hint="eastAsia" w:ascii="宋体" w:hAnsi="宋体" w:eastAsia="宋体" w:cs="宋体"/>
          <w:color w:val="000000" w:themeColor="text1"/>
          <w:sz w:val="24"/>
          <w:szCs w:val="24"/>
          <w:highlight w:val="none"/>
          <w:u w:val="single"/>
          <w14:textFill>
            <w14:solidFill>
              <w14:schemeClr w14:val="tx1"/>
            </w14:solidFill>
          </w14:textFill>
        </w:rPr>
        <w:t>工程施工过程中，如因城市重大活动等，可能对工期产生不利影响，承包人应按照要求做出必要的配合，费用自理。 </w:t>
      </w:r>
    </w:p>
    <w:p w14:paraId="7833E0BF">
      <w:pPr>
        <w:spacing w:line="360" w:lineRule="auto"/>
        <w:ind w:firstLine="480" w:firstLineChars="200"/>
        <w:outlineLvl w:val="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3.2 项目经理</w:t>
      </w:r>
    </w:p>
    <w:p w14:paraId="504D46FC">
      <w:pPr>
        <w:spacing w:line="360" w:lineRule="auto"/>
        <w:ind w:firstLine="480" w:firstLineChars="200"/>
        <w:outlineLvl w:val="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3.2.1 项目经理：</w:t>
      </w:r>
    </w:p>
    <w:p w14:paraId="34C3B0C9">
      <w:pPr>
        <w:spacing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姓    名：</w:t>
      </w:r>
      <w:r>
        <w:rPr>
          <w:rFonts w:hint="eastAsia" w:ascii="宋体" w:hAnsi="宋体" w:cs="宋体"/>
          <w:color w:val="000000" w:themeColor="text1"/>
          <w:sz w:val="24"/>
          <w:szCs w:val="24"/>
          <w:highlight w:val="none"/>
          <w:u w:val="single"/>
          <w14:textFill>
            <w14:solidFill>
              <w14:schemeClr w14:val="tx1"/>
            </w14:solidFill>
          </w14:textFill>
        </w:rPr>
        <w:t>   </w:t>
      </w:r>
      <w:r>
        <w:rPr>
          <w:rFonts w:hint="eastAsia" w:ascii="宋体" w:hAnsi="宋体" w:cs="宋体"/>
          <w:color w:val="000000" w:themeColor="text1"/>
          <w:sz w:val="24"/>
          <w:szCs w:val="24"/>
          <w:highlight w:val="none"/>
          <w14:textFill>
            <w14:solidFill>
              <w14:schemeClr w14:val="tx1"/>
            </w14:solidFill>
          </w14:textFill>
        </w:rPr>
        <w:t>；</w:t>
      </w:r>
    </w:p>
    <w:p w14:paraId="6D7604E1">
      <w:pPr>
        <w:spacing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身份证号： </w:t>
      </w:r>
      <w:r>
        <w:rPr>
          <w:rFonts w:hint="eastAsia" w:ascii="宋体" w:hAnsi="宋体" w:cs="宋体"/>
          <w:color w:val="000000" w:themeColor="text1"/>
          <w:sz w:val="24"/>
          <w:szCs w:val="24"/>
          <w:highlight w:val="none"/>
          <w:u w:val="single"/>
          <w14:textFill>
            <w14:solidFill>
              <w14:schemeClr w14:val="tx1"/>
            </w14:solidFill>
          </w14:textFill>
        </w:rPr>
        <w:t xml:space="preserve">      ；</w:t>
      </w:r>
    </w:p>
    <w:p w14:paraId="4E83A9B4">
      <w:pPr>
        <w:spacing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建造师执业资格等级：</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1A55F939">
      <w:pPr>
        <w:spacing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建造师注册证书号：</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40D9C52E">
      <w:pPr>
        <w:spacing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建造师执业印章号：</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7000E239">
      <w:pPr>
        <w:spacing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安全生产考核合格证书号：</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312829FD">
      <w:pPr>
        <w:spacing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联系电话：</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501F72F0">
      <w:pPr>
        <w:spacing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电子信箱：</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754AD500">
      <w:pPr>
        <w:spacing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通信地址：</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38A445B8">
      <w:pPr>
        <w:spacing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承包人对项目经理的授权范围如下：</w:t>
      </w:r>
      <w:r>
        <w:rPr>
          <w:rFonts w:hint="eastAsia" w:ascii="宋体" w:hAnsi="宋体" w:cs="宋体"/>
          <w:color w:val="000000" w:themeColor="text1"/>
          <w:sz w:val="24"/>
          <w:szCs w:val="24"/>
          <w:highlight w:val="none"/>
          <w:u w:val="single"/>
          <w14:textFill>
            <w14:solidFill>
              <w14:schemeClr w14:val="tx1"/>
            </w14:solidFill>
          </w14:textFill>
        </w:rPr>
        <w:t>代表承包人履行合同。按合同约定组织工程实施；在合同约定范围内主持承包人有关施工、技术、工程进度、现场管理、安全生产、质量检验、竣工交付、结算等方面工作</w:t>
      </w:r>
      <w:r>
        <w:rPr>
          <w:rFonts w:hint="eastAsia" w:ascii="宋体" w:hAnsi="宋体" w:cs="宋体"/>
          <w:color w:val="000000" w:themeColor="text1"/>
          <w:sz w:val="24"/>
          <w:szCs w:val="24"/>
          <w:highlight w:val="none"/>
          <w14:textFill>
            <w14:solidFill>
              <w14:schemeClr w14:val="tx1"/>
            </w14:solidFill>
          </w14:textFill>
        </w:rPr>
        <w:t>。</w:t>
      </w:r>
    </w:p>
    <w:p w14:paraId="775057B9">
      <w:pPr>
        <w:spacing w:line="360" w:lineRule="auto"/>
        <w:ind w:firstLine="480" w:firstLineChars="200"/>
        <w:jc w:val="left"/>
        <w:outlineLvl w:val="9"/>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关于项目经理每月在施工现场的时间要求：</w:t>
      </w:r>
      <w:r>
        <w:rPr>
          <w:rFonts w:hint="eastAsia" w:ascii="宋体" w:hAnsi="宋体" w:cs="宋体"/>
          <w:color w:val="000000" w:themeColor="text1"/>
          <w:sz w:val="24"/>
          <w:szCs w:val="24"/>
          <w:highlight w:val="none"/>
          <w:u w:val="single"/>
          <w14:textFill>
            <w14:solidFill>
              <w14:schemeClr w14:val="tx1"/>
            </w14:solidFill>
          </w14:textFill>
        </w:rPr>
        <w:t>每天不少于8小时，每周不少于5天</w:t>
      </w:r>
      <w:r>
        <w:rPr>
          <w:rFonts w:hint="eastAsia" w:ascii="宋体" w:hAnsi="宋体" w:cs="宋体"/>
          <w:color w:val="000000" w:themeColor="text1"/>
          <w:sz w:val="24"/>
          <w:szCs w:val="24"/>
          <w:highlight w:val="none"/>
          <w14:textFill>
            <w14:solidFill>
              <w14:schemeClr w14:val="tx1"/>
            </w14:solidFill>
          </w14:textFill>
        </w:rPr>
        <w:t>。</w:t>
      </w:r>
    </w:p>
    <w:p w14:paraId="16225D18">
      <w:pPr>
        <w:spacing w:line="360" w:lineRule="auto"/>
        <w:ind w:firstLine="480" w:firstLineChars="200"/>
        <w:outlineLvl w:val="9"/>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承包人未提交劳动合同，以及没有为项目经理缴纳社会保险证明的违约责任：</w:t>
      </w:r>
      <w:r>
        <w:rPr>
          <w:rFonts w:hint="eastAsia" w:ascii="宋体" w:hAnsi="宋体" w:cs="宋体"/>
          <w:color w:val="000000" w:themeColor="text1"/>
          <w:sz w:val="24"/>
          <w:szCs w:val="24"/>
          <w:highlight w:val="none"/>
          <w:u w:val="single"/>
          <w14:textFill>
            <w14:solidFill>
              <w14:schemeClr w14:val="tx1"/>
            </w14:solidFill>
          </w14:textFill>
        </w:rPr>
        <w:t>一经发现，处以500元违约金，并要求在一周内签订劳动合同和缴纳社会保险，如未履行，每延迟一天，处以1000元违约金 。</w:t>
      </w:r>
    </w:p>
    <w:p w14:paraId="44BCAC33">
      <w:pPr>
        <w:spacing w:line="360" w:lineRule="auto"/>
        <w:ind w:firstLine="480" w:firstLineChars="200"/>
        <w:outlineLvl w:val="9"/>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项目经理未经批准，擅自离开施工现场的违约责任：</w:t>
      </w:r>
      <w:r>
        <w:rPr>
          <w:rFonts w:hint="eastAsia" w:ascii="宋体" w:hAnsi="宋体" w:cs="宋体"/>
          <w:color w:val="000000" w:themeColor="text1"/>
          <w:sz w:val="24"/>
          <w:szCs w:val="24"/>
          <w:highlight w:val="none"/>
          <w:u w:val="single"/>
          <w14:textFill>
            <w14:solidFill>
              <w14:schemeClr w14:val="tx1"/>
            </w14:solidFill>
          </w14:textFill>
        </w:rPr>
        <w:t>发包人每发现1次处以1000元/天违约金</w:t>
      </w:r>
      <w:r>
        <w:rPr>
          <w:rFonts w:hint="eastAsia" w:ascii="宋体" w:hAnsi="宋体" w:cs="宋体"/>
          <w:color w:val="000000" w:themeColor="text1"/>
          <w:sz w:val="24"/>
          <w:szCs w:val="24"/>
          <w:highlight w:val="none"/>
          <w14:textFill>
            <w14:solidFill>
              <w14:schemeClr w14:val="tx1"/>
            </w14:solidFill>
          </w14:textFill>
        </w:rPr>
        <w:t>。</w:t>
      </w:r>
    </w:p>
    <w:p w14:paraId="190E133B">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3.2.3 承包人擅自更换项目经理的违约责任：</w:t>
      </w:r>
      <w:r>
        <w:rPr>
          <w:rFonts w:hint="eastAsia" w:ascii="宋体" w:hAnsi="宋体" w:cs="宋体"/>
          <w:color w:val="000000" w:themeColor="text1"/>
          <w:sz w:val="24"/>
          <w:szCs w:val="24"/>
          <w:highlight w:val="none"/>
          <w:u w:val="single"/>
          <w14:textFill>
            <w14:solidFill>
              <w14:schemeClr w14:val="tx1"/>
            </w14:solidFill>
          </w14:textFill>
        </w:rPr>
        <w:t>处以3万元违约金并保留解除合同的权利；项目经理因刑事犯罪、伤病丧失工作能力、离职等不可抗力不能履行职责需要变更的，须经监理工程师和发包人批准更换，接替人员的注册执业资格、能力、履约业绩等均不得低于被替换人员</w:t>
      </w:r>
      <w:r>
        <w:rPr>
          <w:rFonts w:hint="eastAsia" w:ascii="宋体" w:hAnsi="宋体" w:cs="宋体"/>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u w:val="single"/>
          <w14:textFill>
            <w14:solidFill>
              <w14:schemeClr w14:val="tx1"/>
            </w14:solidFill>
          </w14:textFill>
        </w:rPr>
        <w:t>如因其他情况需变更的，须经监理工程师和发包人批准更换，并处以5000元违约金，接替人员的注册执业资格、能力、履约业绩等均不得低于被替换人员</w:t>
      </w:r>
      <w:r>
        <w:rPr>
          <w:rFonts w:hint="eastAsia" w:ascii="宋体" w:hAnsi="宋体" w:cs="宋体"/>
          <w:color w:val="000000" w:themeColor="text1"/>
          <w:sz w:val="24"/>
          <w:szCs w:val="24"/>
          <w:highlight w:val="none"/>
          <w14:textFill>
            <w14:solidFill>
              <w14:schemeClr w14:val="tx1"/>
            </w14:solidFill>
          </w14:textFill>
        </w:rPr>
        <w:t>。</w:t>
      </w:r>
    </w:p>
    <w:p w14:paraId="41575151">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3.2.4 承包人无正当理由拒绝更换项目经理的违约责任：</w:t>
      </w:r>
      <w:r>
        <w:rPr>
          <w:rFonts w:hint="eastAsia" w:ascii="宋体" w:hAnsi="宋体" w:cs="宋体"/>
          <w:color w:val="000000" w:themeColor="text1"/>
          <w:sz w:val="24"/>
          <w:szCs w:val="24"/>
          <w:highlight w:val="none"/>
          <w:u w:val="single"/>
          <w14:textFill>
            <w14:solidFill>
              <w14:schemeClr w14:val="tx1"/>
            </w14:solidFill>
          </w14:textFill>
        </w:rPr>
        <w:t>每次处以1万元违约金</w:t>
      </w:r>
      <w:r>
        <w:rPr>
          <w:rFonts w:hint="eastAsia" w:ascii="宋体" w:hAnsi="宋体" w:cs="宋体"/>
          <w:color w:val="000000" w:themeColor="text1"/>
          <w:sz w:val="24"/>
          <w:szCs w:val="24"/>
          <w:highlight w:val="none"/>
          <w14:textFill>
            <w14:solidFill>
              <w14:schemeClr w14:val="tx1"/>
            </w14:solidFill>
          </w14:textFill>
        </w:rPr>
        <w:t>。</w:t>
      </w:r>
    </w:p>
    <w:p w14:paraId="68F64EC8">
      <w:pPr>
        <w:spacing w:after="120"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3.3 承包人人员</w:t>
      </w:r>
    </w:p>
    <w:p w14:paraId="7F2096A0">
      <w:pPr>
        <w:spacing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3.3.1 承包人提交项目管理机构及施工现场管理人员安排报告的期限：</w:t>
      </w:r>
      <w:r>
        <w:rPr>
          <w:rFonts w:hint="eastAsia" w:ascii="宋体" w:hAnsi="宋体" w:cs="宋体"/>
          <w:color w:val="000000" w:themeColor="text1"/>
          <w:sz w:val="24"/>
          <w:szCs w:val="24"/>
          <w:highlight w:val="none"/>
          <w:u w:val="single"/>
          <w14:textFill>
            <w14:solidFill>
              <w14:schemeClr w14:val="tx1"/>
            </w14:solidFill>
          </w14:textFill>
        </w:rPr>
        <w:t>接到开工通知后7天内</w:t>
      </w:r>
      <w:r>
        <w:rPr>
          <w:rFonts w:hint="eastAsia" w:ascii="宋体" w:hAnsi="宋体" w:cs="宋体"/>
          <w:color w:val="000000" w:themeColor="text1"/>
          <w:sz w:val="24"/>
          <w:szCs w:val="24"/>
          <w:highlight w:val="none"/>
          <w14:textFill>
            <w14:solidFill>
              <w14:schemeClr w14:val="tx1"/>
            </w14:solidFill>
          </w14:textFill>
        </w:rPr>
        <w:t>。</w:t>
      </w:r>
    </w:p>
    <w:p w14:paraId="76B38FC4">
      <w:pPr>
        <w:spacing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3.3.3 承包人无正当理由拒绝撤换主要施工管理人员的违约责任：</w:t>
      </w:r>
      <w:r>
        <w:rPr>
          <w:rFonts w:hint="eastAsia" w:ascii="宋体" w:hAnsi="宋体" w:cs="宋体"/>
          <w:color w:val="000000" w:themeColor="text1"/>
          <w:sz w:val="24"/>
          <w:szCs w:val="24"/>
          <w:highlight w:val="none"/>
          <w:u w:val="single"/>
          <w14:textFill>
            <w14:solidFill>
              <w14:schemeClr w14:val="tx1"/>
            </w14:solidFill>
          </w14:textFill>
        </w:rPr>
        <w:t>每次每人每拖延一天处以1000元违约金</w:t>
      </w:r>
      <w:r>
        <w:rPr>
          <w:rFonts w:hint="eastAsia" w:ascii="宋体" w:hAnsi="宋体" w:cs="宋体"/>
          <w:color w:val="000000" w:themeColor="text1"/>
          <w:sz w:val="24"/>
          <w:szCs w:val="24"/>
          <w:highlight w:val="none"/>
          <w14:textFill>
            <w14:solidFill>
              <w14:schemeClr w14:val="tx1"/>
            </w14:solidFill>
          </w14:textFill>
        </w:rPr>
        <w:t>。</w:t>
      </w:r>
    </w:p>
    <w:p w14:paraId="47334CC6">
      <w:pPr>
        <w:spacing w:line="360" w:lineRule="auto"/>
        <w:ind w:firstLine="480" w:firstLineChars="200"/>
        <w:outlineLvl w:val="9"/>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3.3.4 承包人主要施工管理人员离开施工现场的批准要求：</w:t>
      </w:r>
      <w:r>
        <w:rPr>
          <w:rFonts w:hint="eastAsia" w:ascii="宋体" w:hAnsi="宋体" w:cs="宋体"/>
          <w:color w:val="000000" w:themeColor="text1"/>
          <w:sz w:val="24"/>
          <w:szCs w:val="24"/>
          <w:highlight w:val="none"/>
          <w:u w:val="single"/>
          <w14:textFill>
            <w14:solidFill>
              <w14:schemeClr w14:val="tx1"/>
            </w14:solidFill>
          </w14:textFill>
        </w:rPr>
        <w:t xml:space="preserve">  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r>
        <w:rPr>
          <w:rFonts w:hint="eastAsia" w:ascii="宋体" w:hAnsi="宋体" w:cs="宋体"/>
          <w:color w:val="000000" w:themeColor="text1"/>
          <w:sz w:val="24"/>
          <w:szCs w:val="24"/>
          <w:highlight w:val="none"/>
          <w14:textFill>
            <w14:solidFill>
              <w14:schemeClr w14:val="tx1"/>
            </w14:solidFill>
          </w14:textFill>
        </w:rPr>
        <w:t>。</w:t>
      </w:r>
    </w:p>
    <w:p w14:paraId="1AF600EA">
      <w:pPr>
        <w:spacing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3.3.5承包人擅自更换主要施工管理人员的违约责任：</w:t>
      </w:r>
      <w:r>
        <w:rPr>
          <w:rFonts w:hint="eastAsia" w:ascii="宋体" w:hAnsi="宋体" w:cs="宋体"/>
          <w:color w:val="000000" w:themeColor="text1"/>
          <w:sz w:val="24"/>
          <w:szCs w:val="24"/>
          <w:highlight w:val="none"/>
          <w:u w:val="single"/>
          <w14:textFill>
            <w14:solidFill>
              <w14:schemeClr w14:val="tx1"/>
            </w14:solidFill>
          </w14:textFill>
        </w:rPr>
        <w:t>每次每人每天处以1000元违约金</w:t>
      </w:r>
      <w:r>
        <w:rPr>
          <w:rFonts w:hint="eastAsia" w:ascii="宋体" w:hAnsi="宋体" w:cs="宋体"/>
          <w:color w:val="000000" w:themeColor="text1"/>
          <w:sz w:val="24"/>
          <w:szCs w:val="24"/>
          <w:highlight w:val="none"/>
          <w14:textFill>
            <w14:solidFill>
              <w14:schemeClr w14:val="tx1"/>
            </w14:solidFill>
          </w14:textFill>
        </w:rPr>
        <w:t>。</w:t>
      </w:r>
    </w:p>
    <w:p w14:paraId="5246AB7A">
      <w:pPr>
        <w:spacing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承包人主要施工管理人员擅自离开施工现场的违约责任：</w:t>
      </w:r>
      <w:r>
        <w:rPr>
          <w:rFonts w:hint="eastAsia" w:ascii="宋体" w:hAnsi="宋体" w:cs="宋体"/>
          <w:color w:val="000000" w:themeColor="text1"/>
          <w:sz w:val="24"/>
          <w:szCs w:val="24"/>
          <w:highlight w:val="none"/>
          <w:u w:val="single"/>
          <w14:textFill>
            <w14:solidFill>
              <w14:schemeClr w14:val="tx1"/>
            </w14:solidFill>
          </w14:textFill>
        </w:rPr>
        <w:t>每次每人每天处以1000元违约金，并保留解除合同的权利</w:t>
      </w:r>
      <w:r>
        <w:rPr>
          <w:rFonts w:hint="eastAsia" w:ascii="宋体" w:hAnsi="宋体" w:cs="宋体"/>
          <w:color w:val="000000" w:themeColor="text1"/>
          <w:sz w:val="24"/>
          <w:szCs w:val="24"/>
          <w:highlight w:val="none"/>
          <w14:textFill>
            <w14:solidFill>
              <w14:schemeClr w14:val="tx1"/>
            </w14:solidFill>
          </w14:textFill>
        </w:rPr>
        <w:t>。</w:t>
      </w:r>
    </w:p>
    <w:p w14:paraId="5FF59229">
      <w:pPr>
        <w:spacing w:after="120"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3.5 分包</w:t>
      </w:r>
    </w:p>
    <w:p w14:paraId="45D32B68">
      <w:pPr>
        <w:spacing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3.5.1 分包的一般约定</w:t>
      </w:r>
    </w:p>
    <w:p w14:paraId="2BF9A9C7">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禁止分包的工程包括：</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4CF17556">
      <w:pPr>
        <w:spacing w:line="360" w:lineRule="auto"/>
        <w:ind w:firstLine="480" w:firstLineChars="200"/>
        <w:jc w:val="left"/>
        <w:outlineLvl w:val="9"/>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主体结构、关键性工作的范围：</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250F33A8">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3.5.2分包的确定</w:t>
      </w:r>
    </w:p>
    <w:p w14:paraId="21A55801">
      <w:pPr>
        <w:spacing w:line="360" w:lineRule="auto"/>
        <w:ind w:firstLine="480" w:firstLineChars="200"/>
        <w:outlineLvl w:val="9"/>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允许分包的专业工程包括：</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6E5F26C2">
      <w:pPr>
        <w:spacing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其他关于分包的约定：</w:t>
      </w:r>
      <w:r>
        <w:rPr>
          <w:rFonts w:hint="eastAsia" w:ascii="宋体" w:hAnsi="宋体" w:cs="宋体"/>
          <w:color w:val="000000" w:themeColor="text1"/>
          <w:sz w:val="24"/>
          <w:szCs w:val="24"/>
          <w:highlight w:val="none"/>
          <w:u w:val="single"/>
          <w14:textFill>
            <w14:solidFill>
              <w14:schemeClr w14:val="tx1"/>
            </w14:solidFill>
          </w14:textFill>
        </w:rPr>
        <w:t>本项目不允许分包</w:t>
      </w:r>
    </w:p>
    <w:p w14:paraId="5BF06CBA">
      <w:pPr>
        <w:spacing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3.5.4 分包合同价款</w:t>
      </w:r>
    </w:p>
    <w:p w14:paraId="70B9D556">
      <w:pPr>
        <w:spacing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关于分包合同价款支付的约定：</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2B048B44">
      <w:pPr>
        <w:spacing w:after="120"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3.6 工程照管与成品、半成品保护</w:t>
      </w:r>
    </w:p>
    <w:p w14:paraId="2B47405F">
      <w:pPr>
        <w:spacing w:before="120" w:after="120" w:line="360" w:lineRule="auto"/>
        <w:ind w:firstLine="480" w:firstLineChars="200"/>
        <w:outlineLvl w:val="9"/>
        <w:rPr>
          <w:rFonts w:ascii="宋体" w:hAnsi="宋体" w:cs="宋体"/>
          <w:color w:val="000000" w:themeColor="text1"/>
          <w:kern w:val="0"/>
          <w:sz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承包人负责照管工程及工程相关的材料、工程设备的起始时间：</w:t>
      </w:r>
      <w:r>
        <w:rPr>
          <w:rFonts w:hint="eastAsia" w:ascii="宋体" w:hAnsi="宋体" w:cs="宋体"/>
          <w:color w:val="000000" w:themeColor="text1"/>
          <w:sz w:val="24"/>
          <w:szCs w:val="24"/>
          <w:highlight w:val="none"/>
          <w:u w:val="single"/>
          <w14:textFill>
            <w14:solidFill>
              <w14:schemeClr w14:val="tx1"/>
            </w14:solidFill>
          </w14:textFill>
        </w:rPr>
        <w:t>（1）自发包人向承包人移交施工现场之日起，承包人应负责照管工程及工程相关的材料、工程设备，直到颁发工程接收证书之日止。（2）在承包人负责照管期间，因承包人原因造成工程、材料、工程设备损坏的，由承包人负责修复或更换，并承担由此增加的费用和延误的工期。（3）对合同内分期完成的成品和半成品，在工程接收证书颁发前，由承包人承担保护责任。因承包人原因造成成品或半成品损坏的，由承包人负责修复或更换，并承担由此增加的费用和延误的工期</w:t>
      </w:r>
      <w:r>
        <w:rPr>
          <w:rFonts w:hint="eastAsia" w:ascii="宋体" w:hAnsi="宋体" w:cs="宋体"/>
          <w:color w:val="000000" w:themeColor="text1"/>
          <w:kern w:val="0"/>
          <w:sz w:val="24"/>
          <w:szCs w:val="24"/>
          <w:highlight w:val="none"/>
          <w14:textFill>
            <w14:solidFill>
              <w14:schemeClr w14:val="tx1"/>
            </w14:solidFill>
          </w14:textFill>
        </w:rPr>
        <w:t>。</w:t>
      </w:r>
    </w:p>
    <w:p w14:paraId="026FF001">
      <w:pPr>
        <w:spacing w:after="120"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3.7 履约担保</w:t>
      </w:r>
    </w:p>
    <w:p w14:paraId="1DC47F49">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承包人是否提供履约担保：</w:t>
      </w:r>
      <w:r>
        <w:rPr>
          <w:rFonts w:hint="eastAsia" w:ascii="宋体" w:hAnsi="宋体" w:cs="宋体"/>
          <w:color w:val="000000" w:themeColor="text1"/>
          <w:sz w:val="24"/>
          <w:szCs w:val="24"/>
          <w:highlight w:val="none"/>
          <w:u w:val="single"/>
          <w14:textFill>
            <w14:solidFill>
              <w14:schemeClr w14:val="tx1"/>
            </w14:solidFill>
          </w14:textFill>
        </w:rPr>
        <w:t>是</w:t>
      </w:r>
      <w:r>
        <w:rPr>
          <w:rFonts w:hint="eastAsia" w:ascii="宋体" w:hAnsi="宋体" w:cs="宋体"/>
          <w:color w:val="000000" w:themeColor="text1"/>
          <w:sz w:val="24"/>
          <w:szCs w:val="24"/>
          <w:highlight w:val="none"/>
          <w14:textFill>
            <w14:solidFill>
              <w14:schemeClr w14:val="tx1"/>
            </w14:solidFill>
          </w14:textFill>
        </w:rPr>
        <w:t>。</w:t>
      </w:r>
    </w:p>
    <w:p w14:paraId="7A309662">
      <w:pPr>
        <w:spacing w:line="360" w:lineRule="auto"/>
        <w:outlineLvl w:val="9"/>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承包人提供履约担保的形式、金额及期限的：</w:t>
      </w:r>
      <w:r>
        <w:rPr>
          <w:rFonts w:hint="eastAsia" w:ascii="宋体" w:hAnsi="宋体" w:cs="宋体"/>
          <w:color w:val="000000" w:themeColor="text1"/>
          <w:sz w:val="24"/>
          <w:szCs w:val="24"/>
          <w:highlight w:val="none"/>
          <w:u w:val="single"/>
          <w:lang w:val="zh-CN"/>
          <w14:textFill>
            <w14:solidFill>
              <w14:schemeClr w14:val="tx1"/>
            </w14:solidFill>
          </w14:textFill>
        </w:rPr>
        <w:t>本工程</w:t>
      </w:r>
      <w:r>
        <w:rPr>
          <w:rFonts w:hint="eastAsia" w:ascii="宋体" w:hAnsi="宋体" w:cs="宋体"/>
          <w:color w:val="000000" w:themeColor="text1"/>
          <w:sz w:val="24"/>
          <w:szCs w:val="24"/>
          <w:highlight w:val="none"/>
          <w:u w:val="single"/>
          <w14:textFill>
            <w14:solidFill>
              <w14:schemeClr w14:val="tx1"/>
            </w14:solidFill>
          </w14:textFill>
        </w:rPr>
        <w:t>承包</w:t>
      </w:r>
      <w:r>
        <w:rPr>
          <w:rFonts w:hint="eastAsia" w:ascii="宋体" w:hAnsi="宋体" w:cs="宋体"/>
          <w:color w:val="000000" w:themeColor="text1"/>
          <w:sz w:val="24"/>
          <w:szCs w:val="24"/>
          <w:highlight w:val="none"/>
          <w:u w:val="single"/>
          <w:lang w:val="zh-CN"/>
          <w14:textFill>
            <w14:solidFill>
              <w14:schemeClr w14:val="tx1"/>
            </w14:solidFill>
          </w14:textFill>
        </w:rPr>
        <w:t>人在签订合同前需按合同金额的</w:t>
      </w:r>
      <w:r>
        <w:rPr>
          <w:rFonts w:hint="eastAsia" w:ascii="宋体" w:hAnsi="宋体" w:cs="宋体"/>
          <w:color w:val="000000" w:themeColor="text1"/>
          <w:sz w:val="24"/>
          <w:szCs w:val="24"/>
          <w:highlight w:val="none"/>
          <w:u w:val="single"/>
          <w14:textFill>
            <w14:solidFill>
              <w14:schemeClr w14:val="tx1"/>
            </w14:solidFill>
          </w14:textFill>
        </w:rPr>
        <w:t>5</w:t>
      </w:r>
      <w:r>
        <w:rPr>
          <w:rFonts w:hint="eastAsia" w:ascii="宋体" w:hAnsi="宋体" w:cs="宋体"/>
          <w:color w:val="000000" w:themeColor="text1"/>
          <w:sz w:val="24"/>
          <w:szCs w:val="24"/>
          <w:highlight w:val="none"/>
          <w:u w:val="single"/>
          <w:lang w:val="zh-CN"/>
          <w14:textFill>
            <w14:solidFill>
              <w14:schemeClr w14:val="tx1"/>
            </w14:solidFill>
          </w14:textFill>
        </w:rPr>
        <w:t>%以现金、银行保函、银行本票、汇票、支票或电子汇款等形式缴纳履约保证金作为履约担保。</w:t>
      </w:r>
      <w:r>
        <w:rPr>
          <w:rFonts w:hint="eastAsia" w:ascii="宋体" w:hAnsi="宋体" w:cs="宋体"/>
          <w:color w:val="000000" w:themeColor="text1"/>
          <w:sz w:val="24"/>
          <w:szCs w:val="24"/>
          <w:highlight w:val="none"/>
          <w:u w:val="single"/>
          <w14:textFill>
            <w14:solidFill>
              <w14:schemeClr w14:val="tx1"/>
            </w14:solidFill>
          </w14:textFill>
        </w:rPr>
        <w:t>履约担保的退还时</w:t>
      </w:r>
      <w:r>
        <w:rPr>
          <w:rFonts w:hint="eastAsia" w:ascii="宋体" w:hAnsi="宋体" w:cs="宋体"/>
          <w:color w:val="000000" w:themeColor="text1"/>
          <w:sz w:val="24"/>
          <w:szCs w:val="24"/>
          <w:highlight w:val="none"/>
          <w:u w:val="single"/>
          <w:lang w:val="zh-CN"/>
          <w14:textFill>
            <w14:solidFill>
              <w14:schemeClr w14:val="tx1"/>
            </w14:solidFill>
          </w14:textFill>
        </w:rPr>
        <w:t>间为：履约保证金在合同履行期限（工期）满且工程结算审计完成后无息退还。</w:t>
      </w:r>
    </w:p>
    <w:p w14:paraId="2C2E2AE6">
      <w:pPr>
        <w:spacing w:line="360" w:lineRule="auto"/>
        <w:outlineLvl w:val="9"/>
        <w:rPr>
          <w:rFonts w:ascii="宋体" w:hAnsi="宋体" w:cs="宋体"/>
          <w:color w:val="000000" w:themeColor="text1"/>
          <w:sz w:val="24"/>
          <w:highlight w:val="none"/>
          <w:u w:val="single"/>
          <w14:textFill>
            <w14:solidFill>
              <w14:schemeClr w14:val="tx1"/>
            </w14:solidFill>
          </w14:textFill>
        </w:rPr>
      </w:pPr>
    </w:p>
    <w:p w14:paraId="78C32544">
      <w:pPr>
        <w:keepNext/>
        <w:keepLines/>
        <w:numPr>
          <w:ilvl w:val="3"/>
          <w:numId w:val="4"/>
        </w:numPr>
        <w:spacing w:line="360" w:lineRule="auto"/>
        <w:ind w:firstLine="482" w:firstLineChars="200"/>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4. 监理人</w:t>
      </w:r>
    </w:p>
    <w:p w14:paraId="192FD851">
      <w:pPr>
        <w:spacing w:after="120"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4.1监理人的一般规定</w:t>
      </w:r>
    </w:p>
    <w:p w14:paraId="62633935">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关于监理人的监理内容：</w:t>
      </w:r>
      <w:r>
        <w:rPr>
          <w:rFonts w:hint="eastAsia" w:ascii="宋体" w:hAnsi="宋体" w:cs="宋体"/>
          <w:color w:val="000000" w:themeColor="text1"/>
          <w:sz w:val="24"/>
          <w:szCs w:val="24"/>
          <w:highlight w:val="none"/>
          <w:u w:val="single"/>
          <w14:textFill>
            <w14:solidFill>
              <w14:schemeClr w14:val="tx1"/>
            </w14:solidFill>
          </w14:textFill>
        </w:rPr>
        <w:t>工程施工及保修阶段全过程监理，对工程 进行进度、质量、投资、安全四控制，合同管理、信息管理，协调施工现场各方面关系。具体内容如下： （1）收到工程设计文件后编制监理规划，并在第一次工地会议7天前报委托人，根据有关规定和监理工作需要，编制监理实施细则； （2）熟悉工程设计文件，并参加由委托人主持的图纸会审和设计交底会议； （3）参加由委托人主持的第一次工地会议；主持监理例会并根据工程需要主持或参加专题会议； （4）审查施工承包人提交的施工组织设计，重点审查其中的质量安全技术措施、专项施工方案与工程建设强制性标准的符合性； （5）检查施工承包人工程质量、安全生产管理制度及组织机构和人员资格； （6）检查施工承包人专职安全生产管理人员的配备情况； （7）审查施工承包人提交的施工进度计划，核查承包人对施工进度计划的调整； （8）检查施工承包人的试验室； （9）审核施工分包人资质条件； （10）查验施工承包人的施工测量放线成果； （11）审查工程开工条件，对条件具备的签发开工令； （12）审查施工承包人报送的工程材料、构配件、设备质量证明文件的有效性和符合性，并按规定对用于工程的材料采取平行检验或见证取样方式进行抽检； （13）审核施工承包人提交的工程款支付申请，签发或出具工程款支付证书，并报委托人审核、批准； （14）在巡视、旁站和检验过程中，发现工程质量、施工安全存在事故隐患的，要求施工承包人整改并报委托人； （15）经委托人同意，签发工程暂停令和复工令；（16）审查施工承包人提交的采用新材料、新工艺、新技术、新设备的论证材料及相关验收标准； （17）验收隐蔽工程、分部分项工程； （18）审查施工承包人提交的工程变更申请，协调处理施工进度调整、费用索赔、合同争议等事项； （19）审查施工承包人提交的竣工验收申请，编写工程质量评估报告； （20）参加工程竣工验收，签署竣工验收意见； （21）审查施工承包人提交的竣工结算申请并报委托人； （22）编制、整理工程监理归档文件并报委托人； （23）负责检查保修期阶段的工程状况，定期回访，监督施工单位保修。</w:t>
      </w:r>
    </w:p>
    <w:p w14:paraId="1CB5700A">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关于监理人的监理权限：</w:t>
      </w:r>
      <w:r>
        <w:rPr>
          <w:rFonts w:hint="eastAsia" w:ascii="宋体" w:hAnsi="宋体" w:cs="宋体"/>
          <w:color w:val="000000" w:themeColor="text1"/>
          <w:sz w:val="24"/>
          <w:szCs w:val="24"/>
          <w:highlight w:val="none"/>
          <w:u w:val="single"/>
          <w14:textFill>
            <w14:solidFill>
              <w14:schemeClr w14:val="tx1"/>
            </w14:solidFill>
          </w14:textFill>
        </w:rPr>
        <w:t>需要取得发包人批准才能行使的职权：分包单位的确定、施工中或图纸中的建议、设计变更、签证、工期延期、开工令、停工令、复工令，以及工程施工过程中所有涉及工程造价的一切事宜</w:t>
      </w:r>
      <w:r>
        <w:rPr>
          <w:rFonts w:hint="eastAsia" w:ascii="宋体" w:hAnsi="宋体" w:cs="宋体"/>
          <w:color w:val="000000" w:themeColor="text1"/>
          <w:sz w:val="24"/>
          <w:szCs w:val="24"/>
          <w:highlight w:val="none"/>
          <w14:textFill>
            <w14:solidFill>
              <w14:schemeClr w14:val="tx1"/>
            </w14:solidFill>
          </w14:textFill>
        </w:rPr>
        <w:t xml:space="preserve">。 </w:t>
      </w:r>
    </w:p>
    <w:p w14:paraId="68D1C538">
      <w:pPr>
        <w:spacing w:line="360" w:lineRule="auto"/>
        <w:ind w:left="479" w:leftChars="228"/>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关于监理人在施工现场的办公场所、生活场所的提供和费用承担的约定：</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5F23D3EB">
      <w:pPr>
        <w:spacing w:after="120"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4.2 监理人员</w:t>
      </w:r>
    </w:p>
    <w:p w14:paraId="40778F96">
      <w:pPr>
        <w:spacing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总监理工程师：</w:t>
      </w:r>
    </w:p>
    <w:p w14:paraId="7893213A">
      <w:pPr>
        <w:spacing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姓    名：</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w:t>
      </w:r>
    </w:p>
    <w:p w14:paraId="1C7185D7">
      <w:pPr>
        <w:spacing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职    务：</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w:t>
      </w:r>
    </w:p>
    <w:p w14:paraId="0D571973">
      <w:pPr>
        <w:spacing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监理工程师执业资格证书号：</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3BB5E5F6">
      <w:pPr>
        <w:spacing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联系电话：</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4DDDDF1F">
      <w:pPr>
        <w:spacing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电子信箱：</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4E5E9363">
      <w:pPr>
        <w:spacing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通信地址：</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0FB808E9">
      <w:pPr>
        <w:spacing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关于监理人的其他约定：</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1579E308">
      <w:pPr>
        <w:spacing w:after="120"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4.4 商定或确定</w:t>
      </w:r>
    </w:p>
    <w:p w14:paraId="4F1DF6AE">
      <w:pPr>
        <w:spacing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在发包人和承包人不能通过协商达成一致意见时，发包人授权监理人对以下事项进行确定：</w:t>
      </w:r>
    </w:p>
    <w:p w14:paraId="154D5F8C">
      <w:pPr>
        <w:autoSpaceDE w:val="0"/>
        <w:autoSpaceDN w:val="0"/>
        <w:adjustRightInd w:val="0"/>
        <w:spacing w:line="360" w:lineRule="auto"/>
        <w:ind w:firstLine="480" w:firstLineChars="200"/>
        <w:jc w:val="left"/>
        <w:outlineLvl w:val="9"/>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w:t>
      </w:r>
      <w:r>
        <w:rPr>
          <w:rFonts w:hint="eastAsia" w:ascii="宋体" w:hAnsi="宋体" w:cs="宋体"/>
          <w:color w:val="000000" w:themeColor="text1"/>
          <w:sz w:val="24"/>
          <w:szCs w:val="24"/>
          <w:highlight w:val="none"/>
          <w:u w:val="single"/>
          <w14:textFill>
            <w14:solidFill>
              <w14:schemeClr w14:val="tx1"/>
            </w14:solidFill>
          </w14:textFill>
        </w:rPr>
        <w:t>工程质量、安全文明施工、分部分项施工工艺或施工方案、材料设备等的检查、检验、验收</w:t>
      </w:r>
      <w:r>
        <w:rPr>
          <w:rFonts w:hint="eastAsia" w:ascii="宋体" w:hAnsi="宋体" w:cs="宋体"/>
          <w:color w:val="000000" w:themeColor="text1"/>
          <w:sz w:val="24"/>
          <w:szCs w:val="24"/>
          <w:highlight w:val="none"/>
          <w14:textFill>
            <w14:solidFill>
              <w14:schemeClr w14:val="tx1"/>
            </w14:solidFill>
          </w14:textFill>
        </w:rPr>
        <w:t>；</w:t>
      </w:r>
    </w:p>
    <w:p w14:paraId="6B4D0516">
      <w:pPr>
        <w:autoSpaceDE w:val="0"/>
        <w:autoSpaceDN w:val="0"/>
        <w:adjustRightInd w:val="0"/>
        <w:spacing w:line="360" w:lineRule="auto"/>
        <w:ind w:firstLine="480" w:firstLineChars="200"/>
        <w:jc w:val="left"/>
        <w:outlineLvl w:val="9"/>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（2）</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6D20EFA9">
      <w:pPr>
        <w:autoSpaceDE w:val="0"/>
        <w:autoSpaceDN w:val="0"/>
        <w:adjustRightInd w:val="0"/>
        <w:spacing w:line="360" w:lineRule="auto"/>
        <w:ind w:firstLine="480" w:firstLineChars="200"/>
        <w:jc w:val="left"/>
        <w:outlineLvl w:val="9"/>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（3）</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20839F54">
      <w:pPr>
        <w:keepNext/>
        <w:keepLines/>
        <w:numPr>
          <w:ilvl w:val="3"/>
          <w:numId w:val="4"/>
        </w:numPr>
        <w:spacing w:line="360" w:lineRule="auto"/>
        <w:ind w:firstLine="482" w:firstLineChars="200"/>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5. 工程质量</w:t>
      </w:r>
    </w:p>
    <w:p w14:paraId="6B4C434B">
      <w:pPr>
        <w:spacing w:after="120"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5.1 质量要求</w:t>
      </w:r>
    </w:p>
    <w:p w14:paraId="0BE48F5E">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5.1.1 特殊质量标准和要求：</w:t>
      </w:r>
      <w:r>
        <w:rPr>
          <w:rFonts w:hint="eastAsia" w:ascii="宋体" w:hAnsi="宋体" w:cs="宋体"/>
          <w:color w:val="000000" w:themeColor="text1"/>
          <w:sz w:val="24"/>
          <w:szCs w:val="24"/>
          <w:highlight w:val="none"/>
          <w:u w:val="single"/>
          <w14:textFill>
            <w14:solidFill>
              <w14:schemeClr w14:val="tx1"/>
            </w14:solidFill>
          </w14:textFill>
        </w:rPr>
        <w:t>必须达到投标文件承诺验收标准</w:t>
      </w:r>
      <w:r>
        <w:rPr>
          <w:rFonts w:hint="eastAsia" w:ascii="宋体" w:hAnsi="宋体" w:cs="宋体"/>
          <w:color w:val="000000" w:themeColor="text1"/>
          <w:sz w:val="24"/>
          <w:szCs w:val="24"/>
          <w:highlight w:val="none"/>
          <w14:textFill>
            <w14:solidFill>
              <w14:schemeClr w14:val="tx1"/>
            </w14:solidFill>
          </w14:textFill>
        </w:rPr>
        <w:t>。</w:t>
      </w:r>
    </w:p>
    <w:p w14:paraId="2246FC97">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关于工程奖项的约定：</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5A54F4D6">
      <w:pPr>
        <w:spacing w:after="120"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5.3 隐蔽工程检查</w:t>
      </w:r>
    </w:p>
    <w:p w14:paraId="4A43BEE2">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5.3.2承包人提前通知监理人隐蔽工程检查的期限的约定：</w:t>
      </w:r>
      <w:r>
        <w:rPr>
          <w:rFonts w:hint="eastAsia" w:ascii="宋体" w:hAnsi="宋体" w:cs="宋体"/>
          <w:color w:val="000000" w:themeColor="text1"/>
          <w:sz w:val="24"/>
          <w:szCs w:val="24"/>
          <w:highlight w:val="none"/>
          <w:u w:val="single"/>
          <w14:textFill>
            <w14:solidFill>
              <w14:schemeClr w14:val="tx1"/>
            </w14:solidFill>
          </w14:textFill>
        </w:rPr>
        <w:t>共同检查前48小时书面通知监理人</w:t>
      </w:r>
      <w:r>
        <w:rPr>
          <w:rFonts w:hint="eastAsia" w:ascii="宋体" w:hAnsi="宋体" w:cs="宋体"/>
          <w:color w:val="000000" w:themeColor="text1"/>
          <w:sz w:val="24"/>
          <w:szCs w:val="24"/>
          <w:highlight w:val="none"/>
          <w14:textFill>
            <w14:solidFill>
              <w14:schemeClr w14:val="tx1"/>
            </w14:solidFill>
          </w14:textFill>
        </w:rPr>
        <w:t>。</w:t>
      </w:r>
    </w:p>
    <w:p w14:paraId="5A3D0916">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监理人不能按时进行检查时，应提前</w:t>
      </w:r>
      <w:r>
        <w:rPr>
          <w:rFonts w:hint="eastAsia" w:ascii="宋体" w:hAnsi="宋体" w:cs="宋体"/>
          <w:color w:val="000000" w:themeColor="text1"/>
          <w:sz w:val="24"/>
          <w:szCs w:val="24"/>
          <w:highlight w:val="none"/>
          <w:u w:val="single"/>
          <w14:textFill>
            <w14:solidFill>
              <w14:schemeClr w14:val="tx1"/>
            </w14:solidFill>
          </w14:textFill>
        </w:rPr>
        <w:t>24</w:t>
      </w:r>
      <w:r>
        <w:rPr>
          <w:rFonts w:hint="eastAsia" w:ascii="宋体" w:hAnsi="宋体" w:cs="宋体"/>
          <w:color w:val="000000" w:themeColor="text1"/>
          <w:sz w:val="24"/>
          <w:szCs w:val="24"/>
          <w:highlight w:val="none"/>
          <w14:textFill>
            <w14:solidFill>
              <w14:schemeClr w14:val="tx1"/>
            </w14:solidFill>
          </w14:textFill>
        </w:rPr>
        <w:t>小时提交书面延期要求。</w:t>
      </w:r>
    </w:p>
    <w:p w14:paraId="5788F85A">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关于延期最长不得超过：</w:t>
      </w:r>
      <w:r>
        <w:rPr>
          <w:rFonts w:hint="eastAsia" w:ascii="宋体" w:hAnsi="宋体" w:cs="宋体"/>
          <w:color w:val="000000" w:themeColor="text1"/>
          <w:sz w:val="24"/>
          <w:szCs w:val="24"/>
          <w:highlight w:val="none"/>
          <w:u w:val="single"/>
          <w14:textFill>
            <w14:solidFill>
              <w14:schemeClr w14:val="tx1"/>
            </w14:solidFill>
          </w14:textFill>
        </w:rPr>
        <w:t>48</w:t>
      </w:r>
      <w:r>
        <w:rPr>
          <w:rFonts w:hint="eastAsia" w:ascii="宋体" w:hAnsi="宋体" w:cs="宋体"/>
          <w:color w:val="000000" w:themeColor="text1"/>
          <w:sz w:val="24"/>
          <w:szCs w:val="24"/>
          <w:highlight w:val="none"/>
          <w14:textFill>
            <w14:solidFill>
              <w14:schemeClr w14:val="tx1"/>
            </w14:solidFill>
          </w14:textFill>
        </w:rPr>
        <w:t>小时。</w:t>
      </w:r>
    </w:p>
    <w:p w14:paraId="56915ADE">
      <w:pPr>
        <w:keepNext/>
        <w:keepLines/>
        <w:numPr>
          <w:ilvl w:val="3"/>
          <w:numId w:val="4"/>
        </w:numPr>
        <w:spacing w:before="120" w:after="120" w:line="360" w:lineRule="auto"/>
        <w:outlineLvl w:val="9"/>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6. 安全文明施工与环境保护</w:t>
      </w:r>
    </w:p>
    <w:p w14:paraId="733AB212">
      <w:pPr>
        <w:spacing w:after="120"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6.1安全文明施工</w:t>
      </w:r>
    </w:p>
    <w:p w14:paraId="7C8D8BC2">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6.1.1 项目安全生产的达标目标及相应事项的约定：</w:t>
      </w:r>
      <w:r>
        <w:rPr>
          <w:rFonts w:hint="eastAsia" w:ascii="宋体" w:hAnsi="宋体" w:cs="宋体"/>
          <w:color w:val="000000" w:themeColor="text1"/>
          <w:sz w:val="24"/>
          <w:szCs w:val="24"/>
          <w:highlight w:val="none"/>
          <w:u w:val="single"/>
          <w14:textFill>
            <w14:solidFill>
              <w14:schemeClr w14:val="tx1"/>
            </w14:solidFill>
          </w14:textFill>
        </w:rPr>
        <w:t>①承包人必须按照工程所在地现行标准实行安全施工管理，总承包单位对施工现场的安全施工负总责，专业工程承包单位应当服从总承包单位的安全施工管理 。②除执行通用条款的相关规定外，承包人应按规范施工并严格按照施工组织设计组织施工，在安全管理方面除正常进行安全学习、安全教育外，同时应高度重视工程施工时的安全工作，安全措施要落实到位，应急措施必须跟上，对于不重视安全工作，措施不到位，发生安全事故的，承包人须承担全部责任，并承担所有赔偿费用 。 ③承包人负责施工现场的第三方人身安全 。 ④发包人不得要求承包人违反安全管理的规定进行施工。因发包人原因导致的安全事故，由发包人承担相应责任及费用。因承包人原因造成人员伤亡或机具损坏而导致停工，承包人承担1000元/天的违约金，且工期不予顺延，同时发包人还保留进一步索赔的权利。</w:t>
      </w:r>
    </w:p>
    <w:p w14:paraId="5830B87C">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6.1.4 关于治安保卫的特别约定：</w:t>
      </w:r>
      <w:r>
        <w:rPr>
          <w:rFonts w:hint="eastAsia" w:ascii="宋体" w:hAnsi="宋体" w:cs="宋体"/>
          <w:color w:val="000000" w:themeColor="text1"/>
          <w:sz w:val="24"/>
          <w:szCs w:val="24"/>
          <w:highlight w:val="none"/>
          <w:u w:val="single"/>
          <w14:textFill>
            <w14:solidFill>
              <w14:schemeClr w14:val="tx1"/>
            </w14:solidFill>
          </w14:textFill>
        </w:rPr>
        <w:t>承包人应做好包括生活区在内的施工场地的治安保卫工作，承包人的安全保卫工作，应满足现场施工管理的需要，达到政府有关规定的要求及承包人承诺，负责施工人员的治安教育和施工安全教育工作，建立健全行之有效的防火管理制度，对火灾易发区域应采取特殊的消防安全措施，确保职工食堂卫生安全和饮水设施的安全可靠，按照现行规范执行确保施工现场的临时用电安全。必须杜绝一切事故，承包人负责承担因措施不力、管理不善而发生的事故责任</w:t>
      </w:r>
      <w:r>
        <w:rPr>
          <w:rFonts w:hint="eastAsia" w:ascii="宋体" w:hAnsi="宋体" w:cs="宋体"/>
          <w:color w:val="000000" w:themeColor="text1"/>
          <w:sz w:val="24"/>
          <w:szCs w:val="24"/>
          <w:highlight w:val="none"/>
          <w14:textFill>
            <w14:solidFill>
              <w14:schemeClr w14:val="tx1"/>
            </w14:solidFill>
          </w14:textFill>
        </w:rPr>
        <w:t>。</w:t>
      </w:r>
    </w:p>
    <w:p w14:paraId="37419132">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关于编制施工场地治安管理计划的约定：</w:t>
      </w:r>
      <w:r>
        <w:rPr>
          <w:rFonts w:hint="eastAsia" w:ascii="宋体" w:hAnsi="宋体" w:cs="宋体"/>
          <w:color w:val="000000" w:themeColor="text1"/>
          <w:sz w:val="24"/>
          <w:szCs w:val="24"/>
          <w:highlight w:val="none"/>
          <w:u w:val="single"/>
          <w14:textFill>
            <w14:solidFill>
              <w14:schemeClr w14:val="tx1"/>
            </w14:solidFill>
          </w14:textFill>
        </w:rPr>
        <w:t>在工程开工后</w:t>
      </w:r>
      <w:r>
        <w:rPr>
          <w:rFonts w:hint="eastAsia" w:ascii="宋体" w:hAnsi="宋体" w:cs="宋体"/>
          <w:color w:val="000000" w:themeColor="text1"/>
          <w:sz w:val="24"/>
          <w:szCs w:val="24"/>
          <w:highlight w:val="none"/>
          <w:u w:val="single"/>
          <w:lang w:val="en-US" w:eastAsia="zh-CN"/>
          <w14:textFill>
            <w14:solidFill>
              <w14:schemeClr w14:val="tx1"/>
            </w14:solidFill>
          </w14:textFill>
        </w:rPr>
        <w:t>5</w:t>
      </w:r>
      <w:r>
        <w:rPr>
          <w:rFonts w:hint="eastAsia" w:ascii="宋体" w:hAnsi="宋体" w:cs="宋体"/>
          <w:color w:val="000000" w:themeColor="text1"/>
          <w:sz w:val="24"/>
          <w:szCs w:val="24"/>
          <w:highlight w:val="none"/>
          <w:u w:val="single"/>
          <w14:textFill>
            <w14:solidFill>
              <w14:schemeClr w14:val="tx1"/>
            </w14:solidFill>
          </w14:textFill>
        </w:rPr>
        <w:t>天内编制并向发包人提交施工场地治安管理计划和应对突发治安事件的紧急预案</w:t>
      </w:r>
      <w:r>
        <w:rPr>
          <w:rFonts w:hint="eastAsia" w:ascii="宋体" w:hAnsi="宋体" w:cs="宋体"/>
          <w:color w:val="000000" w:themeColor="text1"/>
          <w:sz w:val="24"/>
          <w:szCs w:val="24"/>
          <w:highlight w:val="none"/>
          <w14:textFill>
            <w14:solidFill>
              <w14:schemeClr w14:val="tx1"/>
            </w14:solidFill>
          </w14:textFill>
        </w:rPr>
        <w:t>。</w:t>
      </w:r>
    </w:p>
    <w:p w14:paraId="6698685D">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6.1.5 文明施工</w:t>
      </w:r>
    </w:p>
    <w:p w14:paraId="6A212392">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合同当事人对文明施工的要求：</w:t>
      </w:r>
      <w:r>
        <w:rPr>
          <w:rFonts w:hint="eastAsia" w:ascii="宋体" w:hAnsi="宋体" w:cs="宋体"/>
          <w:color w:val="000000" w:themeColor="text1"/>
          <w:sz w:val="24"/>
          <w:szCs w:val="24"/>
          <w:highlight w:val="none"/>
          <w:u w:val="single"/>
          <w14:textFill>
            <w14:solidFill>
              <w14:schemeClr w14:val="tx1"/>
            </w14:solidFill>
          </w14:textFill>
        </w:rPr>
        <w:t>必须符合江苏省、南京市、工程所在地最新文件规定的标准实行文明施工管理。</w:t>
      </w:r>
    </w:p>
    <w:p w14:paraId="1522E0CE">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6.1.6 关于安全文明施工费支付比例和支付期限的约定：</w:t>
      </w:r>
      <w:r>
        <w:rPr>
          <w:rFonts w:hint="eastAsia" w:ascii="宋体" w:hAnsi="宋体" w:cs="宋体"/>
          <w:color w:val="000000" w:themeColor="text1"/>
          <w:sz w:val="24"/>
          <w:szCs w:val="24"/>
          <w:highlight w:val="none"/>
          <w:u w:val="single"/>
          <w14:textFill>
            <w14:solidFill>
              <w14:schemeClr w14:val="tx1"/>
            </w14:solidFill>
          </w14:textFill>
        </w:rPr>
        <w:t>发包人支付的工程已包含了安全文明施工费用总额的60%。</w:t>
      </w:r>
    </w:p>
    <w:p w14:paraId="43F3E6F0">
      <w:pPr>
        <w:keepNext/>
        <w:keepLines/>
        <w:numPr>
          <w:ilvl w:val="3"/>
          <w:numId w:val="4"/>
        </w:numPr>
        <w:spacing w:line="360" w:lineRule="auto"/>
        <w:ind w:firstLine="482" w:firstLineChars="200"/>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7. 工期和进度</w:t>
      </w:r>
    </w:p>
    <w:p w14:paraId="1EDD17F2">
      <w:pPr>
        <w:spacing w:after="120"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7.1 施工组织设计</w:t>
      </w:r>
    </w:p>
    <w:p w14:paraId="68F8B8A5">
      <w:pPr>
        <w:autoSpaceDE w:val="0"/>
        <w:autoSpaceDN w:val="0"/>
        <w:adjustRightInd w:val="0"/>
        <w:spacing w:line="360" w:lineRule="auto"/>
        <w:ind w:firstLine="480" w:firstLineChars="200"/>
        <w:jc w:val="left"/>
        <w:outlineLvl w:val="9"/>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7.1.1 合</w:t>
      </w:r>
      <w:r>
        <w:rPr>
          <w:rFonts w:hint="eastAsia" w:ascii="宋体" w:hAnsi="宋体" w:cs="宋体"/>
          <w:color w:val="000000" w:themeColor="text1"/>
          <w:kern w:val="0"/>
          <w:sz w:val="24"/>
          <w:szCs w:val="24"/>
          <w:highlight w:val="none"/>
          <w14:textFill>
            <w14:solidFill>
              <w14:schemeClr w14:val="tx1"/>
            </w14:solidFill>
          </w14:textFill>
        </w:rPr>
        <w:t>同当事人约定的施工组织设计应包括的其他内容：</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09367AB8">
      <w:pPr>
        <w:autoSpaceDE w:val="0"/>
        <w:autoSpaceDN w:val="0"/>
        <w:adjustRightInd w:val="0"/>
        <w:spacing w:line="360" w:lineRule="auto"/>
        <w:ind w:firstLine="480" w:firstLineChars="200"/>
        <w:jc w:val="left"/>
        <w:outlineLvl w:val="9"/>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7.1.2 </w:t>
      </w:r>
      <w:r>
        <w:rPr>
          <w:rFonts w:hint="eastAsia" w:ascii="宋体" w:hAnsi="宋体" w:cs="宋体"/>
          <w:color w:val="000000" w:themeColor="text1"/>
          <w:kern w:val="0"/>
          <w:sz w:val="24"/>
          <w:szCs w:val="24"/>
          <w:highlight w:val="none"/>
          <w14:textFill>
            <w14:solidFill>
              <w14:schemeClr w14:val="tx1"/>
            </w14:solidFill>
          </w14:textFill>
        </w:rPr>
        <w:t>施工组织设计的提交和修改</w:t>
      </w:r>
    </w:p>
    <w:p w14:paraId="4BA4FCA1">
      <w:pPr>
        <w:autoSpaceDE w:val="0"/>
        <w:autoSpaceDN w:val="0"/>
        <w:adjustRightInd w:val="0"/>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承包人提交详细施工组织设计的期限的约定：</w:t>
      </w:r>
      <w:r>
        <w:rPr>
          <w:rFonts w:hint="eastAsia" w:ascii="宋体" w:hAnsi="宋体" w:cs="宋体"/>
          <w:color w:val="000000" w:themeColor="text1"/>
          <w:sz w:val="24"/>
          <w:szCs w:val="24"/>
          <w:highlight w:val="none"/>
          <w:u w:val="single"/>
          <w14:textFill>
            <w14:solidFill>
              <w14:schemeClr w14:val="tx1"/>
            </w14:solidFill>
          </w14:textFill>
        </w:rPr>
        <w:t>开工日期7天前</w:t>
      </w:r>
      <w:r>
        <w:rPr>
          <w:rFonts w:hint="eastAsia" w:ascii="宋体" w:hAnsi="宋体" w:cs="宋体"/>
          <w:color w:val="000000" w:themeColor="text1"/>
          <w:sz w:val="24"/>
          <w:szCs w:val="24"/>
          <w:highlight w:val="none"/>
          <w14:textFill>
            <w14:solidFill>
              <w14:schemeClr w14:val="tx1"/>
            </w14:solidFill>
          </w14:textFill>
        </w:rPr>
        <w:t>。</w:t>
      </w:r>
    </w:p>
    <w:p w14:paraId="0C98A055">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发包人和监理人在收到详细的施工组织设计后确认或提出修改意见的期限：</w:t>
      </w:r>
      <w:r>
        <w:rPr>
          <w:rFonts w:hint="eastAsia" w:ascii="宋体" w:hAnsi="宋体" w:cs="宋体"/>
          <w:color w:val="000000" w:themeColor="text1"/>
          <w:sz w:val="24"/>
          <w:szCs w:val="24"/>
          <w:highlight w:val="none"/>
          <w:u w:val="single"/>
          <w14:textFill>
            <w14:solidFill>
              <w14:schemeClr w14:val="tx1"/>
            </w14:solidFill>
          </w14:textFill>
        </w:rPr>
        <w:t>7天内</w:t>
      </w:r>
      <w:r>
        <w:rPr>
          <w:rFonts w:hint="eastAsia" w:ascii="宋体" w:hAnsi="宋体" w:cs="宋体"/>
          <w:color w:val="000000" w:themeColor="text1"/>
          <w:sz w:val="24"/>
          <w:szCs w:val="24"/>
          <w:highlight w:val="none"/>
          <w14:textFill>
            <w14:solidFill>
              <w14:schemeClr w14:val="tx1"/>
            </w14:solidFill>
          </w14:textFill>
        </w:rPr>
        <w:t>。</w:t>
      </w:r>
    </w:p>
    <w:p w14:paraId="77560629">
      <w:pPr>
        <w:spacing w:after="120"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7.2 施工进度计划</w:t>
      </w:r>
    </w:p>
    <w:p w14:paraId="29AAE5E9">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7.2.2 施工进度计划的修订</w:t>
      </w:r>
    </w:p>
    <w:p w14:paraId="3F8D3A8C">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发包人和监理人在收到修订的施工进度计划后确认或提出修改意见的期限：</w:t>
      </w:r>
      <w:r>
        <w:rPr>
          <w:rFonts w:hint="eastAsia" w:ascii="宋体" w:hAnsi="宋体" w:cs="宋体"/>
          <w:color w:val="000000" w:themeColor="text1"/>
          <w:sz w:val="24"/>
          <w:szCs w:val="24"/>
          <w:highlight w:val="none"/>
          <w:u w:val="single"/>
          <w14:textFill>
            <w14:solidFill>
              <w14:schemeClr w14:val="tx1"/>
            </w14:solidFill>
          </w14:textFill>
        </w:rPr>
        <w:t>7天内</w:t>
      </w:r>
      <w:r>
        <w:rPr>
          <w:rFonts w:hint="eastAsia" w:ascii="宋体" w:hAnsi="宋体" w:cs="宋体"/>
          <w:color w:val="000000" w:themeColor="text1"/>
          <w:sz w:val="24"/>
          <w:szCs w:val="24"/>
          <w:highlight w:val="none"/>
          <w14:textFill>
            <w14:solidFill>
              <w14:schemeClr w14:val="tx1"/>
            </w14:solidFill>
          </w14:textFill>
        </w:rPr>
        <w:t>。</w:t>
      </w:r>
    </w:p>
    <w:p w14:paraId="056BA253">
      <w:pPr>
        <w:spacing w:after="120"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7.3 开工</w:t>
      </w:r>
    </w:p>
    <w:p w14:paraId="6256AE84">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7.3.1 开工准备</w:t>
      </w:r>
    </w:p>
    <w:p w14:paraId="632388E8">
      <w:pPr>
        <w:spacing w:line="360" w:lineRule="auto"/>
        <w:ind w:firstLine="645"/>
        <w:jc w:val="left"/>
        <w:outlineLvl w:val="9"/>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关于承包人提交</w:t>
      </w:r>
      <w:r>
        <w:rPr>
          <w:rFonts w:hint="eastAsia" w:ascii="宋体" w:hAnsi="宋体" w:cs="宋体"/>
          <w:color w:val="000000" w:themeColor="text1"/>
          <w:kern w:val="0"/>
          <w:sz w:val="24"/>
          <w:szCs w:val="24"/>
          <w:highlight w:val="none"/>
          <w14:textFill>
            <w14:solidFill>
              <w14:schemeClr w14:val="tx1"/>
            </w14:solidFill>
          </w14:textFill>
        </w:rPr>
        <w:t>工程开工报审表的期限：</w:t>
      </w:r>
      <w:r>
        <w:rPr>
          <w:rFonts w:hint="eastAsia" w:ascii="宋体" w:hAnsi="宋体" w:cs="宋体"/>
          <w:color w:val="000000" w:themeColor="text1"/>
          <w:sz w:val="24"/>
          <w:szCs w:val="24"/>
          <w:highlight w:val="none"/>
          <w:u w:val="single"/>
          <w14:textFill>
            <w14:solidFill>
              <w14:schemeClr w14:val="tx1"/>
            </w14:solidFill>
          </w14:textFill>
        </w:rPr>
        <w:t>在工程准备工作完成后，计划开工日期7天前提交开工报审表</w:t>
      </w:r>
      <w:r>
        <w:rPr>
          <w:rFonts w:hint="eastAsia" w:ascii="宋体" w:hAnsi="宋体" w:cs="宋体"/>
          <w:color w:val="000000" w:themeColor="text1"/>
          <w:sz w:val="24"/>
          <w:szCs w:val="24"/>
          <w:highlight w:val="none"/>
          <w14:textFill>
            <w14:solidFill>
              <w14:schemeClr w14:val="tx1"/>
            </w14:solidFill>
          </w14:textFill>
        </w:rPr>
        <w:t>。</w:t>
      </w:r>
    </w:p>
    <w:p w14:paraId="56B9F0EF">
      <w:pPr>
        <w:spacing w:line="360" w:lineRule="auto"/>
        <w:ind w:firstLine="645"/>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关于发包人应完成的其他开工准备工作及期限：</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48A8BA49">
      <w:pPr>
        <w:spacing w:line="360" w:lineRule="auto"/>
        <w:ind w:firstLine="645"/>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关于承包人应完成的其他开工准备工作及期限：</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315E63DD">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7.3.2开工通知</w:t>
      </w:r>
    </w:p>
    <w:p w14:paraId="21D56F0A">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因发包人原因造成监理人未能在计划开工日期之日起</w:t>
      </w:r>
      <w:r>
        <w:rPr>
          <w:rFonts w:hint="eastAsia" w:ascii="宋体" w:hAnsi="宋体" w:cs="宋体"/>
          <w:color w:val="000000" w:themeColor="text1"/>
          <w:sz w:val="24"/>
          <w:szCs w:val="24"/>
          <w:highlight w:val="none"/>
          <w:u w:val="single"/>
          <w14:textFill>
            <w14:solidFill>
              <w14:schemeClr w14:val="tx1"/>
            </w14:solidFill>
          </w14:textFill>
        </w:rPr>
        <w:t>90</w:t>
      </w:r>
      <w:r>
        <w:rPr>
          <w:rFonts w:hint="eastAsia" w:ascii="宋体" w:hAnsi="宋体" w:cs="宋体"/>
          <w:color w:val="000000" w:themeColor="text1"/>
          <w:sz w:val="24"/>
          <w:szCs w:val="24"/>
          <w:highlight w:val="none"/>
          <w14:textFill>
            <w14:solidFill>
              <w14:schemeClr w14:val="tx1"/>
            </w14:solidFill>
          </w14:textFill>
        </w:rPr>
        <w:t>天内发出开工通知的，承包人有权提出价格调整要求，或者解除合同。</w:t>
      </w:r>
    </w:p>
    <w:p w14:paraId="0595C991">
      <w:pPr>
        <w:spacing w:after="120"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7.4 测量放线</w:t>
      </w:r>
    </w:p>
    <w:p w14:paraId="7CDCADE9">
      <w:pPr>
        <w:spacing w:line="360" w:lineRule="auto"/>
        <w:ind w:firstLine="480" w:firstLineChars="200"/>
        <w:jc w:val="left"/>
        <w:outlineLvl w:val="9"/>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7.4.1发包人通过监理人向承包人提供测量基准点、基准线和水准点及其书面资料的期限：</w:t>
      </w:r>
      <w:r>
        <w:rPr>
          <w:rFonts w:hint="eastAsia" w:ascii="宋体" w:hAnsi="宋体" w:cs="宋体"/>
          <w:color w:val="000000" w:themeColor="text1"/>
          <w:sz w:val="24"/>
          <w:szCs w:val="24"/>
          <w:highlight w:val="none"/>
          <w:u w:val="single"/>
          <w14:textFill>
            <w14:solidFill>
              <w14:schemeClr w14:val="tx1"/>
            </w14:solidFill>
          </w14:textFill>
        </w:rPr>
        <w:t>开工日期7天前发包人以书面形式向承包人提供水准点与坐标控制点，由发包人、承包人和监理单位三方人员对水准点与坐标控制点数据进行现场交验。交验完毕，即由承包人负责保护，此后由于破坏或失准带来的重新测量、放点费用及由此造成的其他损失均由承包人承担</w:t>
      </w:r>
      <w:r>
        <w:rPr>
          <w:rFonts w:hint="eastAsia" w:ascii="宋体" w:hAnsi="宋体" w:cs="宋体"/>
          <w:color w:val="000000" w:themeColor="text1"/>
          <w:sz w:val="24"/>
          <w:szCs w:val="24"/>
          <w:highlight w:val="none"/>
          <w14:textFill>
            <w14:solidFill>
              <w14:schemeClr w14:val="tx1"/>
            </w14:solidFill>
          </w14:textFill>
        </w:rPr>
        <w:t>。</w:t>
      </w:r>
    </w:p>
    <w:p w14:paraId="7736B147">
      <w:pPr>
        <w:spacing w:after="120"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7.5 工期延误</w:t>
      </w:r>
    </w:p>
    <w:p w14:paraId="254AF898">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7.5.1 因发包人原因导致工期延误</w:t>
      </w:r>
    </w:p>
    <w:p w14:paraId="6981D8AC">
      <w:pPr>
        <w:spacing w:line="360" w:lineRule="auto"/>
        <w:ind w:firstLine="480" w:firstLineChars="200"/>
        <w:jc w:val="left"/>
        <w:outlineLvl w:val="9"/>
        <w:rPr>
          <w:rFonts w:ascii="宋体" w:hAnsi="宋体"/>
          <w:color w:val="000000" w:themeColor="text1"/>
          <w:szCs w:val="21"/>
          <w:highlight w:val="none"/>
          <w:u w:val="single" w:color="000000"/>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因发包人原因导致工期延误的其他情形：</w:t>
      </w:r>
      <w:r>
        <w:rPr>
          <w:rFonts w:hint="eastAsia" w:ascii="宋体" w:hAnsi="宋体" w:cs="宋体"/>
          <w:color w:val="000000" w:themeColor="text1"/>
          <w:sz w:val="24"/>
          <w:szCs w:val="24"/>
          <w:highlight w:val="none"/>
          <w:u w:val="single"/>
          <w14:textFill>
            <w14:solidFill>
              <w14:schemeClr w14:val="tx1"/>
            </w14:solidFill>
          </w14:textFill>
        </w:rPr>
        <w:t>非承包人原因造成政府部门指令的停工、暂停施工作业</w:t>
      </w:r>
      <w:r>
        <w:rPr>
          <w:rFonts w:hint="eastAsia" w:ascii="宋体" w:hAnsi="宋体" w:cs="宋体"/>
          <w:color w:val="000000" w:themeColor="text1"/>
          <w:sz w:val="24"/>
          <w:szCs w:val="24"/>
          <w:highlight w:val="none"/>
          <w14:textFill>
            <w14:solidFill>
              <w14:schemeClr w14:val="tx1"/>
            </w14:solidFill>
          </w14:textFill>
        </w:rPr>
        <w:t>。</w:t>
      </w:r>
    </w:p>
    <w:p w14:paraId="72E2284C">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7.5.2 因承包人原因导致工期延误</w:t>
      </w:r>
    </w:p>
    <w:p w14:paraId="4FCB5159">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因承包人原因造成工期延误，逾期竣工违约金的计算方法为：</w:t>
      </w:r>
      <w:r>
        <w:rPr>
          <w:rFonts w:hint="eastAsia" w:ascii="宋体" w:hAnsi="宋体" w:cs="宋体"/>
          <w:color w:val="000000" w:themeColor="text1"/>
          <w:sz w:val="24"/>
          <w:szCs w:val="24"/>
          <w:highlight w:val="none"/>
          <w:u w:val="single"/>
          <w14:textFill>
            <w14:solidFill>
              <w14:schemeClr w14:val="tx1"/>
            </w14:solidFill>
          </w14:textFill>
        </w:rPr>
        <w:t>违约金为5000元/天向发包人支付逾期竣工违约金，当工期延误达到九天时，发包人有权要求承包人退场，并赔偿发包人一切损失</w:t>
      </w:r>
      <w:r>
        <w:rPr>
          <w:rFonts w:hint="eastAsia" w:ascii="宋体" w:hAnsi="宋体" w:cs="宋体"/>
          <w:color w:val="000000" w:themeColor="text1"/>
          <w:sz w:val="24"/>
          <w:szCs w:val="24"/>
          <w:highlight w:val="none"/>
          <w14:textFill>
            <w14:solidFill>
              <w14:schemeClr w14:val="tx1"/>
            </w14:solidFill>
          </w14:textFill>
        </w:rPr>
        <w:t>。</w:t>
      </w:r>
    </w:p>
    <w:p w14:paraId="0679F981">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因承包人原因造成工期延误，逾期竣工违约金的上限：</w:t>
      </w:r>
      <w:r>
        <w:rPr>
          <w:rFonts w:hint="eastAsia" w:ascii="宋体" w:hAnsi="宋体" w:cs="宋体"/>
          <w:color w:val="000000" w:themeColor="text1"/>
          <w:sz w:val="24"/>
          <w:szCs w:val="24"/>
          <w:highlight w:val="none"/>
          <w:u w:val="single"/>
          <w14:textFill>
            <w14:solidFill>
              <w14:schemeClr w14:val="tx1"/>
            </w14:solidFill>
          </w14:textFill>
        </w:rPr>
        <w:t>总额不超过合同价款的2%</w:t>
      </w:r>
      <w:r>
        <w:rPr>
          <w:rFonts w:hint="eastAsia" w:ascii="宋体" w:hAnsi="宋体" w:cs="宋体"/>
          <w:color w:val="000000" w:themeColor="text1"/>
          <w:sz w:val="24"/>
          <w:szCs w:val="24"/>
          <w:highlight w:val="none"/>
          <w14:textFill>
            <w14:solidFill>
              <w14:schemeClr w14:val="tx1"/>
            </w14:solidFill>
          </w14:textFill>
        </w:rPr>
        <w:t>。</w:t>
      </w:r>
    </w:p>
    <w:p w14:paraId="001F7CEE">
      <w:pPr>
        <w:spacing w:after="120"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7.6 不利物质条件</w:t>
      </w:r>
    </w:p>
    <w:p w14:paraId="39AFA6AD">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不利物质条件的其他情形和有关约定：</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0425C84B">
      <w:pPr>
        <w:spacing w:after="120"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7.7异常恶劣的气候条件</w:t>
      </w:r>
    </w:p>
    <w:p w14:paraId="3DCEFFCB">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发包人和承包人同意以下情形视为异常恶劣的气候条件：</w:t>
      </w:r>
    </w:p>
    <w:p w14:paraId="63B7DDA9">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w:t>
      </w:r>
      <w:r>
        <w:rPr>
          <w:rFonts w:hint="eastAsia" w:ascii="宋体" w:hAnsi="宋体" w:cs="宋体"/>
          <w:color w:val="000000" w:themeColor="text1"/>
          <w:sz w:val="24"/>
          <w:szCs w:val="24"/>
          <w:highlight w:val="none"/>
          <w:u w:val="single"/>
          <w14:textFill>
            <w14:solidFill>
              <w14:schemeClr w14:val="tx1"/>
            </w14:solidFill>
          </w14:textFill>
        </w:rPr>
        <w:t>6级以上持续24小时的大风；</w:t>
      </w:r>
      <w:r>
        <w:rPr>
          <w:rFonts w:hint="eastAsia" w:ascii="宋体" w:hAnsi="宋体" w:cs="宋体"/>
          <w:color w:val="000000" w:themeColor="text1"/>
          <w:sz w:val="24"/>
          <w:szCs w:val="24"/>
          <w:highlight w:val="none"/>
          <w14:textFill>
            <w14:solidFill>
              <w14:schemeClr w14:val="tx1"/>
            </w14:solidFill>
          </w14:textFill>
        </w:rPr>
        <w:t>；</w:t>
      </w:r>
    </w:p>
    <w:p w14:paraId="7FE7646C">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w:t>
      </w:r>
      <w:r>
        <w:rPr>
          <w:rFonts w:hint="eastAsia" w:ascii="宋体" w:hAnsi="宋体" w:cs="宋体"/>
          <w:color w:val="000000" w:themeColor="text1"/>
          <w:sz w:val="24"/>
          <w:szCs w:val="24"/>
          <w:highlight w:val="none"/>
          <w:u w:val="single"/>
          <w14:textFill>
            <w14:solidFill>
              <w14:schemeClr w14:val="tx1"/>
            </w14:solidFill>
          </w14:textFill>
        </w:rPr>
        <w:t>持续降雨24小时且降雨量200mm以上；下雪为30mm以上</w:t>
      </w:r>
      <w:r>
        <w:rPr>
          <w:rFonts w:hint="eastAsia" w:ascii="宋体" w:hAnsi="宋体" w:cs="宋体"/>
          <w:color w:val="000000" w:themeColor="text1"/>
          <w:sz w:val="24"/>
          <w:szCs w:val="24"/>
          <w:highlight w:val="none"/>
          <w14:textFill>
            <w14:solidFill>
              <w14:schemeClr w14:val="tx1"/>
            </w14:solidFill>
          </w14:textFill>
        </w:rPr>
        <w:t>；</w:t>
      </w:r>
    </w:p>
    <w:p w14:paraId="2506F304">
      <w:pPr>
        <w:spacing w:line="360" w:lineRule="auto"/>
        <w:ind w:firstLine="480" w:firstLineChars="200"/>
        <w:jc w:val="left"/>
        <w:outlineLvl w:val="9"/>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w:t>
      </w:r>
      <w:r>
        <w:rPr>
          <w:rFonts w:hint="eastAsia" w:ascii="宋体" w:hAnsi="宋体" w:cs="宋体"/>
          <w:color w:val="000000" w:themeColor="text1"/>
          <w:sz w:val="24"/>
          <w:szCs w:val="24"/>
          <w:highlight w:val="none"/>
          <w:u w:val="single"/>
          <w14:textFill>
            <w14:solidFill>
              <w14:schemeClr w14:val="tx1"/>
            </w14:solidFill>
          </w14:textFill>
        </w:rPr>
        <w:t>40℃及以上持续24小时的高温。</w:t>
      </w:r>
    </w:p>
    <w:p w14:paraId="42038BB3">
      <w:pPr>
        <w:spacing w:after="120"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7.9 提前竣工的奖励</w:t>
      </w:r>
    </w:p>
    <w:p w14:paraId="4E3A9BB5">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7.9.2提前竣工的奖励：</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708783E3">
      <w:pPr>
        <w:keepNext/>
        <w:keepLines/>
        <w:numPr>
          <w:ilvl w:val="3"/>
          <w:numId w:val="4"/>
        </w:numPr>
        <w:spacing w:line="360" w:lineRule="auto"/>
        <w:ind w:firstLine="482" w:firstLineChars="200"/>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8. 材料与设备</w:t>
      </w:r>
    </w:p>
    <w:p w14:paraId="75798152">
      <w:pPr>
        <w:spacing w:after="120"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8.4材料与工程设备的保管与使用</w:t>
      </w:r>
    </w:p>
    <w:p w14:paraId="3253F6DC">
      <w:pPr>
        <w:spacing w:line="360" w:lineRule="auto"/>
        <w:ind w:firstLine="480" w:firstLineChars="200"/>
        <w:jc w:val="left"/>
        <w:outlineLvl w:val="9"/>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8.4.1发包人供应的材料设备的保管费用的承担：</w:t>
      </w:r>
      <w:r>
        <w:rPr>
          <w:rFonts w:hint="eastAsia" w:ascii="宋体" w:hAnsi="宋体" w:cs="宋体"/>
          <w:color w:val="000000" w:themeColor="text1"/>
          <w:sz w:val="24"/>
          <w:szCs w:val="24"/>
          <w:highlight w:val="none"/>
          <w:u w:val="single"/>
          <w14:textFill>
            <w14:solidFill>
              <w14:schemeClr w14:val="tx1"/>
            </w14:solidFill>
          </w14:textFill>
        </w:rPr>
        <w:t>发包人供应的材料和工程设备，承包人清点后由承包人妥善保管，保管费用由发包人承担，保管费用为发包人供应的材料和工程设备价的1%。</w:t>
      </w:r>
    </w:p>
    <w:p w14:paraId="1D1287F0">
      <w:pPr>
        <w:spacing w:line="360" w:lineRule="auto"/>
        <w:ind w:firstLine="480" w:firstLineChars="200"/>
        <w:jc w:val="left"/>
        <w:outlineLvl w:val="9"/>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A、发包方供应的材料按要求及时供应到现场并经验收合格后由承包方材料员及时签收并定期到发包单位材料部门更换正式出库材料单，以便能及时正确的计算其应扣材料款与应支付的工程进度款项。</w:t>
      </w:r>
    </w:p>
    <w:p w14:paraId="4D93BBC2">
      <w:pPr>
        <w:spacing w:line="360" w:lineRule="auto"/>
        <w:ind w:firstLine="480" w:firstLineChars="200"/>
        <w:jc w:val="left"/>
        <w:outlineLvl w:val="9"/>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B、每次支付工程款时按投标数量以暂定价格的乘积扣回，工程竣工结算经审计部门审计结束后的付款时，必须扣回全部甲供材料价款；</w:t>
      </w:r>
    </w:p>
    <w:p w14:paraId="41213D2A">
      <w:pPr>
        <w:spacing w:line="360" w:lineRule="auto"/>
        <w:ind w:firstLine="480" w:firstLineChars="200"/>
        <w:jc w:val="left"/>
        <w:outlineLvl w:val="9"/>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C、如承包人的甲供材实际领用量超出最终审计核定的材料用量，其超出部分按照市场价或暂定价（按价高者计算）增收10％的管理费，予以扣回超领材料款；</w:t>
      </w:r>
    </w:p>
    <w:p w14:paraId="23F0D1DA">
      <w:pPr>
        <w:spacing w:line="360" w:lineRule="auto"/>
        <w:ind w:firstLine="480" w:firstLineChars="200"/>
        <w:jc w:val="left"/>
        <w:outlineLvl w:val="9"/>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D、如承包人的甲供材实际领用量低于最终审计核定的材料用量，在缺少发包人委托采购的书面证明和材料认价单的前提下，根据审计最终核定的材料用量，一律按照甲供材料暂定价格全部扣回。 </w:t>
      </w:r>
    </w:p>
    <w:p w14:paraId="0A2196D3">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因承包人原因发生丢失毁损的，由承包人负责赔偿；监理人未通知承包人清点的，承包人不负责材料和工程设备的保管，由此导致丢失毁损的由发包人负责。</w:t>
      </w:r>
    </w:p>
    <w:p w14:paraId="2AC0F997">
      <w:pPr>
        <w:spacing w:after="120"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8.6 样品</w:t>
      </w:r>
    </w:p>
    <w:p w14:paraId="6BEA7F64">
      <w:pPr>
        <w:autoSpaceDE w:val="0"/>
        <w:autoSpaceDN w:val="0"/>
        <w:adjustRightInd w:val="0"/>
        <w:spacing w:line="360" w:lineRule="auto"/>
        <w:ind w:firstLine="480" w:firstLineChars="200"/>
        <w:jc w:val="left"/>
        <w:outlineLvl w:val="9"/>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8.6.1</w:t>
      </w:r>
      <w:r>
        <w:rPr>
          <w:rFonts w:hint="eastAsia" w:ascii="宋体" w:hAnsi="宋体" w:cs="宋体"/>
          <w:color w:val="000000" w:themeColor="text1"/>
          <w:kern w:val="0"/>
          <w:sz w:val="24"/>
          <w:szCs w:val="24"/>
          <w:highlight w:val="none"/>
          <w14:textFill>
            <w14:solidFill>
              <w14:schemeClr w14:val="tx1"/>
            </w14:solidFill>
          </w14:textFill>
        </w:rPr>
        <w:tab/>
      </w:r>
      <w:r>
        <w:rPr>
          <w:rFonts w:hint="eastAsia" w:ascii="宋体" w:hAnsi="宋体" w:cs="宋体"/>
          <w:color w:val="000000" w:themeColor="text1"/>
          <w:kern w:val="0"/>
          <w:sz w:val="24"/>
          <w:szCs w:val="24"/>
          <w:highlight w:val="none"/>
          <w14:textFill>
            <w14:solidFill>
              <w14:schemeClr w14:val="tx1"/>
            </w14:solidFill>
          </w14:textFill>
        </w:rPr>
        <w:t>样品的报送与封存</w:t>
      </w:r>
    </w:p>
    <w:p w14:paraId="05F0EF20">
      <w:pPr>
        <w:autoSpaceDE w:val="0"/>
        <w:autoSpaceDN w:val="0"/>
        <w:adjustRightInd w:val="0"/>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需要承包人报送样品的材料或工程设备，样品的种类、名称、规格、数量要求：</w:t>
      </w:r>
      <w:r>
        <w:rPr>
          <w:rFonts w:hint="eastAsia" w:ascii="宋体" w:hAnsi="宋体" w:cs="宋体"/>
          <w:color w:val="000000" w:themeColor="text1"/>
          <w:sz w:val="24"/>
          <w:szCs w:val="24"/>
          <w:highlight w:val="none"/>
          <w:u w:val="single"/>
          <w14:textFill>
            <w14:solidFill>
              <w14:schemeClr w14:val="tx1"/>
            </w14:solidFill>
          </w14:textFill>
        </w:rPr>
        <w:t>在施工过程中按发包人需求确定</w:t>
      </w:r>
      <w:r>
        <w:rPr>
          <w:rFonts w:hint="eastAsia" w:ascii="宋体" w:hAnsi="宋体" w:cs="宋体"/>
          <w:color w:val="000000" w:themeColor="text1"/>
          <w:sz w:val="24"/>
          <w:szCs w:val="24"/>
          <w:highlight w:val="none"/>
          <w14:textFill>
            <w14:solidFill>
              <w14:schemeClr w14:val="tx1"/>
            </w14:solidFill>
          </w14:textFill>
        </w:rPr>
        <w:t>。</w:t>
      </w:r>
    </w:p>
    <w:p w14:paraId="28E5380B">
      <w:pPr>
        <w:spacing w:after="120"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8.8 施工设备和临时设施</w:t>
      </w:r>
    </w:p>
    <w:p w14:paraId="649B2EE3">
      <w:pPr>
        <w:autoSpaceDE w:val="0"/>
        <w:autoSpaceDN w:val="0"/>
        <w:adjustRightInd w:val="0"/>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8.8.1 承包人提供的施工设备和临时设施</w:t>
      </w:r>
    </w:p>
    <w:p w14:paraId="22BED800">
      <w:pPr>
        <w:autoSpaceDE w:val="0"/>
        <w:autoSpaceDN w:val="0"/>
        <w:adjustRightInd w:val="0"/>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关于修建临时设施费用承担的约定：</w:t>
      </w:r>
      <w:r>
        <w:rPr>
          <w:rFonts w:hint="eastAsia" w:ascii="宋体" w:hAnsi="宋体" w:cs="宋体"/>
          <w:color w:val="000000" w:themeColor="text1"/>
          <w:sz w:val="24"/>
          <w:szCs w:val="24"/>
          <w:highlight w:val="none"/>
          <w:u w:val="single"/>
          <w14:textFill>
            <w14:solidFill>
              <w14:schemeClr w14:val="tx1"/>
            </w14:solidFill>
          </w14:textFill>
        </w:rPr>
        <w:t>承包人自行承担</w:t>
      </w:r>
      <w:r>
        <w:rPr>
          <w:rFonts w:hint="eastAsia" w:ascii="宋体" w:hAnsi="宋体" w:cs="宋体"/>
          <w:color w:val="000000" w:themeColor="text1"/>
          <w:sz w:val="24"/>
          <w:szCs w:val="24"/>
          <w:highlight w:val="none"/>
          <w14:textFill>
            <w14:solidFill>
              <w14:schemeClr w14:val="tx1"/>
            </w14:solidFill>
          </w14:textFill>
        </w:rPr>
        <w:t>。</w:t>
      </w:r>
    </w:p>
    <w:p w14:paraId="2936F926">
      <w:pPr>
        <w:keepNext/>
        <w:keepLines/>
        <w:numPr>
          <w:ilvl w:val="3"/>
          <w:numId w:val="4"/>
        </w:numPr>
        <w:spacing w:line="360" w:lineRule="auto"/>
        <w:ind w:firstLine="482" w:firstLineChars="200"/>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9. 试验与检验</w:t>
      </w:r>
    </w:p>
    <w:p w14:paraId="3624226C">
      <w:pPr>
        <w:spacing w:after="120"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9.1试验设备与试验人员</w:t>
      </w:r>
    </w:p>
    <w:p w14:paraId="1F204434">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9.1.2 试验设备</w:t>
      </w:r>
    </w:p>
    <w:p w14:paraId="24681911">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施工现场需要配置的试验场所：</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olor w:val="000000" w:themeColor="text1"/>
          <w:kern w:val="0"/>
          <w:szCs w:val="21"/>
          <w:highlight w:val="none"/>
          <w14:textFill>
            <w14:solidFill>
              <w14:schemeClr w14:val="tx1"/>
            </w14:solidFill>
          </w14:textFill>
        </w:rPr>
        <w:t>/</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4A67D53F">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施工现场需要配备的试验设备：</w:t>
      </w:r>
      <w:r>
        <w:rPr>
          <w:rFonts w:hint="eastAsia" w:ascii="宋体" w:hAnsi="宋体"/>
          <w:color w:val="000000" w:themeColor="text1"/>
          <w:kern w:val="0"/>
          <w:szCs w:val="21"/>
          <w:highlight w:val="none"/>
          <w:u w:val="single"/>
          <w14:textFill>
            <w14:solidFill>
              <w14:schemeClr w14:val="tx1"/>
            </w14:solidFill>
          </w14:textFill>
        </w:rPr>
        <w:t>/</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2E532945">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施工现场需要具备的其他试验条件：</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olor w:val="000000" w:themeColor="text1"/>
          <w:kern w:val="0"/>
          <w:szCs w:val="21"/>
          <w:highlight w:val="none"/>
          <w14:textFill>
            <w14:solidFill>
              <w14:schemeClr w14:val="tx1"/>
            </w14:solidFill>
          </w14:textFill>
        </w:rPr>
        <w:t>/</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7903E786">
      <w:pPr>
        <w:spacing w:after="120"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9.4 现场工艺试验 </w:t>
      </w:r>
    </w:p>
    <w:p w14:paraId="4E0F5EEE">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现场工艺试验的有关约定：</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olor w:val="000000" w:themeColor="text1"/>
          <w:kern w:val="0"/>
          <w:szCs w:val="21"/>
          <w:highlight w:val="none"/>
          <w14:textFill>
            <w14:solidFill>
              <w14:schemeClr w14:val="tx1"/>
            </w14:solidFill>
          </w14:textFill>
        </w:rPr>
        <w:t>/</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11106AF2">
      <w:pPr>
        <w:keepNext/>
        <w:keepLines/>
        <w:numPr>
          <w:ilvl w:val="3"/>
          <w:numId w:val="4"/>
        </w:numPr>
        <w:spacing w:line="360" w:lineRule="auto"/>
        <w:ind w:firstLine="482" w:firstLineChars="200"/>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10. 变更</w:t>
      </w:r>
    </w:p>
    <w:p w14:paraId="45448DEE">
      <w:pPr>
        <w:spacing w:after="120"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10.1变更的范围</w:t>
      </w:r>
    </w:p>
    <w:p w14:paraId="78218B63">
      <w:pPr>
        <w:spacing w:line="360" w:lineRule="auto"/>
        <w:ind w:firstLine="6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关于变更的范围的约定：</w:t>
      </w:r>
      <w:r>
        <w:rPr>
          <w:rFonts w:hint="eastAsia" w:ascii="宋体" w:hAnsi="宋体" w:cs="宋体"/>
          <w:color w:val="000000" w:themeColor="text1"/>
          <w:sz w:val="24"/>
          <w:szCs w:val="24"/>
          <w:highlight w:val="none"/>
          <w:u w:val="single"/>
          <w14:textFill>
            <w14:solidFill>
              <w14:schemeClr w14:val="tx1"/>
            </w14:solidFill>
          </w14:textFill>
        </w:rPr>
        <w:t>（1）增加或减少合同中任何工作，或追加额外的工作；（2）取消合同中任何工作，但转由他人实施的工作除外；（3）改变合同中任何工作的质量标准或其他特性；（4）改变工程的基线、标高、位置和尺寸</w:t>
      </w:r>
      <w:r>
        <w:rPr>
          <w:rFonts w:hint="eastAsia" w:ascii="宋体" w:hAnsi="宋体" w:cs="宋体"/>
          <w:color w:val="000000" w:themeColor="text1"/>
          <w:sz w:val="24"/>
          <w:szCs w:val="24"/>
          <w:highlight w:val="none"/>
          <w14:textFill>
            <w14:solidFill>
              <w14:schemeClr w14:val="tx1"/>
            </w14:solidFill>
          </w14:textFill>
        </w:rPr>
        <w:t>。</w:t>
      </w:r>
    </w:p>
    <w:p w14:paraId="4CB8138A">
      <w:pPr>
        <w:spacing w:after="120"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10.4 变更估价</w:t>
      </w:r>
    </w:p>
    <w:p w14:paraId="405473C5">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10.4.1 变更估价原则</w:t>
      </w:r>
    </w:p>
    <w:p w14:paraId="63F90CEC">
      <w:pPr>
        <w:spacing w:line="360" w:lineRule="auto"/>
        <w:ind w:firstLine="480" w:firstLineChars="200"/>
        <w:jc w:val="left"/>
        <w:outlineLvl w:val="9"/>
        <w:rPr>
          <w:rFonts w:ascii="宋体" w:hAnsi="宋体" w:cs="宋体"/>
          <w:color w:val="000000" w:themeColor="text1"/>
          <w:sz w:val="24"/>
          <w:highlight w:val="none"/>
          <w:u w:val="single"/>
          <w14:textFill>
            <w14:solidFill>
              <w14:schemeClr w14:val="tx1"/>
            </w14:solidFill>
          </w14:textFill>
        </w:rPr>
      </w:pPr>
      <w:r>
        <w:rPr>
          <w:rFonts w:ascii="宋体" w:hAnsi="宋体" w:cs="宋体"/>
          <w:color w:val="000000" w:themeColor="text1"/>
          <w:sz w:val="24"/>
          <w:highlight w:val="none"/>
          <w:u w:val="single"/>
          <w14:textFill>
            <w14:solidFill>
              <w14:schemeClr w14:val="tx1"/>
            </w14:solidFill>
          </w14:textFill>
        </w:rPr>
        <w:t>关于变更估价的约定</w:t>
      </w:r>
      <w:r>
        <w:rPr>
          <w:rFonts w:hint="eastAsia" w:ascii="宋体" w:hAnsi="宋体" w:cs="宋体"/>
          <w:color w:val="000000" w:themeColor="text1"/>
          <w:sz w:val="24"/>
          <w:highlight w:val="none"/>
          <w:u w:val="single"/>
          <w14:textFill>
            <w14:solidFill>
              <w14:schemeClr w14:val="tx1"/>
            </w14:solidFill>
          </w14:textFill>
        </w:rPr>
        <w:t>：（</w:t>
      </w:r>
      <w:r>
        <w:rPr>
          <w:rFonts w:ascii="宋体" w:hAnsi="宋体" w:cs="宋体"/>
          <w:color w:val="000000" w:themeColor="text1"/>
          <w:sz w:val="24"/>
          <w:highlight w:val="none"/>
          <w:u w:val="single"/>
          <w14:textFill>
            <w14:solidFill>
              <w14:schemeClr w14:val="tx1"/>
            </w14:solidFill>
          </w14:textFill>
        </w:rPr>
        <w:t>1）已标价工程量清单中有相同项目的，按照相同项目</w:t>
      </w:r>
      <w:r>
        <w:rPr>
          <w:rFonts w:hint="eastAsia" w:ascii="宋体" w:hAnsi="宋体" w:cs="宋体"/>
          <w:color w:val="000000" w:themeColor="text1"/>
          <w:sz w:val="24"/>
          <w:highlight w:val="none"/>
          <w:u w:val="single"/>
          <w14:textFill>
            <w14:solidFill>
              <w14:schemeClr w14:val="tx1"/>
            </w14:solidFill>
          </w14:textFill>
        </w:rPr>
        <w:t>综合</w:t>
      </w:r>
      <w:r>
        <w:rPr>
          <w:rFonts w:ascii="宋体" w:hAnsi="宋体" w:cs="宋体"/>
          <w:color w:val="000000" w:themeColor="text1"/>
          <w:sz w:val="24"/>
          <w:highlight w:val="none"/>
          <w:u w:val="single"/>
          <w14:textFill>
            <w14:solidFill>
              <w14:schemeClr w14:val="tx1"/>
            </w14:solidFill>
          </w14:textFill>
        </w:rPr>
        <w:t>单价认定</w:t>
      </w:r>
      <w:r>
        <w:rPr>
          <w:rFonts w:hint="eastAsia" w:ascii="宋体" w:hAnsi="宋体" w:cs="宋体"/>
          <w:color w:val="000000" w:themeColor="text1"/>
          <w:sz w:val="24"/>
          <w:highlight w:val="none"/>
          <w:u w:val="single"/>
          <w14:textFill>
            <w14:solidFill>
              <w14:schemeClr w14:val="tx1"/>
            </w14:solidFill>
          </w14:textFill>
        </w:rPr>
        <w:t>。</w:t>
      </w:r>
      <w:r>
        <w:rPr>
          <w:rFonts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14:textFill>
            <w14:solidFill>
              <w14:schemeClr w14:val="tx1"/>
            </w14:solidFill>
          </w14:textFill>
        </w:rPr>
        <w:t>结算综合单价={（最后投标报价-暂列金额-专业工程暂估价）/（首轮投标报价-暂列金额-专业工程暂估价）}*首轮报价中的综合单价。</w:t>
      </w:r>
    </w:p>
    <w:p w14:paraId="4833CDC2">
      <w:pPr>
        <w:spacing w:line="360" w:lineRule="auto"/>
        <w:ind w:firstLine="480" w:firstLineChars="200"/>
        <w:jc w:val="left"/>
        <w:outlineLvl w:val="9"/>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w:t>
      </w:r>
      <w:r>
        <w:rPr>
          <w:rFonts w:ascii="宋体" w:hAnsi="宋体" w:cs="宋体"/>
          <w:color w:val="000000" w:themeColor="text1"/>
          <w:sz w:val="24"/>
          <w:highlight w:val="none"/>
          <w:u w:val="single"/>
          <w14:textFill>
            <w14:solidFill>
              <w14:schemeClr w14:val="tx1"/>
            </w14:solidFill>
          </w14:textFill>
        </w:rPr>
        <w:t xml:space="preserve">2）已标价工程量清单中无相同项目，但有类似项目的，可在合理范围内参照类似项目的单价认定； </w:t>
      </w:r>
      <w:r>
        <w:rPr>
          <w:rFonts w:hint="eastAsia" w:ascii="宋体" w:hAnsi="宋体" w:cs="宋体"/>
          <w:color w:val="000000" w:themeColor="text1"/>
          <w:sz w:val="24"/>
          <w:highlight w:val="none"/>
          <w:u w:val="single"/>
          <w14:textFill>
            <w14:solidFill>
              <w14:schemeClr w14:val="tx1"/>
            </w14:solidFill>
          </w14:textFill>
        </w:rPr>
        <w:t>结算综合单价={（最后投标报价-暂列金额-专业工程暂估价）/（首轮投标报价-暂列金额-专业工程暂估价）}*首轮报价中的综合单价。</w:t>
      </w:r>
    </w:p>
    <w:p w14:paraId="38AD2F0A">
      <w:pPr>
        <w:spacing w:line="360" w:lineRule="auto"/>
        <w:ind w:firstLine="480" w:firstLineChars="200"/>
        <w:jc w:val="left"/>
        <w:outlineLvl w:val="9"/>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上述的与投标报价中项目类似的新增项目，指与投标分部分项工程量清单项目编码一至九位完全相同的新增的分部分项工程。</w:t>
      </w:r>
    </w:p>
    <w:p w14:paraId="176F1926">
      <w:pPr>
        <w:spacing w:line="360" w:lineRule="auto"/>
        <w:ind w:firstLine="480" w:firstLineChars="200"/>
        <w:jc w:val="left"/>
        <w:outlineLvl w:val="9"/>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上述的与新增项目相同的或者类似的投标报价，若人、材、机消耗量明显偏高相关定额的消耗量，人、材、机单价明显高于市场行情。发包人有权对“与投标报价中项目相同或类似的”新增项目计价执行本条目第（3）款。</w:t>
      </w:r>
    </w:p>
    <w:p w14:paraId="3DD92AA6">
      <w:pPr>
        <w:spacing w:line="360" w:lineRule="auto"/>
        <w:ind w:firstLine="480" w:firstLineChars="200"/>
        <w:jc w:val="left"/>
        <w:outlineLvl w:val="9"/>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w:t>
      </w:r>
      <w:r>
        <w:rPr>
          <w:rFonts w:ascii="宋体" w:hAnsi="宋体" w:cs="宋体"/>
          <w:color w:val="000000" w:themeColor="text1"/>
          <w:sz w:val="24"/>
          <w:highlight w:val="none"/>
          <w:u w:val="single"/>
          <w14:textFill>
            <w14:solidFill>
              <w14:schemeClr w14:val="tx1"/>
            </w14:solidFill>
          </w14:textFill>
        </w:rPr>
        <w:t>3）已标价工程量清单中无相同项目及类似项目的，按</w:t>
      </w:r>
      <w:r>
        <w:rPr>
          <w:rFonts w:hint="eastAsia" w:ascii="宋体" w:hAnsi="宋体" w:cs="宋体"/>
          <w:color w:val="000000" w:themeColor="text1"/>
          <w:sz w:val="24"/>
          <w:highlight w:val="none"/>
          <w:u w:val="single"/>
          <w14:textFill>
            <w14:solidFill>
              <w14:schemeClr w14:val="tx1"/>
            </w14:solidFill>
          </w14:textFill>
        </w:rPr>
        <w:t>照下列载明方法应由承包人根据变更工程资料（施工图变更文件和项目监理人批复的工程变更施工方案）、执行《建设工程工程量清单计价规范》（GB50500-2013）、《江苏省建设工程费用定额》（2014年）、《江苏省建筑与装饰工程计价定额》（2014年）、《江苏省安装工程计价定额》（2014年）、《江苏省市政工程计价定额》（2014年）、《江苏省仿古建筑与园林工程计价定额》（2007年）等规定和相关为基准，材料单价以施工前最近一期的南京工程造价管理机构发布的信息价格，按承包人报价浮动率【</w:t>
      </w:r>
      <w:r>
        <w:rPr>
          <w:rFonts w:ascii="宋体" w:hAnsi="宋体" w:cs="宋体"/>
          <w:color w:val="000000" w:themeColor="text1"/>
          <w:sz w:val="24"/>
          <w:highlight w:val="none"/>
          <w:u w:val="single"/>
          <w14:textFill>
            <w14:solidFill>
              <w14:schemeClr w14:val="tx1"/>
            </w14:solidFill>
          </w14:textFill>
        </w:rPr>
        <w:t>L＝</w:t>
      </w:r>
      <w:r>
        <w:rPr>
          <w:rFonts w:hint="eastAsia" w:ascii="宋体" w:hAnsi="宋体" w:cs="宋体"/>
          <w:color w:val="000000" w:themeColor="text1"/>
          <w:sz w:val="24"/>
          <w:szCs w:val="24"/>
          <w:highlight w:val="none"/>
          <w:u w:val="single"/>
          <w14:textFill>
            <w14:solidFill>
              <w14:schemeClr w14:val="tx1"/>
            </w14:solidFill>
          </w14:textFill>
        </w:rPr>
        <w:t>（1－</w:t>
      </w:r>
      <w:r>
        <w:rPr>
          <w:rFonts w:hint="eastAsia"/>
          <w:color w:val="000000" w:themeColor="text1"/>
          <w:sz w:val="24"/>
          <w:szCs w:val="24"/>
          <w:highlight w:val="none"/>
          <w:u w:val="single"/>
          <w14:textFill>
            <w14:solidFill>
              <w14:schemeClr w14:val="tx1"/>
            </w14:solidFill>
          </w14:textFill>
        </w:rPr>
        <w:t>（最后投标报价</w:t>
      </w:r>
      <w:r>
        <w:rPr>
          <w:color w:val="000000" w:themeColor="text1"/>
          <w:sz w:val="24"/>
          <w:szCs w:val="24"/>
          <w:highlight w:val="none"/>
          <w:u w:val="single"/>
          <w14:textFill>
            <w14:solidFill>
              <w14:schemeClr w14:val="tx1"/>
            </w14:solidFill>
          </w14:textFill>
        </w:rPr>
        <w:t>-</w:t>
      </w:r>
      <w:r>
        <w:rPr>
          <w:rFonts w:hint="eastAsia"/>
          <w:color w:val="000000" w:themeColor="text1"/>
          <w:sz w:val="24"/>
          <w:szCs w:val="24"/>
          <w:highlight w:val="none"/>
          <w:u w:val="single"/>
          <w14:textFill>
            <w14:solidFill>
              <w14:schemeClr w14:val="tx1"/>
            </w14:solidFill>
          </w14:textFill>
        </w:rPr>
        <w:t>暂列金额</w:t>
      </w:r>
      <w:r>
        <w:rPr>
          <w:color w:val="000000" w:themeColor="text1"/>
          <w:sz w:val="24"/>
          <w:szCs w:val="24"/>
          <w:highlight w:val="none"/>
          <w:u w:val="single"/>
          <w14:textFill>
            <w14:solidFill>
              <w14:schemeClr w14:val="tx1"/>
            </w14:solidFill>
          </w14:textFill>
        </w:rPr>
        <w:t>-</w:t>
      </w:r>
      <w:r>
        <w:rPr>
          <w:rFonts w:hint="eastAsia"/>
          <w:color w:val="000000" w:themeColor="text1"/>
          <w:sz w:val="24"/>
          <w:szCs w:val="24"/>
          <w:highlight w:val="none"/>
          <w:u w:val="single"/>
          <w14:textFill>
            <w14:solidFill>
              <w14:schemeClr w14:val="tx1"/>
            </w14:solidFill>
          </w14:textFill>
        </w:rPr>
        <w:t>专业工程暂估价）</w:t>
      </w:r>
      <w:r>
        <w:rPr>
          <w:color w:val="000000" w:themeColor="text1"/>
          <w:sz w:val="24"/>
          <w:szCs w:val="24"/>
          <w:highlight w:val="none"/>
          <w:u w:val="single"/>
          <w14:textFill>
            <w14:solidFill>
              <w14:schemeClr w14:val="tx1"/>
            </w14:solidFill>
          </w14:textFill>
        </w:rPr>
        <w:t>/</w:t>
      </w:r>
      <w:r>
        <w:rPr>
          <w:rFonts w:hint="eastAsia"/>
          <w:color w:val="000000" w:themeColor="text1"/>
          <w:sz w:val="24"/>
          <w:szCs w:val="24"/>
          <w:highlight w:val="none"/>
          <w:u w:val="single"/>
          <w14:textFill>
            <w14:solidFill>
              <w14:schemeClr w14:val="tx1"/>
            </w14:solidFill>
          </w14:textFill>
        </w:rPr>
        <w:t>（招标控制价</w:t>
      </w:r>
      <w:r>
        <w:rPr>
          <w:color w:val="000000" w:themeColor="text1"/>
          <w:sz w:val="24"/>
          <w:szCs w:val="24"/>
          <w:highlight w:val="none"/>
          <w:u w:val="single"/>
          <w14:textFill>
            <w14:solidFill>
              <w14:schemeClr w14:val="tx1"/>
            </w14:solidFill>
          </w14:textFill>
        </w:rPr>
        <w:t>-</w:t>
      </w:r>
      <w:r>
        <w:rPr>
          <w:rFonts w:hint="eastAsia"/>
          <w:color w:val="000000" w:themeColor="text1"/>
          <w:sz w:val="24"/>
          <w:szCs w:val="24"/>
          <w:highlight w:val="none"/>
          <w:u w:val="single"/>
          <w14:textFill>
            <w14:solidFill>
              <w14:schemeClr w14:val="tx1"/>
            </w14:solidFill>
          </w14:textFill>
        </w:rPr>
        <w:t>暂列金额</w:t>
      </w:r>
      <w:r>
        <w:rPr>
          <w:color w:val="000000" w:themeColor="text1"/>
          <w:sz w:val="24"/>
          <w:szCs w:val="24"/>
          <w:highlight w:val="none"/>
          <w:u w:val="single"/>
          <w14:textFill>
            <w14:solidFill>
              <w14:schemeClr w14:val="tx1"/>
            </w14:solidFill>
          </w14:textFill>
        </w:rPr>
        <w:t>-</w:t>
      </w:r>
      <w:r>
        <w:rPr>
          <w:rFonts w:hint="eastAsia"/>
          <w:color w:val="000000" w:themeColor="text1"/>
          <w:sz w:val="24"/>
          <w:szCs w:val="24"/>
          <w:highlight w:val="none"/>
          <w:u w:val="single"/>
          <w14:textFill>
            <w14:solidFill>
              <w14:schemeClr w14:val="tx1"/>
            </w14:solidFill>
          </w14:textFill>
        </w:rPr>
        <w:t>专业工程暂估价）</w:t>
      </w:r>
      <w:r>
        <w:rPr>
          <w:rFonts w:hint="eastAsia" w:ascii="宋体" w:hAnsi="宋体" w:cs="宋体"/>
          <w:color w:val="000000" w:themeColor="text1"/>
          <w:sz w:val="24"/>
          <w:szCs w:val="24"/>
          <w:highlight w:val="none"/>
          <w:u w:val="single"/>
          <w14:textFill>
            <w14:solidFill>
              <w14:schemeClr w14:val="tx1"/>
            </w14:solidFill>
          </w14:textFill>
        </w:rPr>
        <w:t>）×100%</w:t>
      </w:r>
      <w:r>
        <w:rPr>
          <w:rFonts w:ascii="宋体" w:hAnsi="宋体" w:cs="宋体"/>
          <w:color w:val="000000" w:themeColor="text1"/>
          <w:sz w:val="24"/>
          <w:highlight w:val="none"/>
          <w:u w:val="single"/>
          <w14:textFill>
            <w14:solidFill>
              <w14:schemeClr w14:val="tx1"/>
            </w14:solidFill>
          </w14:textFill>
        </w:rPr>
        <w:t>】提出变更工程项目的单价，报发包人</w:t>
      </w:r>
      <w:r>
        <w:rPr>
          <w:rFonts w:hint="eastAsia" w:ascii="宋体" w:hAnsi="宋体" w:cs="宋体"/>
          <w:color w:val="000000" w:themeColor="text1"/>
          <w:sz w:val="24"/>
          <w:highlight w:val="none"/>
          <w:u w:val="single"/>
          <w14:textFill>
            <w14:solidFill>
              <w14:schemeClr w14:val="tx1"/>
            </w14:solidFill>
          </w14:textFill>
        </w:rPr>
        <w:t>、监理人及跟踪审计</w:t>
      </w:r>
      <w:r>
        <w:rPr>
          <w:rFonts w:ascii="宋体" w:hAnsi="宋体" w:cs="宋体"/>
          <w:color w:val="000000" w:themeColor="text1"/>
          <w:sz w:val="24"/>
          <w:highlight w:val="none"/>
          <w:u w:val="single"/>
          <w14:textFill>
            <w14:solidFill>
              <w14:schemeClr w14:val="tx1"/>
            </w14:solidFill>
          </w14:textFill>
        </w:rPr>
        <w:t>确认</w:t>
      </w:r>
      <w:r>
        <w:rPr>
          <w:rFonts w:hint="eastAsia" w:ascii="宋体" w:hAnsi="宋体" w:cs="宋体"/>
          <w:color w:val="000000" w:themeColor="text1"/>
          <w:sz w:val="24"/>
          <w:highlight w:val="none"/>
          <w:u w:val="single"/>
          <w14:textFill>
            <w14:solidFill>
              <w14:schemeClr w14:val="tx1"/>
            </w14:solidFill>
          </w14:textFill>
        </w:rPr>
        <w:t>，确认后的变更报价作为结算依据。</w:t>
      </w:r>
      <w:r>
        <w:rPr>
          <w:rFonts w:ascii="宋体" w:hAnsi="宋体" w:cs="宋体"/>
          <w:color w:val="000000" w:themeColor="text1"/>
          <w:sz w:val="24"/>
          <w:highlight w:val="none"/>
          <w:u w:val="single"/>
          <w14:textFill>
            <w14:solidFill>
              <w14:schemeClr w14:val="tx1"/>
            </w14:solidFill>
          </w14:textFill>
        </w:rPr>
        <w:t xml:space="preserve"> </w:t>
      </w:r>
    </w:p>
    <w:p w14:paraId="506D3F0A">
      <w:pPr>
        <w:spacing w:line="360" w:lineRule="auto"/>
        <w:ind w:firstLine="480" w:firstLineChars="200"/>
        <w:jc w:val="left"/>
        <w:outlineLvl w:val="9"/>
        <w:rPr>
          <w:rFonts w:ascii="宋体" w:hAnsi="宋体" w:cs="宋体"/>
          <w:color w:val="000000" w:themeColor="text1"/>
          <w:sz w:val="24"/>
          <w:highlight w:val="none"/>
          <w:u w:val="single"/>
          <w14:textFill>
            <w14:solidFill>
              <w14:schemeClr w14:val="tx1"/>
            </w14:solidFill>
          </w14:textFill>
        </w:rPr>
      </w:pPr>
      <w:r>
        <w:rPr>
          <w:rFonts w:ascii="宋体" w:hAnsi="宋体" w:cs="宋体"/>
          <w:color w:val="000000" w:themeColor="text1"/>
          <w:sz w:val="24"/>
          <w:highlight w:val="none"/>
          <w:u w:val="single"/>
          <w14:textFill>
            <w14:solidFill>
              <w14:schemeClr w14:val="tx1"/>
            </w14:solidFill>
          </w14:textFill>
        </w:rPr>
        <w:t>a）综合单价依据《建设工程工程量清单计价规范》（GB50500-2013）和《江苏省建筑与装饰工程计价定额》（2014年）《江苏省安装工程计价定额》（2014年）</w:t>
      </w:r>
      <w:r>
        <w:rPr>
          <w:rFonts w:hint="eastAsia" w:ascii="宋体" w:hAnsi="宋体" w:cs="宋体"/>
          <w:color w:val="000000" w:themeColor="text1"/>
          <w:sz w:val="24"/>
          <w:highlight w:val="none"/>
          <w:u w:val="single"/>
          <w14:textFill>
            <w14:solidFill>
              <w14:schemeClr w14:val="tx1"/>
            </w14:solidFill>
          </w14:textFill>
        </w:rPr>
        <w:t>、</w:t>
      </w:r>
      <w:r>
        <w:rPr>
          <w:rFonts w:ascii="宋体" w:hAnsi="宋体" w:cs="宋体"/>
          <w:color w:val="000000" w:themeColor="text1"/>
          <w:sz w:val="24"/>
          <w:highlight w:val="none"/>
          <w:u w:val="single"/>
          <w14:textFill>
            <w14:solidFill>
              <w14:schemeClr w14:val="tx1"/>
            </w14:solidFill>
          </w14:textFill>
        </w:rPr>
        <w:t>《江苏省建设工程费用定额》（2014年）</w:t>
      </w:r>
      <w:r>
        <w:rPr>
          <w:rFonts w:hint="eastAsia" w:ascii="宋体" w:hAnsi="宋体" w:cs="宋体"/>
          <w:color w:val="000000" w:themeColor="text1"/>
          <w:sz w:val="24"/>
          <w:highlight w:val="none"/>
          <w:u w:val="single"/>
          <w14:textFill>
            <w14:solidFill>
              <w14:schemeClr w14:val="tx1"/>
            </w14:solidFill>
          </w14:textFill>
        </w:rPr>
        <w:t>等9本工程量计算规范的贯彻意见（苏建价（2014）448号）</w:t>
      </w:r>
      <w:r>
        <w:rPr>
          <w:rFonts w:ascii="宋体" w:hAnsi="宋体" w:cs="宋体"/>
          <w:color w:val="000000" w:themeColor="text1"/>
          <w:sz w:val="24"/>
          <w:highlight w:val="none"/>
          <w:u w:val="single"/>
          <w14:textFill>
            <w14:solidFill>
              <w14:schemeClr w14:val="tx1"/>
            </w14:solidFill>
          </w14:textFill>
        </w:rPr>
        <w:t xml:space="preserve">编制； </w:t>
      </w:r>
    </w:p>
    <w:p w14:paraId="0A59D993">
      <w:pPr>
        <w:spacing w:line="360" w:lineRule="auto"/>
        <w:ind w:firstLine="480" w:firstLineChars="200"/>
        <w:jc w:val="left"/>
        <w:outlineLvl w:val="9"/>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b</w:t>
      </w:r>
      <w:r>
        <w:rPr>
          <w:rFonts w:ascii="宋体" w:hAnsi="宋体" w:cs="宋体"/>
          <w:color w:val="000000" w:themeColor="text1"/>
          <w:sz w:val="24"/>
          <w:highlight w:val="none"/>
          <w:u w:val="single"/>
          <w14:textFill>
            <w14:solidFill>
              <w14:schemeClr w14:val="tx1"/>
            </w14:solidFill>
          </w14:textFill>
        </w:rPr>
        <w:t xml:space="preserve">）人工、机械价格依据合同基准期江苏省、南京市的相关文件执行； </w:t>
      </w:r>
    </w:p>
    <w:p w14:paraId="30C47736">
      <w:pPr>
        <w:spacing w:line="360" w:lineRule="auto"/>
        <w:ind w:firstLine="480" w:firstLineChars="200"/>
        <w:jc w:val="left"/>
        <w:outlineLvl w:val="9"/>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c</w:t>
      </w:r>
      <w:r>
        <w:rPr>
          <w:rFonts w:ascii="宋体" w:hAnsi="宋体" w:cs="宋体"/>
          <w:color w:val="000000" w:themeColor="text1"/>
          <w:sz w:val="24"/>
          <w:highlight w:val="none"/>
          <w:u w:val="single"/>
          <w14:textFill>
            <w14:solidFill>
              <w14:schemeClr w14:val="tx1"/>
            </w14:solidFill>
          </w14:textFill>
        </w:rPr>
        <w:t>）施工方案及施工措施涉及到费用的，须经发包人批准后实施并计价；措施项目费应按下列原则调整：①单价措施项目变更原则同分部分项工程</w:t>
      </w:r>
      <w:r>
        <w:rPr>
          <w:rFonts w:hint="eastAsia" w:ascii="宋体" w:hAnsi="宋体" w:cs="宋体"/>
          <w:color w:val="000000" w:themeColor="text1"/>
          <w:sz w:val="24"/>
          <w:highlight w:val="none"/>
          <w:u w:val="single"/>
          <w14:textFill>
            <w14:solidFill>
              <w14:schemeClr w14:val="tx1"/>
            </w14:solidFill>
          </w14:textFill>
        </w:rPr>
        <w:t>，结算综合单价={（最后投标报价-暂列金额-专业工程暂估价）/（首轮投标报价-暂列金额-专业工程暂估价）}*首轮报价中的综合单价。</w:t>
      </w:r>
      <w:r>
        <w:rPr>
          <w:rFonts w:ascii="宋体" w:hAnsi="宋体" w:cs="宋体"/>
          <w:color w:val="000000" w:themeColor="text1"/>
          <w:sz w:val="24"/>
          <w:highlight w:val="none"/>
          <w:u w:val="single"/>
          <w14:textFill>
            <w14:solidFill>
              <w14:schemeClr w14:val="tx1"/>
            </w14:solidFill>
          </w14:textFill>
        </w:rPr>
        <w:t>;②总价措施项目中以费率报价的,费率不变;总价项目中以费用报价的,按投标时口径折算成费率调整</w:t>
      </w:r>
      <w:r>
        <w:rPr>
          <w:rFonts w:hint="eastAsia" w:ascii="宋体" w:hAnsi="宋体" w:cs="宋体"/>
          <w:color w:val="000000" w:themeColor="text1"/>
          <w:sz w:val="24"/>
          <w:highlight w:val="none"/>
          <w:u w:val="single"/>
          <w14:textFill>
            <w14:solidFill>
              <w14:schemeClr w14:val="tx1"/>
            </w14:solidFill>
          </w14:textFill>
        </w:rPr>
        <w:t>，结算综合单价={（最后投标报价-暂列金额-专业工程暂估价）/（首轮投标报价-暂列金额-专业工程暂估价）}*首轮报价中的综合单价。</w:t>
      </w:r>
      <w:r>
        <w:rPr>
          <w:rFonts w:ascii="宋体" w:hAnsi="宋体" w:cs="宋体"/>
          <w:color w:val="000000" w:themeColor="text1"/>
          <w:sz w:val="24"/>
          <w:highlight w:val="none"/>
          <w:u w:val="single"/>
          <w14:textFill>
            <w14:solidFill>
              <w14:schemeClr w14:val="tx1"/>
            </w14:solidFill>
          </w14:textFill>
        </w:rPr>
        <w:t>;③原措施费中没有的措施项目,由承包人根据措施项目变更情况，提出适当的措施费变更，经发包人确认后调整</w:t>
      </w:r>
      <w:r>
        <w:rPr>
          <w:rFonts w:hint="eastAsia" w:ascii="宋体" w:hAnsi="宋体" w:cs="宋体"/>
          <w:color w:val="000000" w:themeColor="text1"/>
          <w:sz w:val="24"/>
          <w:highlight w:val="none"/>
          <w:u w:val="single"/>
          <w14:textFill>
            <w14:solidFill>
              <w14:schemeClr w14:val="tx1"/>
            </w14:solidFill>
          </w14:textFill>
        </w:rPr>
        <w:t>。如果承包人未事先将拟实施的方案提交给发包人确认，则应视为工程变更不引起措施项目费的调整或承包人放弃调整措施项目费的权利。</w:t>
      </w:r>
    </w:p>
    <w:p w14:paraId="57E195B4">
      <w:pPr>
        <w:spacing w:line="360" w:lineRule="auto"/>
        <w:ind w:firstLine="480" w:firstLineChars="200"/>
        <w:jc w:val="left"/>
        <w:outlineLvl w:val="9"/>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d</w:t>
      </w:r>
      <w:r>
        <w:rPr>
          <w:rFonts w:ascii="宋体" w:hAnsi="宋体" w:cs="宋体"/>
          <w:color w:val="000000" w:themeColor="text1"/>
          <w:sz w:val="24"/>
          <w:highlight w:val="none"/>
          <w:u w:val="single"/>
          <w14:textFill>
            <w14:solidFill>
              <w14:schemeClr w14:val="tx1"/>
            </w14:solidFill>
          </w14:textFill>
        </w:rPr>
        <w:t xml:space="preserve">) 已标价工程量清单中没有适用也没有类似于变更工程项目，且工程造价管理机构发布的信息价格缺价的，应由承包人根据变更工程资料、计量规则、计价办法和通过市场调查等取得有合法依据的市场价格提出变更工程项目的单价，并应报发包人确认后调整。 </w:t>
      </w:r>
    </w:p>
    <w:p w14:paraId="0BF97F23">
      <w:pPr>
        <w:spacing w:line="360" w:lineRule="auto"/>
        <w:ind w:firstLine="480" w:firstLineChars="200"/>
        <w:jc w:val="left"/>
        <w:outlineLvl w:val="9"/>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e</w:t>
      </w:r>
      <w:r>
        <w:rPr>
          <w:rFonts w:ascii="宋体" w:hAnsi="宋体" w:cs="宋体"/>
          <w:color w:val="000000" w:themeColor="text1"/>
          <w:sz w:val="24"/>
          <w:highlight w:val="none"/>
          <w:u w:val="single"/>
          <w14:textFill>
            <w14:solidFill>
              <w14:schemeClr w14:val="tx1"/>
            </w14:solidFill>
          </w14:textFill>
        </w:rPr>
        <w:t>）具体价格调整的方法按本合同12.1.1条执行。</w:t>
      </w:r>
    </w:p>
    <w:p w14:paraId="7F181DCC">
      <w:pPr>
        <w:spacing w:after="120"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10.5承包人的合理化建议</w:t>
      </w:r>
    </w:p>
    <w:p w14:paraId="260701EC">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监理人审查承包人合理化建议的期限：</w:t>
      </w:r>
      <w:r>
        <w:rPr>
          <w:rFonts w:hint="eastAsia" w:ascii="宋体" w:hAnsi="宋体" w:cs="宋体"/>
          <w:color w:val="000000" w:themeColor="text1"/>
          <w:sz w:val="24"/>
          <w:szCs w:val="24"/>
          <w:highlight w:val="none"/>
          <w:u w:val="single"/>
          <w14:textFill>
            <w14:solidFill>
              <w14:schemeClr w14:val="tx1"/>
            </w14:solidFill>
          </w14:textFill>
        </w:rPr>
        <w:t>收到承包人提交的合理化建议后7天内</w:t>
      </w:r>
      <w:r>
        <w:rPr>
          <w:rFonts w:hint="eastAsia" w:ascii="宋体" w:hAnsi="宋体" w:cs="宋体"/>
          <w:color w:val="000000" w:themeColor="text1"/>
          <w:sz w:val="24"/>
          <w:szCs w:val="24"/>
          <w:highlight w:val="none"/>
          <w14:textFill>
            <w14:solidFill>
              <w14:schemeClr w14:val="tx1"/>
            </w14:solidFill>
          </w14:textFill>
        </w:rPr>
        <w:t>。</w:t>
      </w:r>
    </w:p>
    <w:p w14:paraId="62BB4456">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发包人审批承包人合理化建议的期限：</w:t>
      </w:r>
      <w:r>
        <w:rPr>
          <w:rFonts w:hint="eastAsia" w:ascii="宋体" w:hAnsi="宋体" w:cs="宋体"/>
          <w:color w:val="000000" w:themeColor="text1"/>
          <w:sz w:val="24"/>
          <w:szCs w:val="24"/>
          <w:highlight w:val="none"/>
          <w:u w:val="single"/>
          <w14:textFill>
            <w14:solidFill>
              <w14:schemeClr w14:val="tx1"/>
            </w14:solidFill>
          </w14:textFill>
        </w:rPr>
        <w:t>收到监理人报送的合理化建议后7天内</w:t>
      </w:r>
      <w:r>
        <w:rPr>
          <w:rFonts w:hint="eastAsia" w:ascii="宋体" w:hAnsi="宋体" w:cs="宋体"/>
          <w:color w:val="000000" w:themeColor="text1"/>
          <w:sz w:val="24"/>
          <w:szCs w:val="24"/>
          <w:highlight w:val="none"/>
          <w14:textFill>
            <w14:solidFill>
              <w14:schemeClr w14:val="tx1"/>
            </w14:solidFill>
          </w14:textFill>
        </w:rPr>
        <w:t>。</w:t>
      </w:r>
    </w:p>
    <w:p w14:paraId="1F023E0D">
      <w:pPr>
        <w:spacing w:line="360" w:lineRule="auto"/>
        <w:ind w:firstLine="480" w:firstLineChars="200"/>
        <w:jc w:val="left"/>
        <w:outlineLvl w:val="9"/>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承包人提出的合理化建议降低了合同价格或者提高了工程经济效益的奖励的方法和金额为：</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2F964EDB">
      <w:pPr>
        <w:spacing w:after="120"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10.7 暂估价</w:t>
      </w:r>
    </w:p>
    <w:p w14:paraId="612B1311">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暂估价材料和工程设备的明细详见：《</w:t>
      </w:r>
      <w:r>
        <w:rPr>
          <w:rFonts w:hint="eastAsia" w:ascii="宋体" w:hAnsi="宋体" w:cs="宋体"/>
          <w:color w:val="000000" w:themeColor="text1"/>
          <w:sz w:val="24"/>
          <w:szCs w:val="24"/>
          <w:highlight w:val="none"/>
          <w14:textFill>
            <w14:solidFill>
              <w14:schemeClr w14:val="tx1"/>
            </w14:solidFill>
          </w14:textFill>
        </w:rPr>
        <w:t>暂估价一览表》</w:t>
      </w:r>
      <w:r>
        <w:rPr>
          <w:rFonts w:hint="eastAsia" w:ascii="宋体" w:hAnsi="宋体" w:cs="宋体"/>
          <w:color w:val="000000" w:themeColor="text1"/>
          <w:kern w:val="0"/>
          <w:sz w:val="24"/>
          <w:szCs w:val="24"/>
          <w:highlight w:val="none"/>
          <w14:textFill>
            <w14:solidFill>
              <w14:schemeClr w14:val="tx1"/>
            </w14:solidFill>
          </w14:textFill>
        </w:rPr>
        <w:t>。</w:t>
      </w:r>
    </w:p>
    <w:p w14:paraId="469C4D28">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10.7.1 依法必须招标的暂估价项目</w:t>
      </w:r>
    </w:p>
    <w:p w14:paraId="1703EF65">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对于依法必须招标的暂估价项目的确认和批准采取第</w:t>
      </w:r>
      <w:r>
        <w:rPr>
          <w:rFonts w:hint="eastAsia" w:ascii="宋体" w:hAnsi="宋体" w:cs="宋体"/>
          <w:color w:val="000000" w:themeColor="text1"/>
          <w:sz w:val="24"/>
          <w:szCs w:val="24"/>
          <w:highlight w:val="none"/>
          <w:u w:val="single"/>
          <w14:textFill>
            <w14:solidFill>
              <w14:schemeClr w14:val="tx1"/>
            </w14:solidFill>
          </w14:textFill>
        </w:rPr>
        <w:t>2</w:t>
      </w:r>
      <w:r>
        <w:rPr>
          <w:rFonts w:hint="eastAsia" w:ascii="宋体" w:hAnsi="宋体" w:cs="宋体"/>
          <w:color w:val="000000" w:themeColor="text1"/>
          <w:sz w:val="24"/>
          <w:szCs w:val="24"/>
          <w:highlight w:val="none"/>
          <w14:textFill>
            <w14:solidFill>
              <w14:schemeClr w14:val="tx1"/>
            </w14:solidFill>
          </w14:textFill>
        </w:rPr>
        <w:t>种方式确定。</w:t>
      </w:r>
    </w:p>
    <w:p w14:paraId="275A5538">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10.7.2 不属于依法必须招标的暂估价项目</w:t>
      </w:r>
    </w:p>
    <w:p w14:paraId="442301D0">
      <w:pPr>
        <w:spacing w:after="120" w:line="360" w:lineRule="auto"/>
        <w:ind w:firstLine="480" w:firstLineChars="200"/>
        <w:outlineLvl w:val="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对于不属于依法必须招标的暂估价项目的确认和批准采取第</w:t>
      </w:r>
      <w:r>
        <w:rPr>
          <w:rFonts w:hint="eastAsia" w:ascii="宋体" w:hAnsi="宋体" w:cs="宋体"/>
          <w:color w:val="000000" w:themeColor="text1"/>
          <w:sz w:val="24"/>
          <w:szCs w:val="24"/>
          <w:highlight w:val="none"/>
          <w:u w:val="single"/>
          <w14:textFill>
            <w14:solidFill>
              <w14:schemeClr w14:val="tx1"/>
            </w14:solidFill>
          </w14:textFill>
        </w:rPr>
        <w:t>3</w:t>
      </w:r>
      <w:r>
        <w:rPr>
          <w:rFonts w:hint="eastAsia" w:ascii="宋体" w:hAnsi="宋体" w:cs="宋体"/>
          <w:color w:val="000000" w:themeColor="text1"/>
          <w:sz w:val="24"/>
          <w:szCs w:val="24"/>
          <w:highlight w:val="none"/>
          <w14:textFill>
            <w14:solidFill>
              <w14:schemeClr w14:val="tx1"/>
            </w14:solidFill>
          </w14:textFill>
        </w:rPr>
        <w:t>种方式确定。</w:t>
      </w:r>
    </w:p>
    <w:p w14:paraId="0D2168BD">
      <w:pPr>
        <w:spacing w:after="120" w:line="360" w:lineRule="auto"/>
        <w:ind w:firstLine="480" w:firstLineChars="200"/>
        <w:outlineLvl w:val="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第3种方式：承包人直接实施的暂估价项目</w:t>
      </w:r>
    </w:p>
    <w:p w14:paraId="33E6DF6A">
      <w:pPr>
        <w:spacing w:after="120" w:line="360" w:lineRule="auto"/>
        <w:ind w:firstLine="480" w:firstLineChars="200"/>
        <w:outlineLvl w:val="9"/>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承包人直接实施的暂估价项目的约定：</w:t>
      </w:r>
      <w:r>
        <w:rPr>
          <w:rFonts w:hint="eastAsia" w:ascii="宋体" w:hAnsi="宋体" w:cs="宋体"/>
          <w:color w:val="000000" w:themeColor="text1"/>
          <w:sz w:val="24"/>
          <w:szCs w:val="24"/>
          <w:highlight w:val="none"/>
          <w:u w:val="single"/>
          <w14:textFill>
            <w14:solidFill>
              <w14:schemeClr w14:val="tx1"/>
            </w14:solidFill>
          </w14:textFill>
        </w:rPr>
        <w:t>参考10.4.1 变更估价原则</w:t>
      </w:r>
    </w:p>
    <w:p w14:paraId="73F25A80">
      <w:pPr>
        <w:spacing w:after="120"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10.8 暂列金额</w:t>
      </w:r>
    </w:p>
    <w:p w14:paraId="59A7F8CE">
      <w:pPr>
        <w:autoSpaceDE w:val="0"/>
        <w:autoSpaceDN w:val="0"/>
        <w:adjustRightInd w:val="0"/>
        <w:spacing w:line="360" w:lineRule="auto"/>
        <w:ind w:firstLine="480" w:firstLineChars="200"/>
        <w:jc w:val="left"/>
        <w:outlineLvl w:val="9"/>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合同当事人关于暂列金额使用的约定：</w:t>
      </w:r>
      <w:r>
        <w:rPr>
          <w:rFonts w:hint="eastAsia" w:ascii="宋体" w:hAnsi="宋体" w:cs="宋体"/>
          <w:color w:val="000000" w:themeColor="text1"/>
          <w:sz w:val="24"/>
          <w:szCs w:val="24"/>
          <w:highlight w:val="none"/>
          <w:u w:val="single"/>
          <w14:textFill>
            <w14:solidFill>
              <w14:schemeClr w14:val="tx1"/>
            </w14:solidFill>
          </w14:textFill>
        </w:rPr>
        <w:t>暂列金额应按照发包人的要求使用，发包人的要求应通过监理人发出</w:t>
      </w:r>
      <w:r>
        <w:rPr>
          <w:rFonts w:hint="eastAsia" w:ascii="宋体" w:hAnsi="宋体" w:cs="宋体"/>
          <w:color w:val="000000" w:themeColor="text1"/>
          <w:kern w:val="0"/>
          <w:sz w:val="24"/>
          <w:szCs w:val="24"/>
          <w:highlight w:val="none"/>
          <w14:textFill>
            <w14:solidFill>
              <w14:schemeClr w14:val="tx1"/>
            </w14:solidFill>
          </w14:textFill>
        </w:rPr>
        <w:t>。</w:t>
      </w:r>
    </w:p>
    <w:p w14:paraId="03444B6D">
      <w:pPr>
        <w:keepNext/>
        <w:keepLines/>
        <w:numPr>
          <w:ilvl w:val="3"/>
          <w:numId w:val="4"/>
        </w:numPr>
        <w:spacing w:line="360" w:lineRule="auto"/>
        <w:ind w:firstLine="482" w:firstLineChars="200"/>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11. 价格调整</w:t>
      </w:r>
    </w:p>
    <w:p w14:paraId="06D958B8">
      <w:pPr>
        <w:spacing w:after="120"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11.1 市场价格波动引起的调整</w:t>
      </w:r>
    </w:p>
    <w:p w14:paraId="79636B57">
      <w:pPr>
        <w:spacing w:line="360" w:lineRule="auto"/>
        <w:ind w:firstLine="480" w:firstLineChars="200"/>
        <w:jc w:val="left"/>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市场价格波动是否调整合同价格的约定：不调整。</w:t>
      </w:r>
    </w:p>
    <w:p w14:paraId="7685E652">
      <w:pPr>
        <w:keepNext/>
        <w:keepLines/>
        <w:numPr>
          <w:ilvl w:val="3"/>
          <w:numId w:val="4"/>
        </w:numPr>
        <w:spacing w:line="360" w:lineRule="auto"/>
        <w:ind w:firstLine="482" w:firstLineChars="200"/>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12. 合同价格、计量与支付</w:t>
      </w:r>
    </w:p>
    <w:p w14:paraId="0207FAF0">
      <w:pPr>
        <w:spacing w:after="120"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12.1 合同价格形式</w:t>
      </w:r>
    </w:p>
    <w:p w14:paraId="139B5DC8">
      <w:pPr>
        <w:autoSpaceDE w:val="0"/>
        <w:autoSpaceDN w:val="0"/>
        <w:adjustRightInd w:val="0"/>
        <w:spacing w:before="100" w:after="100" w:line="360" w:lineRule="auto"/>
        <w:ind w:left="655"/>
        <w:jc w:val="left"/>
        <w:outlineLvl w:val="9"/>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1、单价合同。</w:t>
      </w:r>
    </w:p>
    <w:p w14:paraId="06FF8F7E">
      <w:pPr>
        <w:autoSpaceDE w:val="0"/>
        <w:autoSpaceDN w:val="0"/>
        <w:adjustRightInd w:val="0"/>
        <w:spacing w:before="100" w:after="100" w:line="360" w:lineRule="auto"/>
        <w:ind w:left="250" w:firstLine="405"/>
        <w:outlineLvl w:val="9"/>
        <w:rPr>
          <w:rFonts w:ascii="宋体" w:hAnsi="宋体" w:cs="宋体"/>
          <w:color w:val="000000" w:themeColor="text1"/>
          <w:sz w:val="24"/>
          <w:highlight w:val="none"/>
          <w:u w:val="single" w:color="000000"/>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综合单价包含的风险范围：</w:t>
      </w:r>
      <w:r>
        <w:rPr>
          <w:rFonts w:hint="eastAsia" w:ascii="宋体" w:hAnsi="宋体" w:cs="宋体"/>
          <w:color w:val="000000" w:themeColor="text1"/>
          <w:kern w:val="0"/>
          <w:sz w:val="24"/>
          <w:szCs w:val="24"/>
          <w:highlight w:val="none"/>
          <w:u w:val="single"/>
          <w14:textFill>
            <w14:solidFill>
              <w14:schemeClr w14:val="tx1"/>
            </w14:solidFill>
          </w14:textFill>
        </w:rPr>
        <w:t>由于施工工期较短，综合单价不调整。</w:t>
      </w:r>
    </w:p>
    <w:p w14:paraId="7D647373">
      <w:pPr>
        <w:autoSpaceDE w:val="0"/>
        <w:autoSpaceDN w:val="0"/>
        <w:adjustRightInd w:val="0"/>
        <w:spacing w:before="100" w:after="100" w:line="360" w:lineRule="auto"/>
        <w:ind w:firstLine="720" w:firstLineChars="300"/>
        <w:jc w:val="left"/>
        <w:outlineLvl w:val="9"/>
        <w:rPr>
          <w:rFonts w:ascii="宋体" w:hAnsi="宋体" w:cs="宋体"/>
          <w:color w:val="000000" w:themeColor="text1"/>
          <w:kern w:val="0"/>
          <w:sz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风险费用的计算方法：</w:t>
      </w:r>
      <w:r>
        <w:rPr>
          <w:rFonts w:hint="eastAsia" w:ascii="宋体" w:hAnsi="宋体" w:cs="宋体"/>
          <w:color w:val="000000" w:themeColor="text1"/>
          <w:sz w:val="24"/>
          <w:szCs w:val="24"/>
          <w:highlight w:val="none"/>
          <w:u w:val="single"/>
          <w14:textFill>
            <w14:solidFill>
              <w14:schemeClr w14:val="tx1"/>
            </w14:solidFill>
          </w14:textFill>
        </w:rPr>
        <w:t>以上风险费用已在投标综合单价中考虑，不再另行计取。</w:t>
      </w:r>
    </w:p>
    <w:p w14:paraId="6B9067AF">
      <w:pPr>
        <w:snapToGrid w:val="0"/>
        <w:spacing w:line="360" w:lineRule="auto"/>
        <w:ind w:firstLine="720" w:firstLineChars="300"/>
        <w:outlineLvl w:val="9"/>
        <w:rPr>
          <w:rFonts w:ascii="宋体" w:hAnsi="宋体" w:cs="宋体"/>
          <w:color w:val="000000" w:themeColor="text1"/>
          <w:kern w:val="0"/>
          <w:sz w:val="24"/>
          <w:highlight w:val="none"/>
          <w:u w:val="single" w:color="000000"/>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风险范围以外合同价格的调整方法：</w:t>
      </w:r>
      <w:r>
        <w:rPr>
          <w:rFonts w:hint="eastAsia" w:ascii="宋体" w:hAnsi="宋体" w:cs="宋体"/>
          <w:color w:val="000000" w:themeColor="text1"/>
          <w:kern w:val="0"/>
          <w:sz w:val="24"/>
          <w:szCs w:val="24"/>
          <w:highlight w:val="none"/>
          <w:u w:val="single" w:color="000000"/>
          <w14:textFill>
            <w14:solidFill>
              <w14:schemeClr w14:val="tx1"/>
            </w14:solidFill>
          </w14:textFill>
        </w:rPr>
        <w:t>实际完成的工程量与招标文件中提供的工程量不一致、有效设计变更、有效现场签证。其他原因不再调整结算价。调整原则：（1）结算时调整项目与已标价工程量清单项目相同或相类似的，按照已标价工程量清单中的综合单价执行，若已标价工程量清单相同清单项目综合单价不一致的，按照最低的综合单价执行。（2）已标价工程量清单中无此清单项目的，调整项目按照《建设工程工程量清单计价规范》（GB50500-2013）第9.3条款的规定结算。（3）总价措施投标文件中相应费率调整；单项措施费按项列项费用无论工程量是否发生变化、设计图纸是否发生变更，结算时将不得调整，这些费用在整个工程中包干；其它按清单工程量的变化比例进行调整。(4)规费和税金按投标文件中相应费率调整（另有规定的按有关规定执行）。</w:t>
      </w:r>
    </w:p>
    <w:p w14:paraId="2E8BEBAF">
      <w:pPr>
        <w:snapToGrid w:val="0"/>
        <w:spacing w:line="360" w:lineRule="auto"/>
        <w:ind w:firstLine="720" w:firstLineChars="300"/>
        <w:outlineLvl w:val="9"/>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u w:val="single" w:color="000000"/>
          <w14:textFill>
            <w14:solidFill>
              <w14:schemeClr w14:val="tx1"/>
            </w14:solidFill>
          </w14:textFill>
        </w:rPr>
        <w:t>新增地材执行施工期间当地指导价，其他材料（特别是饰面材料）由施工单位根据设计单位和业主要求的质量和品牌报价，监理单位、跟踪审计单位根据符合要求现场实际使用材料质量和品牌市场价审核，报发包人审定。</w:t>
      </w:r>
    </w:p>
    <w:p w14:paraId="4FE5BAD3">
      <w:pPr>
        <w:spacing w:line="360" w:lineRule="auto"/>
        <w:ind w:firstLine="480" w:firstLineChars="200"/>
        <w:jc w:val="left"/>
        <w:outlineLvl w:val="9"/>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8）不可抗力事件导致的费用，发、承包双方按以下原则分别承担并调整合同价格： </w:t>
      </w:r>
    </w:p>
    <w:p w14:paraId="02FA8CB9">
      <w:pPr>
        <w:spacing w:line="360" w:lineRule="auto"/>
        <w:ind w:firstLine="480" w:firstLineChars="200"/>
        <w:jc w:val="left"/>
        <w:outlineLvl w:val="9"/>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a、工程本身的损害、因工程损害导致第三方人员伤亡和财产损失以及运至施工场地用于施工的材料和待安装的设备的损害，由发包人承担； </w:t>
      </w:r>
    </w:p>
    <w:p w14:paraId="6C385C26">
      <w:pPr>
        <w:spacing w:line="360" w:lineRule="auto"/>
        <w:ind w:firstLine="480" w:firstLineChars="200"/>
        <w:jc w:val="left"/>
        <w:outlineLvl w:val="9"/>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b、发包人、承包人人员伤亡由其所在单位负责，并承担相应费用； </w:t>
      </w:r>
    </w:p>
    <w:p w14:paraId="551F2B28">
      <w:pPr>
        <w:spacing w:line="360" w:lineRule="auto"/>
        <w:ind w:firstLine="480" w:firstLineChars="200"/>
        <w:jc w:val="left"/>
        <w:outlineLvl w:val="9"/>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c、承包人的施工机械设备损坏及停工损失，由承包人承担； </w:t>
      </w:r>
    </w:p>
    <w:p w14:paraId="49C144EC">
      <w:pPr>
        <w:spacing w:line="360" w:lineRule="auto"/>
        <w:ind w:firstLine="480" w:firstLineChars="200"/>
        <w:jc w:val="left"/>
        <w:outlineLvl w:val="9"/>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d、停工期间，承包人应发包人要求留在施工场地的必要的管理人员及保卫人员的费用，由发包人承担； </w:t>
      </w:r>
    </w:p>
    <w:p w14:paraId="310D94DF">
      <w:pPr>
        <w:spacing w:line="360" w:lineRule="auto"/>
        <w:ind w:firstLine="480" w:firstLineChars="200"/>
        <w:jc w:val="left"/>
        <w:outlineLvl w:val="9"/>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e、工程所需清理、修复费用，由发包人承担。</w:t>
      </w:r>
    </w:p>
    <w:p w14:paraId="2F8EFA64">
      <w:pPr>
        <w:spacing w:line="360" w:lineRule="auto"/>
        <w:ind w:firstLine="480" w:firstLineChars="200"/>
        <w:jc w:val="left"/>
        <w:outlineLvl w:val="9"/>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9）环境保护税：结算时，按相关部门实际收取的规费调整。此项费用报价包含在投标报价中。 合同价格调整报告应由受益方在工程施工14天前向合同的另一方提出，经对方确认后调整合同价格。受益方未在工程施工14天前提出合同价格调整报告的，视为不涉及合同价格的调整；收到合同价格调整报告的一方应在14天内确认或提出协商意见，否则，视为合同价格调整报告已经确认。</w:t>
      </w:r>
    </w:p>
    <w:p w14:paraId="01C17619">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2、总价合同。</w:t>
      </w:r>
    </w:p>
    <w:p w14:paraId="7A98748C">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总价包含的风险范围：</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sz w:val="24"/>
          <w:szCs w:val="24"/>
          <w:highlight w:val="none"/>
          <w14:textFill>
            <w14:solidFill>
              <w14:schemeClr w14:val="tx1"/>
            </w14:solidFill>
          </w14:textFill>
        </w:rPr>
        <w:t>。</w:t>
      </w:r>
    </w:p>
    <w:p w14:paraId="010F777B">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风险费用的计算方法：</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sz w:val="24"/>
          <w:szCs w:val="24"/>
          <w:highlight w:val="none"/>
          <w14:textFill>
            <w14:solidFill>
              <w14:schemeClr w14:val="tx1"/>
            </w14:solidFill>
          </w14:textFill>
        </w:rPr>
        <w:t>。</w:t>
      </w:r>
    </w:p>
    <w:p w14:paraId="25980AC7">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风险范围以外合同价格的调整方法：</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sz w:val="24"/>
          <w:szCs w:val="24"/>
          <w:highlight w:val="none"/>
          <w14:textFill>
            <w14:solidFill>
              <w14:schemeClr w14:val="tx1"/>
            </w14:solidFill>
          </w14:textFill>
        </w:rPr>
        <w:t>。</w:t>
      </w:r>
    </w:p>
    <w:p w14:paraId="5CEAD038">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3、其他价格方式：</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sz w:val="24"/>
          <w:szCs w:val="24"/>
          <w:highlight w:val="none"/>
          <w14:textFill>
            <w14:solidFill>
              <w14:schemeClr w14:val="tx1"/>
            </w14:solidFill>
          </w14:textFill>
        </w:rPr>
        <w:t>。</w:t>
      </w:r>
    </w:p>
    <w:p w14:paraId="71114537">
      <w:pPr>
        <w:spacing w:after="120"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12.2 预付款</w:t>
      </w:r>
    </w:p>
    <w:p w14:paraId="47412D76">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12.2.1 预付款的支付</w:t>
      </w:r>
    </w:p>
    <w:p w14:paraId="5FA0037F">
      <w:pPr>
        <w:pStyle w:val="8"/>
        <w:ind w:firstLine="480" w:firstLineChars="200"/>
        <w:outlineLvl w:val="9"/>
        <w:rPr>
          <w:rFonts w:hint="eastAsia" w:eastAsia="宋体"/>
          <w:color w:val="000000" w:themeColor="text1"/>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预付款支付比例或金额：</w:t>
      </w:r>
      <w:r>
        <w:rPr>
          <w:rFonts w:hint="eastAsia" w:ascii="宋体" w:hAnsi="宋体" w:cs="宋体"/>
          <w:color w:val="000000" w:themeColor="text1"/>
          <w:sz w:val="24"/>
          <w:szCs w:val="24"/>
          <w:highlight w:val="none"/>
          <w:u w:val="single"/>
          <w:lang w:val="en-US" w:eastAsia="zh-CN"/>
          <w14:textFill>
            <w14:solidFill>
              <w14:schemeClr w14:val="tx1"/>
            </w14:solidFill>
          </w14:textFill>
        </w:rPr>
        <w:t>/</w:t>
      </w:r>
    </w:p>
    <w:p w14:paraId="0D3DE7B4">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预付款支付期限：</w:t>
      </w:r>
      <w:r>
        <w:rPr>
          <w:rFonts w:hint="eastAsia" w:ascii="宋体" w:hAnsi="宋体" w:cs="宋体"/>
          <w:color w:val="000000" w:themeColor="text1"/>
          <w:sz w:val="24"/>
          <w:szCs w:val="24"/>
          <w:highlight w:val="none"/>
          <w:u w:val="single"/>
          <w:lang w:val="en-US" w:eastAsia="zh-CN"/>
          <w14:textFill>
            <w14:solidFill>
              <w14:schemeClr w14:val="tx1"/>
            </w14:solidFill>
          </w14:textFill>
        </w:rPr>
        <w:t>/</w:t>
      </w:r>
      <w:r>
        <w:rPr>
          <w:rFonts w:hint="eastAsia" w:ascii="宋体" w:hAnsi="宋体" w:cs="宋体"/>
          <w:color w:val="000000" w:themeColor="text1"/>
          <w:sz w:val="24"/>
          <w:szCs w:val="24"/>
          <w:highlight w:val="none"/>
          <w:u w:val="single"/>
          <w14:textFill>
            <w14:solidFill>
              <w14:schemeClr w14:val="tx1"/>
            </w14:solidFill>
          </w14:textFill>
        </w:rPr>
        <w:t>。</w:t>
      </w:r>
    </w:p>
    <w:p w14:paraId="44AEEF73">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预付款扣回的方式：</w:t>
      </w:r>
      <w:r>
        <w:rPr>
          <w:rFonts w:hint="eastAsia" w:ascii="宋体" w:hAnsi="宋体" w:cs="宋体"/>
          <w:color w:val="000000" w:themeColor="text1"/>
          <w:sz w:val="24"/>
          <w:szCs w:val="24"/>
          <w:highlight w:val="none"/>
          <w:u w:val="single"/>
          <w:lang w:val="en-US" w:eastAsia="zh-CN"/>
          <w14:textFill>
            <w14:solidFill>
              <w14:schemeClr w14:val="tx1"/>
            </w14:solidFill>
          </w14:textFill>
        </w:rPr>
        <w:t>/</w:t>
      </w:r>
      <w:r>
        <w:rPr>
          <w:rFonts w:hint="eastAsia" w:ascii="宋体" w:hAnsi="宋体" w:cs="宋体"/>
          <w:color w:val="000000" w:themeColor="text1"/>
          <w:sz w:val="24"/>
          <w:szCs w:val="24"/>
          <w:highlight w:val="none"/>
          <w:u w:val="single"/>
          <w14:textFill>
            <w14:solidFill>
              <w14:schemeClr w14:val="tx1"/>
            </w14:solidFill>
          </w14:textFill>
        </w:rPr>
        <w:t>。</w:t>
      </w:r>
    </w:p>
    <w:p w14:paraId="1166E8F4">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12.2.2 预付款担保</w:t>
      </w:r>
    </w:p>
    <w:p w14:paraId="0B4BCB07">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承包人提交预付款担保的期限：</w:t>
      </w:r>
      <w:r>
        <w:rPr>
          <w:rFonts w:hint="eastAsia" w:ascii="宋体" w:hAnsi="宋体" w:cs="宋体"/>
          <w:color w:val="000000" w:themeColor="text1"/>
          <w:sz w:val="24"/>
          <w:szCs w:val="24"/>
          <w:highlight w:val="none"/>
          <w:u w:val="single"/>
          <w:lang w:val="en-US" w:eastAsia="zh-CN"/>
          <w14:textFill>
            <w14:solidFill>
              <w14:schemeClr w14:val="tx1"/>
            </w14:solidFill>
          </w14:textFill>
        </w:rPr>
        <w:t>/</w:t>
      </w:r>
      <w:r>
        <w:rPr>
          <w:rFonts w:hint="eastAsia" w:ascii="宋体" w:hAnsi="宋体" w:cs="宋体"/>
          <w:color w:val="000000" w:themeColor="text1"/>
          <w:sz w:val="24"/>
          <w:szCs w:val="24"/>
          <w:highlight w:val="none"/>
          <w:u w:val="single"/>
          <w14:textFill>
            <w14:solidFill>
              <w14:schemeClr w14:val="tx1"/>
            </w14:solidFill>
          </w14:textFill>
        </w:rPr>
        <w:t>。</w:t>
      </w:r>
    </w:p>
    <w:p w14:paraId="18551150">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预付款担保的形式为：</w:t>
      </w:r>
      <w:r>
        <w:rPr>
          <w:rFonts w:hint="eastAsia" w:ascii="宋体" w:hAnsi="宋体" w:cs="宋体"/>
          <w:color w:val="000000" w:themeColor="text1"/>
          <w:kern w:val="0"/>
          <w:sz w:val="24"/>
          <w:szCs w:val="24"/>
          <w:highlight w:val="none"/>
          <w:u w:val="single"/>
          <w:lang w:val="en-US" w:eastAsia="zh-CN"/>
          <w14:textFill>
            <w14:solidFill>
              <w14:schemeClr w14:val="tx1"/>
            </w14:solidFill>
          </w14:textFill>
        </w:rPr>
        <w:t>/</w:t>
      </w:r>
      <w:r>
        <w:rPr>
          <w:rFonts w:hint="eastAsia" w:ascii="宋体" w:hAnsi="宋体" w:cs="宋体"/>
          <w:color w:val="000000" w:themeColor="text1"/>
          <w:sz w:val="24"/>
          <w:szCs w:val="24"/>
          <w:highlight w:val="none"/>
          <w:u w:val="single"/>
          <w14:textFill>
            <w14:solidFill>
              <w14:schemeClr w14:val="tx1"/>
            </w14:solidFill>
          </w14:textFill>
        </w:rPr>
        <w:t>。</w:t>
      </w:r>
    </w:p>
    <w:p w14:paraId="4F1B7035">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12.3 计量</w:t>
      </w:r>
    </w:p>
    <w:p w14:paraId="790547E9">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12.3.1 计量原则</w:t>
      </w:r>
    </w:p>
    <w:p w14:paraId="432B9DF2">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工程量计算规则：</w:t>
      </w:r>
      <w:r>
        <w:rPr>
          <w:rFonts w:hint="eastAsia" w:ascii="宋体" w:hAnsi="宋体" w:cs="宋体"/>
          <w:color w:val="000000" w:themeColor="text1"/>
          <w:sz w:val="24"/>
          <w:szCs w:val="24"/>
          <w:highlight w:val="none"/>
          <w:u w:val="single"/>
          <w14:textFill>
            <w14:solidFill>
              <w14:schemeClr w14:val="tx1"/>
            </w14:solidFill>
          </w14:textFill>
        </w:rPr>
        <w:t>按苏建价（2014）448号《省住房城乡建设厅关于〈建设工程工程量清单计价规范〉（GB50500-2013）及其9本工程量计算规范的贯彻意见》执行。其中模板工程量的计量以实际接触面积为准。</w:t>
      </w:r>
      <w:r>
        <w:rPr>
          <w:rFonts w:hint="eastAsia" w:ascii="宋体" w:hAnsi="宋体" w:cs="宋体"/>
          <w:color w:val="000000" w:themeColor="text1"/>
          <w:sz w:val="24"/>
          <w:szCs w:val="24"/>
          <w:highlight w:val="none"/>
          <w14:textFill>
            <w14:solidFill>
              <w14:schemeClr w14:val="tx1"/>
            </w14:solidFill>
          </w14:textFill>
        </w:rPr>
        <w:t>。</w:t>
      </w:r>
    </w:p>
    <w:p w14:paraId="0F1E0063">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12.3.2 计量周期</w:t>
      </w:r>
    </w:p>
    <w:p w14:paraId="1A0D0260">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关于计量周期的约定：</w:t>
      </w:r>
      <w:r>
        <w:rPr>
          <w:rFonts w:hint="eastAsia" w:ascii="宋体" w:hAnsi="宋体" w:cs="宋体"/>
          <w:color w:val="000000" w:themeColor="text1"/>
          <w:sz w:val="24"/>
          <w:szCs w:val="24"/>
          <w:highlight w:val="none"/>
          <w:u w:val="single"/>
          <w14:textFill>
            <w14:solidFill>
              <w14:schemeClr w14:val="tx1"/>
            </w14:solidFill>
          </w14:textFill>
        </w:rPr>
        <w:t>工程量的计量按月进行。隐蔽工程工程量的计量与现场签收必须随隐蔽工程验收在覆盖、掩盖前进行。对于发包人要求承包人完成合同以外的零星项目，承包人应在接受发包人书面要求的7天内就用工数量和单价、机械台班数量和单价、使用材料和金额等向监理和发包人提出书面签证，发包人签证后施工</w:t>
      </w:r>
      <w:r>
        <w:rPr>
          <w:rFonts w:hint="eastAsia" w:ascii="宋体" w:hAnsi="宋体" w:cs="宋体"/>
          <w:color w:val="000000" w:themeColor="text1"/>
          <w:sz w:val="24"/>
          <w:szCs w:val="24"/>
          <w:highlight w:val="none"/>
          <w14:textFill>
            <w14:solidFill>
              <w14:schemeClr w14:val="tx1"/>
            </w14:solidFill>
          </w14:textFill>
        </w:rPr>
        <w:t>。</w:t>
      </w:r>
    </w:p>
    <w:p w14:paraId="491726F7">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12.3.3 单价合同的计量</w:t>
      </w:r>
    </w:p>
    <w:p w14:paraId="4D4A8B12">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关于单价合同计量的约定：</w:t>
      </w:r>
      <w:r>
        <w:rPr>
          <w:rFonts w:hint="eastAsia" w:ascii="宋体" w:hAnsi="宋体" w:cs="宋体"/>
          <w:color w:val="000000" w:themeColor="text1"/>
          <w:sz w:val="24"/>
          <w:szCs w:val="24"/>
          <w:highlight w:val="none"/>
          <w:u w:val="single"/>
          <w14:textFill>
            <w14:solidFill>
              <w14:schemeClr w14:val="tx1"/>
            </w14:solidFill>
          </w14:textFill>
        </w:rPr>
        <w:t>（1）承包人应于每月25日向监理人报送上月20日至当月19日已完成的工程量报告，并附具进度付款申请单、已完成工程量报表和有关资料。（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3）监理人未在收到承包人提交的工程量报表后的7天内完成审核的，承包人报送的工程量报告中的工程量视为承包人实际完成的工程量，据此计算工程价款。</w:t>
      </w:r>
      <w:r>
        <w:rPr>
          <w:rFonts w:hint="eastAsia" w:ascii="宋体" w:hAnsi="宋体" w:cs="宋体"/>
          <w:color w:val="000000" w:themeColor="text1"/>
          <w:sz w:val="24"/>
          <w:szCs w:val="24"/>
          <w:highlight w:val="none"/>
          <w14:textFill>
            <w14:solidFill>
              <w14:schemeClr w14:val="tx1"/>
            </w14:solidFill>
          </w14:textFill>
        </w:rPr>
        <w:t>。</w:t>
      </w:r>
    </w:p>
    <w:p w14:paraId="14ED4EF1">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12.3.4 总价合同的计量</w:t>
      </w:r>
    </w:p>
    <w:p w14:paraId="58D1730E">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关于总价合同计量的约定：</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sz w:val="24"/>
          <w:szCs w:val="24"/>
          <w:highlight w:val="none"/>
          <w14:textFill>
            <w14:solidFill>
              <w14:schemeClr w14:val="tx1"/>
            </w14:solidFill>
          </w14:textFill>
        </w:rPr>
        <w:t>。</w:t>
      </w:r>
    </w:p>
    <w:p w14:paraId="4648C2C8">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12.3.5总价合同采用支付分解表计量支付的，是否适用第</w:t>
      </w:r>
      <w:r>
        <w:rPr>
          <w:rFonts w:hint="eastAsia" w:ascii="宋体" w:hAnsi="宋体" w:cs="宋体"/>
          <w:color w:val="000000" w:themeColor="text1"/>
          <w:kern w:val="0"/>
          <w:sz w:val="24"/>
          <w:szCs w:val="24"/>
          <w:highlight w:val="none"/>
          <w14:textFill>
            <w14:solidFill>
              <w14:schemeClr w14:val="tx1"/>
            </w14:solidFill>
          </w14:textFill>
        </w:rPr>
        <w:t xml:space="preserve">12.3.4 </w:t>
      </w:r>
      <w:r>
        <w:rPr>
          <w:rFonts w:hint="eastAsia" w:ascii="宋体" w:hAnsi="宋体" w:cs="宋体"/>
          <w:color w:val="000000" w:themeColor="text1"/>
          <w:sz w:val="24"/>
          <w:szCs w:val="24"/>
          <w:highlight w:val="none"/>
          <w14:textFill>
            <w14:solidFill>
              <w14:schemeClr w14:val="tx1"/>
            </w14:solidFill>
          </w14:textFill>
        </w:rPr>
        <w:t>项</w:t>
      </w:r>
      <w:r>
        <w:rPr>
          <w:rFonts w:hint="eastAsia" w:ascii="宋体" w:hAnsi="宋体" w:cs="宋体"/>
          <w:color w:val="000000" w:themeColor="text1"/>
          <w:kern w:val="0"/>
          <w:sz w:val="24"/>
          <w:szCs w:val="24"/>
          <w:highlight w:val="none"/>
          <w14:textFill>
            <w14:solidFill>
              <w14:schemeClr w14:val="tx1"/>
            </w14:solidFill>
          </w14:textFill>
        </w:rPr>
        <w:t>〔总价合同的计量〕</w:t>
      </w:r>
      <w:r>
        <w:rPr>
          <w:rFonts w:hint="eastAsia" w:ascii="宋体" w:hAnsi="宋体" w:cs="宋体"/>
          <w:color w:val="000000" w:themeColor="text1"/>
          <w:sz w:val="24"/>
          <w:szCs w:val="24"/>
          <w:highlight w:val="none"/>
          <w14:textFill>
            <w14:solidFill>
              <w14:schemeClr w14:val="tx1"/>
            </w14:solidFill>
          </w14:textFill>
        </w:rPr>
        <w:t>约定进行计量：</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sz w:val="24"/>
          <w:szCs w:val="24"/>
          <w:highlight w:val="none"/>
          <w14:textFill>
            <w14:solidFill>
              <w14:schemeClr w14:val="tx1"/>
            </w14:solidFill>
          </w14:textFill>
        </w:rPr>
        <w:t>。</w:t>
      </w:r>
    </w:p>
    <w:p w14:paraId="33039375">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12.3.6 其他价格形式合同的计量</w:t>
      </w:r>
    </w:p>
    <w:p w14:paraId="37FBE2C8">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其他价格形式的计量方式和程序：</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sz w:val="24"/>
          <w:szCs w:val="24"/>
          <w:highlight w:val="none"/>
          <w14:textFill>
            <w14:solidFill>
              <w14:schemeClr w14:val="tx1"/>
            </w14:solidFill>
          </w14:textFill>
        </w:rPr>
        <w:t>。</w:t>
      </w:r>
    </w:p>
    <w:bookmarkEnd w:id="519"/>
    <w:p w14:paraId="2537A4EB">
      <w:pPr>
        <w:spacing w:after="120" w:line="360" w:lineRule="auto"/>
        <w:ind w:firstLine="480" w:firstLineChars="200"/>
        <w:outlineLvl w:val="9"/>
        <w:rPr>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12.4 工程进度款支付</w:t>
      </w:r>
    </w:p>
    <w:p w14:paraId="6BE8D63C">
      <w:pPr>
        <w:spacing w:line="360" w:lineRule="auto"/>
        <w:ind w:firstLine="480" w:firstLineChars="200"/>
        <w:jc w:val="left"/>
        <w:outlineLvl w:val="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12.4.1 付款周期</w:t>
      </w:r>
    </w:p>
    <w:p w14:paraId="05090AA4">
      <w:pPr>
        <w:spacing w:line="360" w:lineRule="auto"/>
        <w:ind w:firstLine="480" w:firstLineChars="200"/>
        <w:jc w:val="left"/>
        <w:outlineLvl w:val="9"/>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关于付款周期的约定：</w:t>
      </w:r>
    </w:p>
    <w:p w14:paraId="4A512A23">
      <w:pPr>
        <w:spacing w:line="360" w:lineRule="auto"/>
        <w:ind w:firstLine="240" w:firstLineChars="100"/>
        <w:outlineLvl w:val="9"/>
        <w:rPr>
          <w:rFonts w:hint="eastAsia" w:ascii="宋体" w:hAnsi="宋体" w:eastAsia="宋体"/>
          <w:bCs/>
          <w:color w:val="000000" w:themeColor="text1"/>
          <w:sz w:val="24"/>
          <w:szCs w:val="24"/>
          <w:highlight w:val="none"/>
          <w:lang w:val="en-US"/>
          <w14:textFill>
            <w14:solidFill>
              <w14:schemeClr w14:val="tx1"/>
            </w14:solidFill>
          </w14:textFill>
        </w:rPr>
      </w:pPr>
      <w:bookmarkStart w:id="520" w:name="_Toc296944550"/>
      <w:bookmarkStart w:id="521" w:name="_Toc296346712"/>
      <w:bookmarkStart w:id="522" w:name="_Toc296891039"/>
      <w:bookmarkStart w:id="523" w:name="_Toc297123556"/>
      <w:bookmarkStart w:id="524" w:name="_Toc292559416"/>
      <w:bookmarkStart w:id="525" w:name="_Toc292559921"/>
      <w:bookmarkStart w:id="526" w:name="_Toc297216215"/>
      <w:bookmarkStart w:id="527" w:name="_Toc296503211"/>
      <w:bookmarkStart w:id="528" w:name="_Toc300935006"/>
      <w:bookmarkStart w:id="529" w:name="_Toc296347210"/>
      <w:bookmarkStart w:id="530" w:name="_Toc297120511"/>
      <w:bookmarkStart w:id="531" w:name="_Toc303539163"/>
      <w:bookmarkStart w:id="532" w:name="_Toc297048397"/>
      <w:bookmarkStart w:id="533" w:name="_Toc296891251"/>
      <w:r>
        <w:rPr>
          <w:rFonts w:hint="eastAsia" w:ascii="宋体" w:hAnsi="宋体"/>
          <w:bCs/>
          <w:color w:val="000000" w:themeColor="text1"/>
          <w:sz w:val="24"/>
          <w:szCs w:val="24"/>
          <w:highlight w:val="none"/>
          <w:lang w:val="en-US" w:eastAsia="zh-CN"/>
          <w14:textFill>
            <w14:solidFill>
              <w14:schemeClr w14:val="tx1"/>
            </w14:solidFill>
          </w14:textFill>
        </w:rPr>
        <w:t>（一）</w:t>
      </w:r>
      <w:r>
        <w:rPr>
          <w:rFonts w:hint="eastAsia" w:ascii="宋体" w:hAnsi="宋体" w:eastAsia="宋体"/>
          <w:bCs/>
          <w:color w:val="000000" w:themeColor="text1"/>
          <w:sz w:val="24"/>
          <w:szCs w:val="24"/>
          <w:highlight w:val="none"/>
          <w:lang w:val="en-US" w:eastAsia="zh-CN"/>
          <w14:textFill>
            <w14:solidFill>
              <w14:schemeClr w14:val="tx1"/>
            </w14:solidFill>
          </w14:textFill>
        </w:rPr>
        <w:t>项目</w:t>
      </w:r>
      <w:r>
        <w:rPr>
          <w:rFonts w:hint="eastAsia" w:ascii="宋体" w:hAnsi="宋体" w:eastAsia="宋体"/>
          <w:bCs/>
          <w:color w:val="000000" w:themeColor="text1"/>
          <w:sz w:val="24"/>
          <w:szCs w:val="24"/>
          <w:highlight w:val="none"/>
          <w:lang w:val="en-US"/>
          <w14:textFill>
            <w14:solidFill>
              <w14:schemeClr w14:val="tx1"/>
            </w14:solidFill>
          </w14:textFill>
        </w:rPr>
        <w:t>竣工验收合格且收到付款申请后，付至合同价的70%；</w:t>
      </w:r>
    </w:p>
    <w:p w14:paraId="3A752AB8">
      <w:pPr>
        <w:spacing w:line="360" w:lineRule="auto"/>
        <w:ind w:firstLine="240" w:firstLineChars="100"/>
        <w:outlineLvl w:val="9"/>
        <w:rPr>
          <w:rFonts w:hint="eastAsia" w:ascii="宋体" w:hAnsi="宋体" w:eastAsia="宋体"/>
          <w:bCs/>
          <w:color w:val="000000" w:themeColor="text1"/>
          <w:sz w:val="24"/>
          <w:szCs w:val="24"/>
          <w:highlight w:val="none"/>
          <w:u w:val="none"/>
          <w:lang w:val="en-US"/>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（二）</w:t>
      </w:r>
      <w:r>
        <w:rPr>
          <w:rFonts w:hint="eastAsia" w:ascii="宋体" w:hAnsi="宋体" w:eastAsia="宋体"/>
          <w:bCs/>
          <w:color w:val="000000" w:themeColor="text1"/>
          <w:sz w:val="24"/>
          <w:szCs w:val="24"/>
          <w:highlight w:val="none"/>
          <w:lang w:val="en-US"/>
          <w14:textFill>
            <w14:solidFill>
              <w14:schemeClr w14:val="tx1"/>
            </w14:solidFill>
          </w14:textFill>
        </w:rPr>
        <w:t>竣工结算经审计部门审计结束，承包人分别提交水电费、违约金（如有）、质量保证金（结算审定价的3%）至发包人账户，并按照要求提交所有竣工资料后，付至工程结算审定价款的100%（承包人需开具审定价的全额发票）</w:t>
      </w:r>
      <w:r>
        <w:rPr>
          <w:rFonts w:hint="eastAsia" w:ascii="宋体" w:hAnsi="宋体" w:cs="宋体"/>
          <w:color w:val="000000" w:themeColor="text1"/>
          <w:kern w:val="0"/>
          <w:sz w:val="24"/>
          <w:szCs w:val="24"/>
          <w:highlight w:val="none"/>
          <w:u w:val="none"/>
          <w14:textFill>
            <w14:solidFill>
              <w14:schemeClr w14:val="tx1"/>
            </w14:solidFill>
          </w14:textFill>
        </w:rPr>
        <w:t>质保期满后</w:t>
      </w:r>
      <w:r>
        <w:rPr>
          <w:rFonts w:hint="eastAsia" w:ascii="宋体" w:hAnsi="宋体" w:cs="宋体"/>
          <w:color w:val="000000" w:themeColor="text1"/>
          <w:kern w:val="0"/>
          <w:sz w:val="24"/>
          <w:szCs w:val="24"/>
          <w:highlight w:val="none"/>
          <w:u w:val="none"/>
          <w:lang w:eastAsia="zh-CN"/>
          <w14:textFill>
            <w14:solidFill>
              <w14:schemeClr w14:val="tx1"/>
            </w14:solidFill>
          </w14:textFill>
        </w:rPr>
        <w:t>（即</w:t>
      </w:r>
      <w:r>
        <w:rPr>
          <w:rFonts w:hint="eastAsia" w:ascii="宋体" w:hAnsi="宋体" w:eastAsia="宋体" w:cs="宋体"/>
          <w:color w:val="000000" w:themeColor="text1"/>
          <w:sz w:val="24"/>
          <w:szCs w:val="24"/>
          <w:highlight w:val="none"/>
          <w:lang w:val="en-US" w:eastAsia="zh-CN"/>
          <w14:textFill>
            <w14:solidFill>
              <w14:schemeClr w14:val="tx1"/>
            </w14:solidFill>
          </w14:textFill>
        </w:rPr>
        <w:t>验收通过之日起2年</w:t>
      </w:r>
      <w:r>
        <w:rPr>
          <w:rFonts w:hint="eastAsia" w:ascii="宋体" w:hAnsi="宋体" w:cs="宋体"/>
          <w:color w:val="000000" w:themeColor="text1"/>
          <w:kern w:val="0"/>
          <w:sz w:val="24"/>
          <w:szCs w:val="24"/>
          <w:highlight w:val="none"/>
          <w:u w:val="none"/>
          <w:lang w:eastAsia="zh-CN"/>
          <w14:textFill>
            <w14:solidFill>
              <w14:schemeClr w14:val="tx1"/>
            </w14:solidFill>
          </w14:textFill>
        </w:rPr>
        <w:t>）</w:t>
      </w:r>
      <w:r>
        <w:rPr>
          <w:rFonts w:ascii="宋体" w:hAnsi="宋体" w:cs="宋体"/>
          <w:color w:val="000000" w:themeColor="text1"/>
          <w:kern w:val="0"/>
          <w:sz w:val="24"/>
          <w:szCs w:val="24"/>
          <w:highlight w:val="none"/>
          <w:u w:val="none"/>
          <w14:textFill>
            <w14:solidFill>
              <w14:schemeClr w14:val="tx1"/>
            </w14:solidFill>
          </w14:textFill>
        </w:rPr>
        <w:t>，无质量问题退还质保金（无息）</w:t>
      </w:r>
      <w:r>
        <w:rPr>
          <w:rFonts w:hint="eastAsia" w:ascii="宋体" w:hAnsi="宋体" w:eastAsia="宋体"/>
          <w:bCs/>
          <w:color w:val="000000" w:themeColor="text1"/>
          <w:sz w:val="24"/>
          <w:szCs w:val="24"/>
          <w:highlight w:val="none"/>
          <w:u w:val="none"/>
          <w:lang w:val="en-US"/>
          <w14:textFill>
            <w14:solidFill>
              <w14:schemeClr w14:val="tx1"/>
            </w14:solidFill>
          </w14:textFill>
        </w:rPr>
        <w:t>。</w:t>
      </w:r>
    </w:p>
    <w:p w14:paraId="2B9C6914">
      <w:pPr>
        <w:spacing w:line="360" w:lineRule="auto"/>
        <w:ind w:firstLine="240" w:firstLineChars="100"/>
        <w:outlineLvl w:val="9"/>
        <w:rPr>
          <w:rFonts w:hint="eastAsia" w:ascii="宋体" w:hAnsi="宋体" w:eastAsia="宋体"/>
          <w:bCs/>
          <w:color w:val="000000" w:themeColor="text1"/>
          <w:sz w:val="24"/>
          <w:szCs w:val="24"/>
          <w:highlight w:val="none"/>
          <w:lang w:val="en-US"/>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（三）</w:t>
      </w:r>
      <w:r>
        <w:rPr>
          <w:rFonts w:hint="eastAsia" w:ascii="宋体" w:hAnsi="宋体" w:eastAsia="宋体"/>
          <w:bCs/>
          <w:color w:val="000000" w:themeColor="text1"/>
          <w:sz w:val="24"/>
          <w:szCs w:val="24"/>
          <w:highlight w:val="none"/>
          <w:lang w:val="en-US"/>
          <w14:textFill>
            <w14:solidFill>
              <w14:schemeClr w14:val="tx1"/>
            </w14:solidFill>
          </w14:textFill>
        </w:rPr>
        <w:t>所有合同外增加的工作内容施工项目，一律不得作为进度款支付的计算基数，待竣工结算审计后方可进行价款结算。</w:t>
      </w:r>
    </w:p>
    <w:p w14:paraId="67932E1C">
      <w:pPr>
        <w:spacing w:line="360" w:lineRule="auto"/>
        <w:ind w:firstLine="240" w:firstLineChars="100"/>
        <w:outlineLvl w:val="9"/>
        <w:rPr>
          <w:rFonts w:hint="default" w:ascii="宋体" w:hAnsi="宋体" w:eastAsia="宋体"/>
          <w:bCs/>
          <w:color w:val="000000" w:themeColor="text1"/>
          <w:sz w:val="24"/>
          <w:szCs w:val="24"/>
          <w:highlight w:val="none"/>
          <w:lang w:val="en-US" w:eastAsia="zh-CN"/>
          <w14:textFill>
            <w14:solidFill>
              <w14:schemeClr w14:val="tx1"/>
            </w14:solidFill>
          </w14:textFill>
        </w:rPr>
      </w:pPr>
      <w:r>
        <w:rPr>
          <w:rFonts w:hint="eastAsia" w:ascii="宋体" w:hAnsi="宋体" w:eastAsia="宋体"/>
          <w:bCs/>
          <w:color w:val="000000" w:themeColor="text1"/>
          <w:sz w:val="24"/>
          <w:szCs w:val="24"/>
          <w:highlight w:val="none"/>
          <w:lang w:val="en-US"/>
          <w14:textFill>
            <w14:solidFill>
              <w14:schemeClr w14:val="tx1"/>
            </w14:solidFill>
          </w14:textFill>
        </w:rPr>
        <w:t>注：如因现场条件无法挂表，则水电费按工程审定额的千分之一点五计取。水电费在审定价款支付前，由承包人直接支付至发包人指定账户。</w:t>
      </w:r>
    </w:p>
    <w:p w14:paraId="32CEA626">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12.4.2 进度付款申请单的编制</w:t>
      </w:r>
    </w:p>
    <w:p w14:paraId="1D65B50C">
      <w:pPr>
        <w:spacing w:line="360" w:lineRule="auto"/>
        <w:ind w:firstLine="480" w:firstLineChars="200"/>
        <w:jc w:val="left"/>
        <w:outlineLvl w:val="9"/>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关于进度付款申请单编制的约定：</w:t>
      </w:r>
      <w:r>
        <w:rPr>
          <w:rFonts w:hint="eastAsia" w:ascii="宋体" w:hAnsi="宋体" w:cs="宋体"/>
          <w:color w:val="000000" w:themeColor="text1"/>
          <w:sz w:val="24"/>
          <w:szCs w:val="24"/>
          <w:highlight w:val="none"/>
          <w:u w:val="single"/>
          <w14:textFill>
            <w14:solidFill>
              <w14:schemeClr w14:val="tx1"/>
            </w14:solidFill>
          </w14:textFill>
        </w:rPr>
        <w:t>（1）截至本次付款周期已完成工作对应的金额；</w:t>
      </w:r>
    </w:p>
    <w:p w14:paraId="08539D69">
      <w:pPr>
        <w:spacing w:line="360" w:lineRule="auto"/>
        <w:ind w:firstLine="480" w:firstLineChars="200"/>
        <w:jc w:val="left"/>
        <w:outlineLvl w:val="9"/>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w:t>
      </w:r>
      <w:r>
        <w:rPr>
          <w:rFonts w:ascii="宋体" w:hAnsi="宋体" w:cs="宋体"/>
          <w:color w:val="000000" w:themeColor="text1"/>
          <w:sz w:val="24"/>
          <w:szCs w:val="24"/>
          <w:highlight w:val="none"/>
          <w:u w:val="single"/>
          <w14:textFill>
            <w14:solidFill>
              <w14:schemeClr w14:val="tx1"/>
            </w14:solidFill>
          </w14:textFill>
        </w:rPr>
        <w:t>2</w:t>
      </w:r>
      <w:r>
        <w:rPr>
          <w:rFonts w:hint="eastAsia" w:ascii="宋体" w:hAnsi="宋体" w:cs="宋体"/>
          <w:color w:val="000000" w:themeColor="text1"/>
          <w:sz w:val="24"/>
          <w:szCs w:val="24"/>
          <w:highlight w:val="none"/>
          <w:u w:val="single"/>
          <w14:textFill>
            <w14:solidFill>
              <w14:schemeClr w14:val="tx1"/>
            </w14:solidFill>
          </w14:textFill>
        </w:rPr>
        <w:t xml:space="preserve">）预付款约定应支付的预付款和扣减的返还预付款； </w:t>
      </w:r>
    </w:p>
    <w:p w14:paraId="168645AE">
      <w:pPr>
        <w:spacing w:line="360" w:lineRule="auto"/>
        <w:ind w:firstLine="480" w:firstLineChars="200"/>
        <w:jc w:val="left"/>
        <w:outlineLvl w:val="9"/>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w:t>
      </w:r>
      <w:r>
        <w:rPr>
          <w:rFonts w:ascii="宋体" w:hAnsi="宋体" w:cs="宋体"/>
          <w:color w:val="000000" w:themeColor="text1"/>
          <w:sz w:val="24"/>
          <w:szCs w:val="24"/>
          <w:highlight w:val="none"/>
          <w:u w:val="single"/>
          <w14:textFill>
            <w14:solidFill>
              <w14:schemeClr w14:val="tx1"/>
            </w14:solidFill>
          </w14:textFill>
        </w:rPr>
        <w:t>3</w:t>
      </w:r>
      <w:r>
        <w:rPr>
          <w:rFonts w:hint="eastAsia" w:ascii="宋体" w:hAnsi="宋体" w:cs="宋体"/>
          <w:color w:val="000000" w:themeColor="text1"/>
          <w:sz w:val="24"/>
          <w:szCs w:val="24"/>
          <w:highlight w:val="none"/>
          <w:u w:val="single"/>
          <w14:textFill>
            <w14:solidFill>
              <w14:schemeClr w14:val="tx1"/>
            </w14:solidFill>
          </w14:textFill>
        </w:rPr>
        <w:t>）对已签发的进度款支付证书中出现错误的修正，应在本次进度付款中支付或扣除的金额；</w:t>
      </w:r>
    </w:p>
    <w:p w14:paraId="3D447E63">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w:t>
      </w:r>
      <w:r>
        <w:rPr>
          <w:rFonts w:ascii="宋体" w:hAnsi="宋体" w:cs="宋体"/>
          <w:color w:val="000000" w:themeColor="text1"/>
          <w:sz w:val="24"/>
          <w:szCs w:val="24"/>
          <w:highlight w:val="none"/>
          <w:u w:val="single"/>
          <w14:textFill>
            <w14:solidFill>
              <w14:schemeClr w14:val="tx1"/>
            </w14:solidFill>
          </w14:textFill>
        </w:rPr>
        <w:t>4</w:t>
      </w:r>
      <w:r>
        <w:rPr>
          <w:rFonts w:hint="eastAsia" w:ascii="宋体" w:hAnsi="宋体" w:cs="宋体"/>
          <w:color w:val="000000" w:themeColor="text1"/>
          <w:sz w:val="24"/>
          <w:szCs w:val="24"/>
          <w:highlight w:val="none"/>
          <w:u w:val="single"/>
          <w14:textFill>
            <w14:solidFill>
              <w14:schemeClr w14:val="tx1"/>
            </w14:solidFill>
          </w14:textFill>
        </w:rPr>
        <w:t>）根据合同约定应增加和扣减的其他金额</w:t>
      </w:r>
      <w:r>
        <w:rPr>
          <w:rFonts w:hint="eastAsia" w:ascii="宋体" w:hAnsi="宋体" w:cs="宋体"/>
          <w:color w:val="000000" w:themeColor="text1"/>
          <w:sz w:val="24"/>
          <w:szCs w:val="24"/>
          <w:highlight w:val="none"/>
          <w14:textFill>
            <w14:solidFill>
              <w14:schemeClr w14:val="tx1"/>
            </w14:solidFill>
          </w14:textFill>
        </w:rPr>
        <w:t>。</w:t>
      </w:r>
    </w:p>
    <w:p w14:paraId="6DA05395">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w:t>
      </w:r>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r>
        <w:rPr>
          <w:rFonts w:hint="eastAsia" w:ascii="宋体" w:hAnsi="宋体" w:cs="宋体"/>
          <w:color w:val="000000" w:themeColor="text1"/>
          <w:sz w:val="24"/>
          <w:szCs w:val="24"/>
          <w:highlight w:val="none"/>
          <w14:textFill>
            <w14:solidFill>
              <w14:schemeClr w14:val="tx1"/>
            </w14:solidFill>
          </w14:textFill>
        </w:rPr>
        <w:t>2.4.3 进度付款申请单的提交</w:t>
      </w:r>
    </w:p>
    <w:p w14:paraId="06869CFD">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（1）单价合同进度付款申请单提交的约定：</w:t>
      </w:r>
      <w:r>
        <w:rPr>
          <w:rFonts w:hint="eastAsia" w:ascii="宋体" w:hAnsi="宋体" w:cs="宋体"/>
          <w:color w:val="000000" w:themeColor="text1"/>
          <w:sz w:val="24"/>
          <w:szCs w:val="24"/>
          <w:highlight w:val="none"/>
          <w:u w:val="single"/>
          <w14:textFill>
            <w14:solidFill>
              <w14:schemeClr w14:val="tx1"/>
            </w14:solidFill>
          </w14:textFill>
        </w:rPr>
        <w:t>按月向监理人提交，并附上已完成工程量报表和有关资料</w:t>
      </w:r>
      <w:r>
        <w:rPr>
          <w:rFonts w:hint="eastAsia" w:ascii="宋体" w:hAnsi="宋体" w:cs="宋体"/>
          <w:color w:val="000000" w:themeColor="text1"/>
          <w:sz w:val="24"/>
          <w:szCs w:val="24"/>
          <w:highlight w:val="none"/>
          <w14:textFill>
            <w14:solidFill>
              <w14:schemeClr w14:val="tx1"/>
            </w14:solidFill>
          </w14:textFill>
        </w:rPr>
        <w:t>。</w:t>
      </w:r>
    </w:p>
    <w:p w14:paraId="642A198A">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（2）总价合同进度付款申请单提交的约定：</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sz w:val="24"/>
          <w:szCs w:val="24"/>
          <w:highlight w:val="none"/>
          <w14:textFill>
            <w14:solidFill>
              <w14:schemeClr w14:val="tx1"/>
            </w14:solidFill>
          </w14:textFill>
        </w:rPr>
        <w:t>。</w:t>
      </w:r>
    </w:p>
    <w:p w14:paraId="7B24B294">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（3）其他价格形式合同进度付款申请单提交的约定：</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sz w:val="24"/>
          <w:szCs w:val="24"/>
          <w:highlight w:val="none"/>
          <w14:textFill>
            <w14:solidFill>
              <w14:schemeClr w14:val="tx1"/>
            </w14:solidFill>
          </w14:textFill>
        </w:rPr>
        <w:t>。</w:t>
      </w:r>
    </w:p>
    <w:p w14:paraId="0C2E665F">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12.4.4 进度款审核和支付</w:t>
      </w:r>
    </w:p>
    <w:p w14:paraId="7D6BB0D5">
      <w:pPr>
        <w:spacing w:line="360" w:lineRule="auto"/>
        <w:ind w:firstLine="480" w:firstLineChars="200"/>
        <w:jc w:val="left"/>
        <w:outlineLvl w:val="9"/>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（1）监理人审查并报送发包人的期限：</w:t>
      </w:r>
      <w:r>
        <w:rPr>
          <w:rFonts w:hint="eastAsia" w:ascii="宋体" w:hAnsi="宋体" w:cs="宋体"/>
          <w:color w:val="000000" w:themeColor="text1"/>
          <w:sz w:val="24"/>
          <w:szCs w:val="24"/>
          <w:highlight w:val="none"/>
          <w:u w:val="single"/>
          <w14:textFill>
            <w14:solidFill>
              <w14:schemeClr w14:val="tx1"/>
            </w14:solidFill>
          </w14:textFill>
        </w:rPr>
        <w:t>监理人应在收到承包人进度付款申请单以及相关资料后7天内完成审查并报送发包人</w:t>
      </w:r>
      <w:r>
        <w:rPr>
          <w:rFonts w:hint="eastAsia" w:ascii="宋体" w:hAnsi="宋体" w:cs="宋体"/>
          <w:color w:val="000000" w:themeColor="text1"/>
          <w:sz w:val="24"/>
          <w:szCs w:val="24"/>
          <w:highlight w:val="none"/>
          <w14:textFill>
            <w14:solidFill>
              <w14:schemeClr w14:val="tx1"/>
            </w14:solidFill>
          </w14:textFill>
        </w:rPr>
        <w:t>。</w:t>
      </w:r>
    </w:p>
    <w:p w14:paraId="2A6A6DCA">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发包人完成审批并签发进度款支付证书的期限：</w:t>
      </w:r>
      <w:r>
        <w:rPr>
          <w:rFonts w:hint="eastAsia" w:ascii="宋体" w:hAnsi="宋体" w:cs="宋体"/>
          <w:color w:val="000000" w:themeColor="text1"/>
          <w:sz w:val="24"/>
          <w:szCs w:val="24"/>
          <w:highlight w:val="none"/>
          <w:u w:val="single"/>
          <w14:textFill>
            <w14:solidFill>
              <w14:schemeClr w14:val="tx1"/>
            </w14:solidFill>
          </w14:textFill>
        </w:rPr>
        <w:t>发包人应在收到后7天内完成审批并签发进度款支付证书</w:t>
      </w:r>
      <w:r>
        <w:rPr>
          <w:rFonts w:hint="eastAsia" w:ascii="宋体" w:hAnsi="宋体" w:cs="宋体"/>
          <w:color w:val="000000" w:themeColor="text1"/>
          <w:sz w:val="24"/>
          <w:szCs w:val="24"/>
          <w:highlight w:val="none"/>
          <w14:textFill>
            <w14:solidFill>
              <w14:schemeClr w14:val="tx1"/>
            </w14:solidFill>
          </w14:textFill>
        </w:rPr>
        <w:t>。</w:t>
      </w:r>
    </w:p>
    <w:p w14:paraId="1C7B1DBA">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（2）发包人支付进度款的期限：</w:t>
      </w:r>
      <w:r>
        <w:rPr>
          <w:rFonts w:hint="eastAsia" w:ascii="宋体" w:hAnsi="宋体" w:cs="宋体"/>
          <w:color w:val="000000" w:themeColor="text1"/>
          <w:sz w:val="24"/>
          <w:szCs w:val="24"/>
          <w:highlight w:val="none"/>
          <w:u w:val="single"/>
          <w14:textFill>
            <w14:solidFill>
              <w14:schemeClr w14:val="tx1"/>
            </w14:solidFill>
          </w14:textFill>
        </w:rPr>
        <w:t>发包人应在进度款支付证书签发后14天内完成支付</w:t>
      </w:r>
      <w:r>
        <w:rPr>
          <w:rFonts w:hint="eastAsia" w:ascii="宋体" w:hAnsi="宋体" w:cs="宋体"/>
          <w:color w:val="000000" w:themeColor="text1"/>
          <w:sz w:val="24"/>
          <w:szCs w:val="24"/>
          <w:highlight w:val="none"/>
          <w14:textFill>
            <w14:solidFill>
              <w14:schemeClr w14:val="tx1"/>
            </w14:solidFill>
          </w14:textFill>
        </w:rPr>
        <w:t>。</w:t>
      </w:r>
    </w:p>
    <w:p w14:paraId="6E1BA28F">
      <w:pPr>
        <w:spacing w:line="360" w:lineRule="auto"/>
        <w:ind w:firstLine="600" w:firstLineChars="25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发包人逾期支付进度款的违约金的计算方式：</w:t>
      </w:r>
      <w:r>
        <w:rPr>
          <w:rFonts w:hint="eastAsia" w:ascii="宋体" w:hAnsi="宋体" w:cs="宋体"/>
          <w:color w:val="000000" w:themeColor="text1"/>
          <w:sz w:val="24"/>
          <w:szCs w:val="24"/>
          <w:highlight w:val="none"/>
          <w:u w:val="single"/>
          <w14:textFill>
            <w14:solidFill>
              <w14:schemeClr w14:val="tx1"/>
            </w14:solidFill>
          </w14:textFill>
        </w:rPr>
        <w:t>按照中国人民银行同期同类贷款基准利率计算</w:t>
      </w:r>
      <w:r>
        <w:rPr>
          <w:rFonts w:hint="eastAsia" w:ascii="宋体" w:hAnsi="宋体" w:cs="宋体"/>
          <w:color w:val="000000" w:themeColor="text1"/>
          <w:sz w:val="24"/>
          <w:szCs w:val="24"/>
          <w:highlight w:val="none"/>
          <w14:textFill>
            <w14:solidFill>
              <w14:schemeClr w14:val="tx1"/>
            </w14:solidFill>
          </w14:textFill>
        </w:rPr>
        <w:t>。</w:t>
      </w:r>
    </w:p>
    <w:p w14:paraId="29BD0FEE">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12.4.6 支付分解表的编制</w:t>
      </w:r>
    </w:p>
    <w:p w14:paraId="40C87461">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2、总价合同支付分解表的编制与审批：</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sz w:val="24"/>
          <w:szCs w:val="24"/>
          <w:highlight w:val="none"/>
          <w14:textFill>
            <w14:solidFill>
              <w14:schemeClr w14:val="tx1"/>
            </w14:solidFill>
          </w14:textFill>
        </w:rPr>
        <w:t>。</w:t>
      </w:r>
    </w:p>
    <w:p w14:paraId="6814965A">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3、单价合同的总价项目支付分解表的编制与审批：</w:t>
      </w:r>
      <w:r>
        <w:rPr>
          <w:rFonts w:hint="eastAsia" w:ascii="宋体" w:hAnsi="宋体" w:cs="宋体"/>
          <w:color w:val="000000" w:themeColor="text1"/>
          <w:sz w:val="24"/>
          <w:szCs w:val="24"/>
          <w:highlight w:val="none"/>
          <w:u w:val="single"/>
          <w14:textFill>
            <w14:solidFill>
              <w14:schemeClr w14:val="tx1"/>
            </w14:solidFill>
          </w14:textFill>
        </w:rPr>
        <w:t>单价合同中的总价项目按月进行支付分解，并汇总列入当期进度付款申请单</w:t>
      </w:r>
      <w:r>
        <w:rPr>
          <w:rFonts w:hint="eastAsia" w:ascii="宋体" w:hAnsi="宋体" w:cs="宋体"/>
          <w:color w:val="000000" w:themeColor="text1"/>
          <w:sz w:val="24"/>
          <w:szCs w:val="24"/>
          <w:highlight w:val="none"/>
          <w14:textFill>
            <w14:solidFill>
              <w14:schemeClr w14:val="tx1"/>
            </w14:solidFill>
          </w14:textFill>
        </w:rPr>
        <w:t>。</w:t>
      </w:r>
    </w:p>
    <w:p w14:paraId="189C5884">
      <w:pPr>
        <w:spacing w:line="360" w:lineRule="auto"/>
        <w:ind w:firstLine="480" w:firstLineChars="200"/>
        <w:outlineLvl w:val="9"/>
        <w:rPr>
          <w:rFonts w:ascii="宋体" w:hAnsi="宋体" w:eastAsia="宋体" w:cs="宋体"/>
          <w:bCs/>
          <w:color w:val="000000" w:themeColor="text1"/>
          <w:sz w:val="24"/>
          <w:highlight w:val="none"/>
          <w14:textFill>
            <w14:solidFill>
              <w14:schemeClr w14:val="tx1"/>
            </w14:solidFill>
          </w14:textFill>
        </w:rPr>
      </w:pPr>
      <w:bookmarkStart w:id="534" w:name="_Toc351203645"/>
      <w:bookmarkStart w:id="535" w:name="_Toc300935015"/>
      <w:bookmarkStart w:id="536" w:name="_Toc297048405"/>
      <w:bookmarkStart w:id="537" w:name="_Toc297120519"/>
      <w:bookmarkStart w:id="538" w:name="_Toc304295593"/>
      <w:bookmarkStart w:id="539" w:name="_Toc303539172"/>
      <w:bookmarkStart w:id="540" w:name="_Toc297123564"/>
      <w:bookmarkStart w:id="541" w:name="_Toc296347218"/>
      <w:bookmarkStart w:id="542" w:name="_Toc296891047"/>
      <w:bookmarkStart w:id="543" w:name="_Toc292559424"/>
      <w:bookmarkStart w:id="544" w:name="_Toc297216223"/>
      <w:bookmarkStart w:id="545" w:name="_Toc296346720"/>
      <w:bookmarkStart w:id="546" w:name="_Toc296503219"/>
      <w:bookmarkStart w:id="547" w:name="_Toc296891259"/>
      <w:bookmarkStart w:id="548" w:name="_Toc292559929"/>
      <w:bookmarkStart w:id="549" w:name="_Toc296944558"/>
      <w:bookmarkStart w:id="550" w:name="_Toc312678053"/>
      <w:r>
        <w:rPr>
          <w:rFonts w:hint="eastAsia" w:ascii="宋体" w:hAnsi="宋体" w:eastAsia="宋体" w:cs="宋体"/>
          <w:bCs/>
          <w:color w:val="000000" w:themeColor="text1"/>
          <w:sz w:val="24"/>
          <w:szCs w:val="24"/>
          <w:highlight w:val="none"/>
          <w14:textFill>
            <w14:solidFill>
              <w14:schemeClr w14:val="tx1"/>
            </w14:solidFill>
          </w14:textFill>
        </w:rPr>
        <w:t>13. 验收和工程试车</w:t>
      </w:r>
      <w:bookmarkEnd w:id="534"/>
    </w:p>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p w14:paraId="6D62BA80">
      <w:pPr>
        <w:spacing w:after="120"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13.1 分部分项工程验收</w:t>
      </w:r>
    </w:p>
    <w:p w14:paraId="5595767C">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13.1.2监理人不能按时进行验收时，应提前</w:t>
      </w:r>
      <w:r>
        <w:rPr>
          <w:rFonts w:hint="eastAsia" w:ascii="宋体" w:hAnsi="宋体" w:cs="宋体"/>
          <w:color w:val="000000" w:themeColor="text1"/>
          <w:sz w:val="24"/>
          <w:szCs w:val="24"/>
          <w:highlight w:val="none"/>
          <w:u w:val="single"/>
          <w14:textFill>
            <w14:solidFill>
              <w14:schemeClr w14:val="tx1"/>
            </w14:solidFill>
          </w14:textFill>
        </w:rPr>
        <w:t>24</w:t>
      </w:r>
      <w:r>
        <w:rPr>
          <w:rFonts w:hint="eastAsia" w:ascii="宋体" w:hAnsi="宋体" w:cs="宋体"/>
          <w:color w:val="000000" w:themeColor="text1"/>
          <w:sz w:val="24"/>
          <w:szCs w:val="24"/>
          <w:highlight w:val="none"/>
          <w14:textFill>
            <w14:solidFill>
              <w14:schemeClr w14:val="tx1"/>
            </w14:solidFill>
          </w14:textFill>
        </w:rPr>
        <w:t>小时提交书面延期要求。</w:t>
      </w:r>
    </w:p>
    <w:p w14:paraId="73E9F51F">
      <w:pPr>
        <w:spacing w:line="360" w:lineRule="auto"/>
        <w:ind w:firstLine="480" w:firstLineChars="200"/>
        <w:jc w:val="left"/>
        <w:outlineLvl w:val="9"/>
        <w:rPr>
          <w:rFonts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关于延期最长不得超过：</w:t>
      </w:r>
      <w:r>
        <w:rPr>
          <w:rFonts w:hint="eastAsia" w:ascii="宋体" w:hAnsi="宋体" w:cs="宋体"/>
          <w:color w:val="000000" w:themeColor="text1"/>
          <w:sz w:val="24"/>
          <w:szCs w:val="24"/>
          <w:highlight w:val="none"/>
          <w:u w:val="single"/>
          <w14:textFill>
            <w14:solidFill>
              <w14:schemeClr w14:val="tx1"/>
            </w14:solidFill>
          </w14:textFill>
        </w:rPr>
        <w:t>48</w:t>
      </w:r>
      <w:r>
        <w:rPr>
          <w:rFonts w:hint="eastAsia" w:ascii="宋体" w:hAnsi="宋体" w:cs="宋体"/>
          <w:color w:val="000000" w:themeColor="text1"/>
          <w:sz w:val="24"/>
          <w:szCs w:val="24"/>
          <w:highlight w:val="none"/>
          <w14:textFill>
            <w14:solidFill>
              <w14:schemeClr w14:val="tx1"/>
            </w14:solidFill>
          </w14:textFill>
        </w:rPr>
        <w:t>小时。</w:t>
      </w:r>
    </w:p>
    <w:p w14:paraId="1F0436B6">
      <w:pPr>
        <w:spacing w:after="120" w:line="360" w:lineRule="auto"/>
        <w:ind w:firstLine="480" w:firstLineChars="200"/>
        <w:outlineLvl w:val="9"/>
        <w:rPr>
          <w:rFonts w:ascii="宋体" w:hAnsi="宋体" w:cs="宋体"/>
          <w:color w:val="000000" w:themeColor="text1"/>
          <w:sz w:val="24"/>
          <w:highlight w:val="none"/>
          <w14:textFill>
            <w14:solidFill>
              <w14:schemeClr w14:val="tx1"/>
            </w14:solidFill>
          </w14:textFill>
        </w:rPr>
      </w:pPr>
      <w:bookmarkStart w:id="551" w:name="_Toc297120523"/>
      <w:bookmarkStart w:id="552" w:name="_Toc304295596"/>
      <w:bookmarkStart w:id="553" w:name="_Toc292559428"/>
      <w:bookmarkStart w:id="554" w:name="_Toc296891051"/>
      <w:bookmarkStart w:id="555" w:name="_Toc292559933"/>
      <w:bookmarkStart w:id="556" w:name="_Toc303539173"/>
      <w:bookmarkStart w:id="557" w:name="_Toc296503223"/>
      <w:bookmarkStart w:id="558" w:name="_Toc297048409"/>
      <w:bookmarkStart w:id="559" w:name="_Toc312678056"/>
      <w:bookmarkStart w:id="560" w:name="_Toc296944562"/>
      <w:bookmarkStart w:id="561" w:name="_Toc297216224"/>
      <w:bookmarkStart w:id="562" w:name="_Toc296891263"/>
      <w:bookmarkStart w:id="563" w:name="_Toc297123565"/>
      <w:bookmarkStart w:id="564" w:name="_Toc296347222"/>
      <w:bookmarkStart w:id="565" w:name="_Toc300935016"/>
      <w:bookmarkStart w:id="566" w:name="_Toc296346724"/>
      <w:bookmarkStart w:id="567" w:name="_Toc267251470"/>
      <w:bookmarkStart w:id="568" w:name="_Toc267251473"/>
      <w:bookmarkStart w:id="569" w:name="_Toc267251471"/>
      <w:bookmarkStart w:id="570" w:name="_Toc267251476"/>
      <w:bookmarkStart w:id="571" w:name="_Toc267251475"/>
      <w:bookmarkStart w:id="572" w:name="_Toc267251472"/>
      <w:bookmarkStart w:id="573" w:name="_Toc267251474"/>
      <w:r>
        <w:rPr>
          <w:rFonts w:hint="eastAsia" w:ascii="宋体" w:hAnsi="宋体" w:cs="宋体"/>
          <w:color w:val="000000" w:themeColor="text1"/>
          <w:sz w:val="24"/>
          <w:szCs w:val="24"/>
          <w:highlight w:val="none"/>
          <w14:textFill>
            <w14:solidFill>
              <w14:schemeClr w14:val="tx1"/>
            </w14:solidFill>
          </w14:textFill>
        </w:rPr>
        <w:t>13.2 竣工验收</w:t>
      </w:r>
    </w:p>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p w14:paraId="4EB3402A">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bookmarkStart w:id="574" w:name="_Toc280868704"/>
      <w:bookmarkStart w:id="575" w:name="_Toc280868705"/>
      <w:bookmarkStart w:id="576" w:name="_Toc280868706"/>
      <w:bookmarkStart w:id="577" w:name="_Toc280868707"/>
      <w:bookmarkStart w:id="578" w:name="_Toc280868708"/>
      <w:bookmarkStart w:id="579" w:name="_Toc280868709"/>
      <w:r>
        <w:rPr>
          <w:rFonts w:hint="eastAsia" w:ascii="宋体" w:hAnsi="宋体" w:cs="宋体"/>
          <w:color w:val="000000" w:themeColor="text1"/>
          <w:sz w:val="24"/>
          <w:szCs w:val="24"/>
          <w:highlight w:val="none"/>
          <w14:textFill>
            <w14:solidFill>
              <w14:schemeClr w14:val="tx1"/>
            </w14:solidFill>
          </w14:textFill>
        </w:rPr>
        <w:t>13.2.2竣工验收程序</w:t>
      </w:r>
    </w:p>
    <w:bookmarkEnd w:id="574"/>
    <w:p w14:paraId="56EA8C6B">
      <w:pPr>
        <w:spacing w:line="360" w:lineRule="auto"/>
        <w:ind w:firstLine="480" w:firstLineChars="200"/>
        <w:jc w:val="left"/>
        <w:outlineLvl w:val="9"/>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关于竣工验收程序的约定：</w:t>
      </w:r>
      <w:r>
        <w:rPr>
          <w:rFonts w:hint="eastAsia" w:ascii="宋体" w:hAnsi="宋体" w:cs="宋体"/>
          <w:color w:val="000000" w:themeColor="text1"/>
          <w:sz w:val="24"/>
          <w:szCs w:val="24"/>
          <w:highlight w:val="none"/>
          <w:u w:val="single"/>
          <w14:textFill>
            <w14:solidFill>
              <w14:schemeClr w14:val="tx1"/>
            </w14:solidFill>
          </w14:textFill>
        </w:rPr>
        <w:t>（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p>
    <w:p w14:paraId="4DAD1DF6">
      <w:pPr>
        <w:spacing w:line="360" w:lineRule="auto"/>
        <w:ind w:firstLine="480" w:firstLineChars="200"/>
        <w:jc w:val="left"/>
        <w:outlineLvl w:val="9"/>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2）监理人审查后认为已具备竣工验收条件的，应将竣工验收申请报告提交发包人，发包人应在收到经监理人审核的竣工验收申请报告后28天内审批完毕并组织监理人、承包人、勘察、设计人等相关单位完成竣工验收。</w:t>
      </w:r>
    </w:p>
    <w:p w14:paraId="377D3BE6">
      <w:pPr>
        <w:spacing w:line="360" w:lineRule="auto"/>
        <w:ind w:firstLine="480" w:firstLineChars="200"/>
        <w:jc w:val="left"/>
        <w:outlineLvl w:val="9"/>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（3）竣工验收合格的，发包人应在验收合格后14天内向承包人签发工程接收证书。发包人无正当理由逾期不颁发工程接收证书的，自验收合格后第15天起视为已颁发工程接收证书。</w:t>
      </w:r>
    </w:p>
    <w:p w14:paraId="6CC0CC31">
      <w:pPr>
        <w:spacing w:line="360" w:lineRule="auto"/>
        <w:ind w:firstLine="480" w:firstLineChars="200"/>
        <w:jc w:val="left"/>
        <w:outlineLvl w:val="9"/>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4）竣工验收不合格的，监理人应按照验收意见发出指示，要求承包人对不合格工程返工、修复或采取其他补救措施，由此增加的费用和延误的工期由承包人承担。承包人在完成不合格工程的返工、修复或采取其他补救措施后，应重新提交竣工验收申请报告，并按本项约定的程序重新进行验收。</w:t>
      </w:r>
    </w:p>
    <w:p w14:paraId="6C65D3D6">
      <w:pPr>
        <w:spacing w:line="360" w:lineRule="auto"/>
        <w:ind w:firstLine="480" w:firstLineChars="200"/>
        <w:jc w:val="left"/>
        <w:outlineLvl w:val="9"/>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（5）工程未经验收或验收不合格，发包人擅自使用的，应在转移占有工程后7天内向承包人颁发工程接收证书；发包人无正当理由逾期不颁发工程接收证书的，自转移占有后第15天起视为已颁发工程接收证书。</w:t>
      </w:r>
    </w:p>
    <w:p w14:paraId="41CACFF5">
      <w:pPr>
        <w:spacing w:line="360" w:lineRule="auto"/>
        <w:ind w:firstLine="480" w:firstLineChars="200"/>
        <w:jc w:val="left"/>
        <w:outlineLvl w:val="9"/>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发包人不按照本项约定组织竣工验收、颁发工程接收证书的违约金的计算方法：</w:t>
      </w:r>
      <w:r>
        <w:rPr>
          <w:rFonts w:hint="eastAsia" w:ascii="宋体" w:hAnsi="宋体" w:cs="宋体"/>
          <w:color w:val="000000" w:themeColor="text1"/>
          <w:sz w:val="24"/>
          <w:szCs w:val="24"/>
          <w:highlight w:val="none"/>
          <w:u w:val="single"/>
          <w14:textFill>
            <w14:solidFill>
              <w14:schemeClr w14:val="tx1"/>
            </w14:solidFill>
          </w14:textFill>
        </w:rPr>
        <w:t>每逾期一天，应以签约合同价为基数，按照中国人民银行发布的同期同类贷款基准利率支付违约金</w:t>
      </w:r>
      <w:r>
        <w:rPr>
          <w:rFonts w:hint="eastAsia" w:ascii="宋体" w:hAnsi="宋体" w:cs="宋体"/>
          <w:color w:val="000000" w:themeColor="text1"/>
          <w:sz w:val="24"/>
          <w:szCs w:val="24"/>
          <w:highlight w:val="none"/>
          <w14:textFill>
            <w14:solidFill>
              <w14:schemeClr w14:val="tx1"/>
            </w14:solidFill>
          </w14:textFill>
        </w:rPr>
        <w:t>。</w:t>
      </w:r>
    </w:p>
    <w:bookmarkEnd w:id="575"/>
    <w:p w14:paraId="2FE1A848">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13.2.5移交、接收全部与部分工程</w:t>
      </w:r>
    </w:p>
    <w:bookmarkEnd w:id="576"/>
    <w:p w14:paraId="58F14F31">
      <w:pPr>
        <w:spacing w:line="360" w:lineRule="auto"/>
        <w:ind w:firstLine="480" w:firstLineChars="200"/>
        <w:jc w:val="left"/>
        <w:outlineLvl w:val="9"/>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承包人向发包人移交工程的期限：</w:t>
      </w:r>
      <w:r>
        <w:rPr>
          <w:rFonts w:hint="eastAsia" w:ascii="宋体" w:hAnsi="宋体" w:cs="宋体"/>
          <w:color w:val="000000" w:themeColor="text1"/>
          <w:sz w:val="24"/>
          <w:szCs w:val="24"/>
          <w:highlight w:val="none"/>
          <w:u w:val="single"/>
          <w14:textFill>
            <w14:solidFill>
              <w14:schemeClr w14:val="tx1"/>
            </w14:solidFill>
          </w14:textFill>
        </w:rPr>
        <w:t>自竣工验收合格之日起20天内</w:t>
      </w:r>
      <w:r>
        <w:rPr>
          <w:rFonts w:hint="eastAsia" w:ascii="宋体" w:hAnsi="宋体" w:cs="宋体"/>
          <w:color w:val="000000" w:themeColor="text1"/>
          <w:sz w:val="24"/>
          <w:szCs w:val="24"/>
          <w:highlight w:val="none"/>
          <w14:textFill>
            <w14:solidFill>
              <w14:schemeClr w14:val="tx1"/>
            </w14:solidFill>
          </w14:textFill>
        </w:rPr>
        <w:t>。</w:t>
      </w:r>
    </w:p>
    <w:p w14:paraId="502B0DDC">
      <w:pPr>
        <w:spacing w:line="360" w:lineRule="auto"/>
        <w:ind w:firstLine="480" w:firstLineChars="200"/>
        <w:jc w:val="left"/>
        <w:outlineLvl w:val="9"/>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发包人未按本合同约定接收全部或部分工程的，违约金的计算方法为：</w:t>
      </w:r>
      <w:r>
        <w:rPr>
          <w:rFonts w:hint="eastAsia" w:ascii="宋体" w:hAnsi="宋体" w:cs="宋体"/>
          <w:color w:val="000000" w:themeColor="text1"/>
          <w:sz w:val="24"/>
          <w:szCs w:val="24"/>
          <w:highlight w:val="none"/>
          <w:u w:val="single"/>
          <w14:textFill>
            <w14:solidFill>
              <w14:schemeClr w14:val="tx1"/>
            </w14:solidFill>
          </w14:textFill>
        </w:rPr>
        <w:t>按照中国人民银行发布的同期同类贷款基准利率支付违约金</w:t>
      </w:r>
      <w:r>
        <w:rPr>
          <w:rFonts w:hint="eastAsia" w:ascii="宋体" w:hAnsi="宋体" w:cs="宋体"/>
          <w:color w:val="000000" w:themeColor="text1"/>
          <w:sz w:val="24"/>
          <w:szCs w:val="24"/>
          <w:highlight w:val="none"/>
          <w14:textFill>
            <w14:solidFill>
              <w14:schemeClr w14:val="tx1"/>
            </w14:solidFill>
          </w14:textFill>
        </w:rPr>
        <w:t>。</w:t>
      </w:r>
    </w:p>
    <w:bookmarkEnd w:id="577"/>
    <w:p w14:paraId="5B819EF5">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承包人未按时移交工程的，违约金的计算方法为：</w:t>
      </w:r>
      <w:r>
        <w:rPr>
          <w:rFonts w:hint="eastAsia" w:ascii="宋体" w:hAnsi="宋体" w:cs="宋体"/>
          <w:color w:val="000000" w:themeColor="text1"/>
          <w:sz w:val="24"/>
          <w:szCs w:val="24"/>
          <w:highlight w:val="none"/>
          <w:u w:val="single"/>
          <w14:textFill>
            <w14:solidFill>
              <w14:schemeClr w14:val="tx1"/>
            </w14:solidFill>
          </w14:textFill>
        </w:rPr>
        <w:t>如承包人不能及时拆除或清理，对于占用的范围发包人将收取100元/平方米·天的租金，发包人有权派人强行拆除并清理，造成的费用和损失由承包人承担</w:t>
      </w:r>
      <w:r>
        <w:rPr>
          <w:rFonts w:hint="eastAsia" w:ascii="宋体" w:hAnsi="宋体" w:cs="宋体"/>
          <w:color w:val="000000" w:themeColor="text1"/>
          <w:sz w:val="24"/>
          <w:szCs w:val="24"/>
          <w:highlight w:val="none"/>
          <w14:textFill>
            <w14:solidFill>
              <w14:schemeClr w14:val="tx1"/>
            </w14:solidFill>
          </w14:textFill>
        </w:rPr>
        <w:t>。</w:t>
      </w:r>
    </w:p>
    <w:p w14:paraId="6EB2D6ED">
      <w:pPr>
        <w:spacing w:after="120"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13.3 工程试车</w:t>
      </w:r>
    </w:p>
    <w:bookmarkEnd w:id="578"/>
    <w:p w14:paraId="6E81ECBA">
      <w:pPr>
        <w:spacing w:line="360" w:lineRule="auto"/>
        <w:ind w:firstLine="480" w:firstLineChars="200"/>
        <w:jc w:val="left"/>
        <w:outlineLvl w:val="9"/>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13.3.1 试车程序</w:t>
      </w:r>
    </w:p>
    <w:p w14:paraId="0FDD7594">
      <w:pPr>
        <w:spacing w:line="360" w:lineRule="auto"/>
        <w:ind w:firstLine="480" w:firstLineChars="200"/>
        <w:jc w:val="left"/>
        <w:outlineLvl w:val="9"/>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工程试车内容：</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w:t>
      </w:r>
    </w:p>
    <w:p w14:paraId="4DEB2ECB">
      <w:pPr>
        <w:spacing w:line="360" w:lineRule="auto"/>
        <w:ind w:firstLine="480" w:firstLineChars="200"/>
        <w:jc w:val="left"/>
        <w:outlineLvl w:val="9"/>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（1）单机无负荷试车费用由</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kern w:val="0"/>
          <w:sz w:val="24"/>
          <w:szCs w:val="24"/>
          <w:highlight w:val="none"/>
          <w14:textFill>
            <w14:solidFill>
              <w14:schemeClr w14:val="tx1"/>
            </w14:solidFill>
          </w14:textFill>
        </w:rPr>
        <w:t>承担；</w:t>
      </w:r>
    </w:p>
    <w:p w14:paraId="65531F86">
      <w:pPr>
        <w:spacing w:line="360" w:lineRule="auto"/>
        <w:ind w:firstLine="480" w:firstLineChars="200"/>
        <w:jc w:val="left"/>
        <w:outlineLvl w:val="9"/>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（2）无负荷联动试车费用由</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kern w:val="0"/>
          <w:sz w:val="24"/>
          <w:szCs w:val="24"/>
          <w:highlight w:val="none"/>
          <w14:textFill>
            <w14:solidFill>
              <w14:schemeClr w14:val="tx1"/>
            </w14:solidFill>
          </w14:textFill>
        </w:rPr>
        <w:t>承担。</w:t>
      </w:r>
    </w:p>
    <w:p w14:paraId="108C79DB">
      <w:pPr>
        <w:spacing w:line="360" w:lineRule="auto"/>
        <w:ind w:firstLine="480" w:firstLineChars="200"/>
        <w:jc w:val="left"/>
        <w:outlineLvl w:val="9"/>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13.3.3 投料试车</w:t>
      </w:r>
    </w:p>
    <w:p w14:paraId="6080FEC3">
      <w:pPr>
        <w:spacing w:line="360" w:lineRule="auto"/>
        <w:ind w:firstLine="480" w:firstLineChars="200"/>
        <w:jc w:val="left"/>
        <w:outlineLvl w:val="9"/>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关于投料试车相关事项的约定：</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sz w:val="24"/>
          <w:szCs w:val="24"/>
          <w:highlight w:val="none"/>
          <w14:textFill>
            <w14:solidFill>
              <w14:schemeClr w14:val="tx1"/>
            </w14:solidFill>
          </w14:textFill>
        </w:rPr>
        <w:t>。</w:t>
      </w:r>
    </w:p>
    <w:p w14:paraId="31FAABE3">
      <w:pPr>
        <w:spacing w:after="120"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13.6 竣工退场</w:t>
      </w:r>
    </w:p>
    <w:p w14:paraId="098388CD">
      <w:pPr>
        <w:spacing w:line="360" w:lineRule="auto"/>
        <w:ind w:firstLine="480" w:firstLineChars="200"/>
        <w:jc w:val="left"/>
        <w:outlineLvl w:val="9"/>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13.6.1 竣工退场</w:t>
      </w:r>
    </w:p>
    <w:p w14:paraId="57994D4F">
      <w:pPr>
        <w:spacing w:line="360" w:lineRule="auto"/>
        <w:ind w:firstLine="480" w:firstLineChars="200"/>
        <w:jc w:val="left"/>
        <w:outlineLvl w:val="9"/>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承包人完成竣工退场的期限：</w:t>
      </w:r>
      <w:r>
        <w:rPr>
          <w:rFonts w:hint="eastAsia" w:ascii="宋体" w:hAnsi="宋体" w:cs="宋体"/>
          <w:color w:val="000000" w:themeColor="text1"/>
          <w:sz w:val="24"/>
          <w:szCs w:val="24"/>
          <w:highlight w:val="none"/>
          <w:u w:val="single"/>
          <w14:textFill>
            <w14:solidFill>
              <w14:schemeClr w14:val="tx1"/>
            </w14:solidFill>
          </w14:textFill>
        </w:rPr>
        <w:t>自验收结束之日起20天内承包人将工程移交给发包人，撤出全部临建、施工人员、施工机械和剩余材料，并将施工现场及临时占地范围内的所有场地清理干净。</w:t>
      </w:r>
    </w:p>
    <w:p w14:paraId="1C9CDE12">
      <w:pPr>
        <w:spacing w:line="360" w:lineRule="auto"/>
        <w:ind w:firstLine="480" w:firstLineChars="200"/>
        <w:outlineLvl w:val="9"/>
        <w:rPr>
          <w:rFonts w:ascii="宋体" w:hAnsi="宋体" w:eastAsia="宋体" w:cs="宋体"/>
          <w:bCs/>
          <w:color w:val="000000" w:themeColor="text1"/>
          <w:sz w:val="24"/>
          <w:highlight w:val="none"/>
          <w14:textFill>
            <w14:solidFill>
              <w14:schemeClr w14:val="tx1"/>
            </w14:solidFill>
          </w14:textFill>
        </w:rPr>
      </w:pPr>
      <w:bookmarkStart w:id="580" w:name="_Toc351203646"/>
      <w:r>
        <w:rPr>
          <w:rFonts w:hint="eastAsia" w:ascii="宋体" w:hAnsi="宋体" w:eastAsia="宋体" w:cs="宋体"/>
          <w:bCs/>
          <w:color w:val="000000" w:themeColor="text1"/>
          <w:sz w:val="24"/>
          <w:szCs w:val="24"/>
          <w:highlight w:val="none"/>
          <w14:textFill>
            <w14:solidFill>
              <w14:schemeClr w14:val="tx1"/>
            </w14:solidFill>
          </w14:textFill>
        </w:rPr>
        <w:t>14. 竣工结算</w:t>
      </w:r>
      <w:bookmarkEnd w:id="580"/>
    </w:p>
    <w:p w14:paraId="210F7016">
      <w:pPr>
        <w:spacing w:after="120"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14.1 竣工结算申请</w:t>
      </w:r>
    </w:p>
    <w:p w14:paraId="4DE61765">
      <w:pPr>
        <w:spacing w:line="360" w:lineRule="auto"/>
        <w:ind w:firstLine="480" w:firstLineChars="200"/>
        <w:jc w:val="left"/>
        <w:outlineLvl w:val="9"/>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承包人提交竣工结算申请单的期限：</w:t>
      </w:r>
      <w:r>
        <w:rPr>
          <w:rFonts w:hint="eastAsia" w:ascii="宋体" w:hAnsi="宋体" w:cs="宋体"/>
          <w:color w:val="000000" w:themeColor="text1"/>
          <w:sz w:val="24"/>
          <w:szCs w:val="24"/>
          <w:highlight w:val="none"/>
          <w:u w:val="single"/>
          <w14:textFill>
            <w14:solidFill>
              <w14:schemeClr w14:val="tx1"/>
            </w14:solidFill>
          </w14:textFill>
        </w:rPr>
        <w:t>承包人应在工程竣工验收合格后28天内向发包人和监理人提交竣工结算申请单，并提交完整的结算资料。</w:t>
      </w:r>
    </w:p>
    <w:p w14:paraId="57A47F08">
      <w:pPr>
        <w:spacing w:line="360" w:lineRule="auto"/>
        <w:ind w:firstLine="480" w:firstLineChars="200"/>
        <w:jc w:val="left"/>
        <w:outlineLvl w:val="9"/>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审计过程中发包人不再接受承包人提交的任何补充资料，所有遗漏的结算资料均视为承包人做出的优惠，如承包人在两个月内不能交付上述文件资料，则当年不予结算。</w:t>
      </w:r>
    </w:p>
    <w:p w14:paraId="6DF5E2E1">
      <w:pPr>
        <w:spacing w:line="360" w:lineRule="auto"/>
        <w:ind w:firstLine="480" w:firstLineChars="200"/>
        <w:jc w:val="left"/>
        <w:outlineLvl w:val="9"/>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本工程实行项目施工过程的跟踪审计，涉及工程价款变化和调整的所有资料，未经项目跟踪审计人员签字确认，一律不得作为调整竣工结算价款的依据。</w:t>
      </w:r>
    </w:p>
    <w:p w14:paraId="02D3402C">
      <w:pPr>
        <w:spacing w:line="360" w:lineRule="auto"/>
        <w:ind w:firstLine="480" w:firstLineChars="200"/>
        <w:jc w:val="left"/>
        <w:outlineLvl w:val="9"/>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本项目竣工结算必须按省住建厅《省住房城乡建设厅关于建筑业实施营改增后江苏省建设工程计价依据调整的通知》（苏建价〔2016〕154号）文件规定执行，采用一般计税方法计算增值税。</w:t>
      </w:r>
    </w:p>
    <w:p w14:paraId="1DB16247">
      <w:pPr>
        <w:spacing w:line="360" w:lineRule="auto"/>
        <w:ind w:firstLine="480" w:firstLineChars="200"/>
        <w:jc w:val="left"/>
        <w:outlineLvl w:val="9"/>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竣工结算申请单应包括的内容：</w:t>
      </w:r>
      <w:r>
        <w:rPr>
          <w:rFonts w:hint="eastAsia" w:ascii="宋体" w:hAnsi="宋体" w:cs="宋体"/>
          <w:color w:val="000000" w:themeColor="text1"/>
          <w:sz w:val="24"/>
          <w:szCs w:val="24"/>
          <w:highlight w:val="none"/>
          <w:u w:val="single"/>
          <w14:textFill>
            <w14:solidFill>
              <w14:schemeClr w14:val="tx1"/>
            </w14:solidFill>
          </w14:textFill>
        </w:rPr>
        <w:t>结算总价、已支付的工程价款、应支付的竣工付款金额等。如有其它需要，另行协商。承包人应保证竣工结算的确性，如施工单位所报结算经审计后，若审减额(送审额与审定额之差)超过5% (含5%)时(包含图纸变更、材料核价、签证变更核价、合同外增加项目核价等一切中途变更审计内容)的审计费用全部由承包人支付，审计费的计取标准按照苏价服2014 (383)号文件中工程结算审核的计费标准计取（含基本收费和效益收费）并由承包人直接支付给结算审计咨询单位。结算过程中，审计部门通知承包人核对工程结算，承包人应主动积极配合结算审计工作，如发生不予配合的情况处以5000元/次违约金。</w:t>
      </w:r>
    </w:p>
    <w:p w14:paraId="265FBEB2">
      <w:pPr>
        <w:spacing w:after="120"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14.2 竣工结算审核</w:t>
      </w:r>
    </w:p>
    <w:p w14:paraId="213DE8BF">
      <w:pPr>
        <w:spacing w:line="360" w:lineRule="auto"/>
        <w:ind w:firstLine="480" w:firstLineChars="200"/>
        <w:jc w:val="left"/>
        <w:outlineLvl w:val="9"/>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发包人审批竣工付款申请单的期限：</w:t>
      </w:r>
      <w:r>
        <w:rPr>
          <w:rFonts w:hint="eastAsia" w:ascii="宋体" w:hAnsi="宋体" w:cs="宋体"/>
          <w:color w:val="000000" w:themeColor="text1"/>
          <w:sz w:val="24"/>
          <w:szCs w:val="24"/>
          <w:highlight w:val="none"/>
          <w:u w:val="single"/>
          <w14:textFill>
            <w14:solidFill>
              <w14:schemeClr w14:val="tx1"/>
            </w14:solidFill>
          </w14:textFill>
        </w:rPr>
        <w:t>合同工程完工后，承包人应在竣工验收合格之日起28天内向发包人提交竣工结算报告和完整的竣工结算资料。发包人应在收到承包人提交的竣工结算报告和完整的竣工结算资料后45天内进行审核（或委托审核），并提出初审意见。双方遵守下列规定：</w:t>
      </w:r>
    </w:p>
    <w:p w14:paraId="0C7B15DF">
      <w:pPr>
        <w:spacing w:line="360" w:lineRule="auto"/>
        <w:ind w:firstLine="480" w:firstLineChars="200"/>
        <w:jc w:val="left"/>
        <w:outlineLvl w:val="9"/>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1) 发包人、承包人对初审结果无异议的，应在7天内在竣工结算文件上签字确认，竣工结算办理完毕；</w:t>
      </w:r>
    </w:p>
    <w:p w14:paraId="1EDAC598">
      <w:pPr>
        <w:spacing w:line="360" w:lineRule="auto"/>
        <w:ind w:firstLine="480" w:firstLineChars="200"/>
        <w:jc w:val="left"/>
        <w:outlineLvl w:val="9"/>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2) 发包人或承包人对初审结果有异议的，无异议部分可按照前款规定办理不完全竣工结算，有异议部分由发承包双方协商解决；协商不成的，按照合同约定的争议解决方式处理；</w:t>
      </w:r>
    </w:p>
    <w:p w14:paraId="13D1CC39">
      <w:pPr>
        <w:spacing w:line="360" w:lineRule="auto"/>
        <w:ind w:firstLine="480" w:firstLineChars="200"/>
        <w:jc w:val="left"/>
        <w:outlineLvl w:val="9"/>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3）如承包人自收到初审报告后10天内拒不在竣工结算文件上签署确认，也不能提出具体、详细的不同意见，视同承包人无异议。发包人要求办理竣工验收备案的，承包人不得拒绝提供竣工验收资料，否则，由此造成的损失，承包人承担相应责任；</w:t>
      </w:r>
    </w:p>
    <w:p w14:paraId="050E2632">
      <w:pPr>
        <w:pStyle w:val="24"/>
        <w:ind w:firstLine="480"/>
        <w:outlineLvl w:val="9"/>
        <w:rPr>
          <w:color w:val="000000" w:themeColor="text1"/>
          <w:highlight w:val="none"/>
          <w14:textFill>
            <w14:solidFill>
              <w14:schemeClr w14:val="tx1"/>
            </w14:solidFill>
          </w14:textFill>
        </w:rPr>
      </w:pPr>
      <w:r>
        <w:rPr>
          <w:rFonts w:hint="eastAsia" w:cs="宋体"/>
          <w:color w:val="000000" w:themeColor="text1"/>
          <w:sz w:val="24"/>
          <w:szCs w:val="24"/>
          <w:highlight w:val="none"/>
          <w:u w:val="single"/>
          <w14:textFill>
            <w14:solidFill>
              <w14:schemeClr w14:val="tx1"/>
            </w14:solidFill>
          </w14:textFill>
        </w:rPr>
        <w:t>4）结算综合单价={（最后投标报价-暂列金额-专业工程暂估价）/（首轮投标报价-暂列金额-专业工程暂估价）}*首轮报价中的综合单价。</w:t>
      </w:r>
    </w:p>
    <w:p w14:paraId="0C46A656">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发包人、承包人对竣工结算审核审计结果无异议的，发包人应在双方签认后14天内，向承包人出具竣工付款证书。</w:t>
      </w:r>
    </w:p>
    <w:p w14:paraId="653DB4A8">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发包人完成竣工付款的期限：</w:t>
      </w:r>
      <w:r>
        <w:rPr>
          <w:rFonts w:hint="eastAsia" w:ascii="宋体" w:hAnsi="宋体" w:cs="宋体"/>
          <w:color w:val="000000" w:themeColor="text1"/>
          <w:sz w:val="24"/>
          <w:szCs w:val="24"/>
          <w:highlight w:val="none"/>
          <w:u w:val="single"/>
          <w14:textFill>
            <w14:solidFill>
              <w14:schemeClr w14:val="tx1"/>
            </w14:solidFill>
          </w14:textFill>
        </w:rPr>
        <w:t>发包人应在签发竣工付款证书后的14 天内，完成对承包人的竣工付款。发包人逾期支付的，按照中国人民银行发布的同期同类贷款基准利率支付违约金。</w:t>
      </w:r>
    </w:p>
    <w:p w14:paraId="2073544A">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关于竣工付款证书异议部分复核的方式和程序：</w:t>
      </w:r>
      <w:r>
        <w:rPr>
          <w:rFonts w:hint="eastAsia" w:ascii="宋体" w:hAnsi="宋体" w:cs="宋体"/>
          <w:color w:val="000000" w:themeColor="text1"/>
          <w:sz w:val="24"/>
          <w:szCs w:val="24"/>
          <w:highlight w:val="none"/>
          <w:u w:val="single"/>
          <w14:textFill>
            <w14:solidFill>
              <w14:schemeClr w14:val="tx1"/>
            </w14:solidFill>
          </w14:textFill>
        </w:rPr>
        <w:t>对于有异议部分应在收到发包人签认的竣工付款证书后7天内提出异议，并共同委托给第三方或建设工程造价管理部门鉴证，或按照第20条（争议解决）约定处理。</w:t>
      </w:r>
    </w:p>
    <w:p w14:paraId="2B22AF3D">
      <w:pPr>
        <w:spacing w:after="120"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14.4 最终结清</w:t>
      </w:r>
    </w:p>
    <w:p w14:paraId="31F7DA3B">
      <w:pPr>
        <w:spacing w:line="360" w:lineRule="auto"/>
        <w:ind w:firstLine="480" w:firstLineChars="200"/>
        <w:jc w:val="left"/>
        <w:outlineLvl w:val="9"/>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14.4.1 最终结清申请单</w:t>
      </w:r>
    </w:p>
    <w:p w14:paraId="0632106D">
      <w:pPr>
        <w:spacing w:line="360" w:lineRule="auto"/>
        <w:ind w:firstLine="480" w:firstLineChars="200"/>
        <w:jc w:val="left"/>
        <w:outlineLvl w:val="9"/>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承包人提交最终结清申请单的份数：</w:t>
      </w:r>
      <w:r>
        <w:rPr>
          <w:rFonts w:hint="eastAsia" w:ascii="宋体" w:hAnsi="宋体" w:cs="宋体"/>
          <w:color w:val="000000" w:themeColor="text1"/>
          <w:sz w:val="24"/>
          <w:szCs w:val="24"/>
          <w:highlight w:val="none"/>
          <w:u w:val="single"/>
          <w14:textFill>
            <w14:solidFill>
              <w14:schemeClr w14:val="tx1"/>
            </w14:solidFill>
          </w14:textFill>
        </w:rPr>
        <w:t>5份</w:t>
      </w:r>
      <w:r>
        <w:rPr>
          <w:rFonts w:hint="eastAsia" w:ascii="宋体" w:hAnsi="宋体" w:cs="宋体"/>
          <w:color w:val="000000" w:themeColor="text1"/>
          <w:sz w:val="24"/>
          <w:szCs w:val="24"/>
          <w:highlight w:val="none"/>
          <w14:textFill>
            <w14:solidFill>
              <w14:schemeClr w14:val="tx1"/>
            </w14:solidFill>
          </w14:textFill>
        </w:rPr>
        <w:t>。</w:t>
      </w:r>
    </w:p>
    <w:p w14:paraId="66F039DB">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承包人提交最终结算申请单的期限：</w:t>
      </w:r>
      <w:r>
        <w:rPr>
          <w:rFonts w:hint="eastAsia" w:ascii="宋体" w:hAnsi="宋体" w:cs="宋体"/>
          <w:color w:val="000000" w:themeColor="text1"/>
          <w:sz w:val="24"/>
          <w:szCs w:val="24"/>
          <w:highlight w:val="none"/>
          <w:u w:val="single"/>
          <w14:textFill>
            <w14:solidFill>
              <w14:schemeClr w14:val="tx1"/>
            </w14:solidFill>
          </w14:textFill>
        </w:rPr>
        <w:t>承包人应在缺陷责任期终止证书颁发后7天内。</w:t>
      </w:r>
    </w:p>
    <w:p w14:paraId="4995E2CC">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14.4.2 最终结清证书和支付</w:t>
      </w:r>
    </w:p>
    <w:p w14:paraId="7F9786E1">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（1）发包人完成最终结清申请单的审批并颁发最终结清证书的期限：</w:t>
      </w:r>
      <w:r>
        <w:rPr>
          <w:rFonts w:hint="eastAsia" w:ascii="宋体" w:hAnsi="宋体" w:cs="宋体"/>
          <w:color w:val="000000" w:themeColor="text1"/>
          <w:sz w:val="24"/>
          <w:szCs w:val="24"/>
          <w:highlight w:val="none"/>
          <w:u w:val="single"/>
          <w14:textFill>
            <w14:solidFill>
              <w14:schemeClr w14:val="tx1"/>
            </w14:solidFill>
          </w14:textFill>
        </w:rPr>
        <w:t>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r>
        <w:rPr>
          <w:rFonts w:hint="eastAsia" w:ascii="宋体" w:hAnsi="宋体" w:cs="宋体"/>
          <w:color w:val="000000" w:themeColor="text1"/>
          <w:sz w:val="24"/>
          <w:szCs w:val="24"/>
          <w:highlight w:val="none"/>
          <w14:textFill>
            <w14:solidFill>
              <w14:schemeClr w14:val="tx1"/>
            </w14:solidFill>
          </w14:textFill>
        </w:rPr>
        <w:t>。</w:t>
      </w:r>
    </w:p>
    <w:p w14:paraId="20181B8A">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（2）发包人完成支付的期限：</w:t>
      </w:r>
      <w:r>
        <w:rPr>
          <w:rFonts w:hint="eastAsia" w:ascii="宋体" w:hAnsi="宋体" w:cs="宋体"/>
          <w:color w:val="000000" w:themeColor="text1"/>
          <w:sz w:val="24"/>
          <w:szCs w:val="24"/>
          <w:highlight w:val="none"/>
          <w:u w:val="single"/>
          <w14:textFill>
            <w14:solidFill>
              <w14:schemeClr w14:val="tx1"/>
            </w14:solidFill>
          </w14:textFill>
        </w:rPr>
        <w:t>发包人应在颁发最终结清证书后7天内完成支付。发包人逾期支付的，按照中国人民银行发布的同期同类贷款基准利率支付违约金。</w:t>
      </w:r>
    </w:p>
    <w:bookmarkEnd w:id="567"/>
    <w:bookmarkEnd w:id="568"/>
    <w:bookmarkEnd w:id="569"/>
    <w:bookmarkEnd w:id="570"/>
    <w:bookmarkEnd w:id="571"/>
    <w:bookmarkEnd w:id="572"/>
    <w:bookmarkEnd w:id="573"/>
    <w:bookmarkEnd w:id="579"/>
    <w:p w14:paraId="20E270EE">
      <w:pPr>
        <w:spacing w:line="360" w:lineRule="auto"/>
        <w:ind w:firstLine="480" w:firstLineChars="200"/>
        <w:outlineLvl w:val="9"/>
        <w:rPr>
          <w:rFonts w:ascii="宋体" w:hAnsi="宋体" w:eastAsia="宋体" w:cs="宋体"/>
          <w:bCs/>
          <w:color w:val="000000" w:themeColor="text1"/>
          <w:sz w:val="24"/>
          <w:highlight w:val="none"/>
          <w14:textFill>
            <w14:solidFill>
              <w14:schemeClr w14:val="tx1"/>
            </w14:solidFill>
          </w14:textFill>
        </w:rPr>
      </w:pPr>
      <w:bookmarkStart w:id="581" w:name="_Toc351203647"/>
      <w:bookmarkStart w:id="582" w:name="_Toc267251483"/>
      <w:bookmarkStart w:id="583" w:name="_Toc267251482"/>
      <w:bookmarkStart w:id="584" w:name="_Toc267251484"/>
      <w:bookmarkStart w:id="585" w:name="_Toc267251485"/>
      <w:bookmarkStart w:id="586" w:name="_Toc267251489"/>
      <w:bookmarkStart w:id="587" w:name="_Toc267251488"/>
      <w:bookmarkStart w:id="588" w:name="_Toc267251490"/>
      <w:bookmarkStart w:id="589" w:name="_Toc267251486"/>
      <w:bookmarkStart w:id="590" w:name="_Toc267251499"/>
      <w:bookmarkStart w:id="591" w:name="_Toc267251497"/>
      <w:bookmarkStart w:id="592" w:name="_Toc267251502"/>
      <w:bookmarkStart w:id="593" w:name="_Toc267251494"/>
      <w:bookmarkStart w:id="594" w:name="_Toc267251492"/>
      <w:bookmarkStart w:id="595" w:name="_Toc267251493"/>
      <w:bookmarkStart w:id="596" w:name="_Toc267251495"/>
      <w:bookmarkStart w:id="597" w:name="_Toc267251496"/>
      <w:bookmarkStart w:id="598" w:name="_Toc267251491"/>
      <w:bookmarkStart w:id="599" w:name="_Toc267251503"/>
      <w:bookmarkStart w:id="600" w:name="_Toc267251501"/>
      <w:bookmarkStart w:id="601" w:name="_Toc267251498"/>
      <w:bookmarkStart w:id="602" w:name="_Toc267251504"/>
      <w:bookmarkStart w:id="603" w:name="_Toc267251506"/>
      <w:bookmarkStart w:id="604" w:name="_Toc267251507"/>
      <w:bookmarkStart w:id="605" w:name="_Toc267251508"/>
      <w:bookmarkStart w:id="606" w:name="_Toc267251510"/>
      <w:bookmarkStart w:id="607" w:name="_Toc267251513"/>
      <w:bookmarkStart w:id="608" w:name="_Toc267251509"/>
      <w:bookmarkStart w:id="609" w:name="_Toc267251511"/>
      <w:bookmarkStart w:id="610" w:name="_Toc267251514"/>
      <w:bookmarkStart w:id="611" w:name="_Toc267251515"/>
      <w:r>
        <w:rPr>
          <w:rFonts w:hint="eastAsia" w:ascii="宋体" w:hAnsi="宋体" w:eastAsia="宋体" w:cs="宋体"/>
          <w:bCs/>
          <w:color w:val="000000" w:themeColor="text1"/>
          <w:sz w:val="24"/>
          <w:szCs w:val="24"/>
          <w:highlight w:val="none"/>
          <w14:textFill>
            <w14:solidFill>
              <w14:schemeClr w14:val="tx1"/>
            </w14:solidFill>
          </w14:textFill>
        </w:rPr>
        <w:t>15. 缺陷责任期与保修</w:t>
      </w:r>
      <w:bookmarkEnd w:id="581"/>
    </w:p>
    <w:p w14:paraId="165A5ED2">
      <w:pPr>
        <w:spacing w:after="120"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15.2缺陷责任期</w:t>
      </w:r>
      <w:bookmarkEnd w:id="582"/>
    </w:p>
    <w:p w14:paraId="5BF573D2">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缺陷责任期的具体期限：</w:t>
      </w:r>
      <w:r>
        <w:rPr>
          <w:rFonts w:hint="eastAsia" w:ascii="宋体" w:hAnsi="宋体" w:cs="宋体"/>
          <w:color w:val="000000" w:themeColor="text1"/>
          <w:sz w:val="24"/>
          <w:szCs w:val="24"/>
          <w:highlight w:val="none"/>
          <w:u w:val="single"/>
          <w14:textFill>
            <w14:solidFill>
              <w14:schemeClr w14:val="tx1"/>
            </w14:solidFill>
          </w14:textFill>
        </w:rPr>
        <w:t>自工程竣工验收合格之日起24个月</w:t>
      </w:r>
      <w:r>
        <w:rPr>
          <w:rFonts w:hint="eastAsia" w:ascii="宋体" w:hAnsi="宋体" w:cs="宋体"/>
          <w:color w:val="000000" w:themeColor="text1"/>
          <w:sz w:val="24"/>
          <w:szCs w:val="24"/>
          <w:highlight w:val="none"/>
          <w14:textFill>
            <w14:solidFill>
              <w14:schemeClr w14:val="tx1"/>
            </w14:solidFill>
          </w14:textFill>
        </w:rPr>
        <w:t>。</w:t>
      </w:r>
    </w:p>
    <w:p w14:paraId="11B1EECB">
      <w:pPr>
        <w:spacing w:after="120"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15.3 质量保证金</w:t>
      </w:r>
    </w:p>
    <w:p w14:paraId="3DEE57BE">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关于是否扣留质量保证金的约定：</w:t>
      </w:r>
      <w:r>
        <w:rPr>
          <w:rFonts w:hint="eastAsia" w:ascii="宋体" w:hAnsi="宋体" w:cs="宋体"/>
          <w:color w:val="000000" w:themeColor="text1"/>
          <w:sz w:val="24"/>
          <w:szCs w:val="24"/>
          <w:highlight w:val="none"/>
          <w:u w:val="single"/>
          <w14:textFill>
            <w14:solidFill>
              <w14:schemeClr w14:val="tx1"/>
            </w14:solidFill>
          </w14:textFill>
        </w:rPr>
        <w:t>竣工结算经审计部门审计结束，承包人提交结算审定价的3%至发包人账户。</w:t>
      </w:r>
    </w:p>
    <w:p w14:paraId="3548F70A">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15.3.1 承包人提供质量保证金的方式</w:t>
      </w:r>
    </w:p>
    <w:p w14:paraId="41C8EC29">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质量保证金采用以下第</w:t>
      </w:r>
      <w:r>
        <w:rPr>
          <w:rFonts w:hint="eastAsia" w:ascii="宋体" w:hAnsi="宋体" w:cs="宋体"/>
          <w:color w:val="000000" w:themeColor="text1"/>
          <w:sz w:val="24"/>
          <w:szCs w:val="24"/>
          <w:highlight w:val="none"/>
          <w:u w:val="single"/>
          <w14:textFill>
            <w14:solidFill>
              <w14:schemeClr w14:val="tx1"/>
            </w14:solidFill>
          </w14:textFill>
        </w:rPr>
        <w:t>（</w:t>
      </w:r>
      <w:r>
        <w:rPr>
          <w:rFonts w:ascii="宋体" w:hAnsi="宋体" w:cs="宋体"/>
          <w:color w:val="000000" w:themeColor="text1"/>
          <w:sz w:val="24"/>
          <w:szCs w:val="24"/>
          <w:highlight w:val="none"/>
          <w:u w:val="single"/>
          <w14:textFill>
            <w14:solidFill>
              <w14:schemeClr w14:val="tx1"/>
            </w14:solidFill>
          </w14:textFill>
        </w:rPr>
        <w:t>3</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种方式：</w:t>
      </w:r>
    </w:p>
    <w:p w14:paraId="7C78432B">
      <w:pPr>
        <w:autoSpaceDE w:val="0"/>
        <w:autoSpaceDN w:val="0"/>
        <w:adjustRightInd w:val="0"/>
        <w:spacing w:line="360" w:lineRule="auto"/>
        <w:ind w:firstLine="480" w:firstLineChars="200"/>
        <w:jc w:val="left"/>
        <w:outlineLvl w:val="9"/>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（1）质量保证金保函，保证金额为：</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kern w:val="0"/>
          <w:sz w:val="24"/>
          <w:szCs w:val="24"/>
          <w:highlight w:val="none"/>
          <w14:textFill>
            <w14:solidFill>
              <w14:schemeClr w14:val="tx1"/>
            </w14:solidFill>
          </w14:textFill>
        </w:rPr>
        <w:t xml:space="preserve">； </w:t>
      </w:r>
    </w:p>
    <w:p w14:paraId="35A7E4E6">
      <w:pPr>
        <w:autoSpaceDE w:val="0"/>
        <w:autoSpaceDN w:val="0"/>
        <w:adjustRightInd w:val="0"/>
        <w:spacing w:line="360" w:lineRule="auto"/>
        <w:ind w:firstLine="480" w:firstLineChars="200"/>
        <w:jc w:val="left"/>
        <w:outlineLvl w:val="9"/>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（2）</w:t>
      </w:r>
      <w:r>
        <w:rPr>
          <w:rFonts w:hint="eastAsia" w:ascii="宋体" w:hAnsi="宋体" w:cs="宋体"/>
          <w:color w:val="000000" w:themeColor="text1"/>
          <w:sz w:val="24"/>
          <w:szCs w:val="24"/>
          <w:highlight w:val="none"/>
          <w:u w:val="single"/>
          <w14:textFill>
            <w14:solidFill>
              <w14:schemeClr w14:val="tx1"/>
            </w14:solidFill>
          </w14:textFill>
        </w:rPr>
        <w:t>3</w:t>
      </w:r>
      <w:r>
        <w:rPr>
          <w:rFonts w:hint="eastAsia" w:ascii="宋体" w:hAnsi="宋体" w:cs="宋体"/>
          <w:color w:val="000000" w:themeColor="text1"/>
          <w:kern w:val="0"/>
          <w:sz w:val="24"/>
          <w:szCs w:val="24"/>
          <w:highlight w:val="none"/>
          <w14:textFill>
            <w14:solidFill>
              <w14:schemeClr w14:val="tx1"/>
            </w14:solidFill>
          </w14:textFill>
        </w:rPr>
        <w:t>%的工程款；</w:t>
      </w:r>
    </w:p>
    <w:p w14:paraId="05EC22C2">
      <w:pPr>
        <w:autoSpaceDE w:val="0"/>
        <w:autoSpaceDN w:val="0"/>
        <w:adjustRightInd w:val="0"/>
        <w:spacing w:line="360" w:lineRule="auto"/>
        <w:ind w:firstLine="480" w:firstLineChars="200"/>
        <w:jc w:val="left"/>
        <w:outlineLvl w:val="9"/>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（3）其他方式:</w:t>
      </w:r>
      <w:r>
        <w:rPr>
          <w:rFonts w:hint="eastAsia" w:ascii="宋体" w:hAnsi="宋体" w:cs="宋体"/>
          <w:color w:val="000000" w:themeColor="text1"/>
          <w:sz w:val="24"/>
          <w:szCs w:val="24"/>
          <w:highlight w:val="none"/>
          <w:u w:val="single"/>
          <w14:textFill>
            <w14:solidFill>
              <w14:schemeClr w14:val="tx1"/>
            </w14:solidFill>
          </w14:textFill>
        </w:rPr>
        <w:t xml:space="preserve"> 竣工结算经审计部门审计结束，承包人提交结算审定价的3%至发包人账户</w:t>
      </w:r>
      <w:r>
        <w:rPr>
          <w:rFonts w:hint="eastAsia" w:ascii="宋体" w:hAnsi="宋体" w:cs="宋体"/>
          <w:color w:val="000000" w:themeColor="text1"/>
          <w:kern w:val="0"/>
          <w:sz w:val="24"/>
          <w:szCs w:val="24"/>
          <w:highlight w:val="none"/>
          <w14:textFill>
            <w14:solidFill>
              <w14:schemeClr w14:val="tx1"/>
            </w14:solidFill>
          </w14:textFill>
        </w:rPr>
        <w:t>。</w:t>
      </w:r>
    </w:p>
    <w:p w14:paraId="1222D9D2">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15.3.2 质量保证金的扣留 </w:t>
      </w:r>
    </w:p>
    <w:p w14:paraId="0494742B">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质量保证金的扣留采取以下第</w:t>
      </w:r>
      <w:r>
        <w:rPr>
          <w:rFonts w:hint="eastAsia" w:ascii="宋体" w:hAnsi="宋体" w:cs="宋体"/>
          <w:color w:val="000000" w:themeColor="text1"/>
          <w:sz w:val="24"/>
          <w:szCs w:val="24"/>
          <w:highlight w:val="none"/>
          <w:u w:val="single"/>
          <w14:textFill>
            <w14:solidFill>
              <w14:schemeClr w14:val="tx1"/>
            </w14:solidFill>
          </w14:textFill>
        </w:rPr>
        <w:t>（3）</w:t>
      </w:r>
      <w:r>
        <w:rPr>
          <w:rFonts w:hint="eastAsia" w:ascii="宋体" w:hAnsi="宋体" w:cs="宋体"/>
          <w:color w:val="000000" w:themeColor="text1"/>
          <w:sz w:val="24"/>
          <w:szCs w:val="24"/>
          <w:highlight w:val="none"/>
          <w14:textFill>
            <w14:solidFill>
              <w14:schemeClr w14:val="tx1"/>
            </w14:solidFill>
          </w14:textFill>
        </w:rPr>
        <w:t>种方式：</w:t>
      </w:r>
    </w:p>
    <w:p w14:paraId="48D25871">
      <w:pPr>
        <w:autoSpaceDE w:val="0"/>
        <w:autoSpaceDN w:val="0"/>
        <w:adjustRightInd w:val="0"/>
        <w:spacing w:line="360" w:lineRule="auto"/>
        <w:ind w:firstLine="480" w:firstLineChars="200"/>
        <w:jc w:val="left"/>
        <w:outlineLvl w:val="9"/>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（1）在支付工程进度款时逐次扣留，在此情形下，质量保证金的计算基数不包括预付款的支付、扣回以及价格调整的金额；</w:t>
      </w:r>
    </w:p>
    <w:p w14:paraId="635098F2">
      <w:pPr>
        <w:autoSpaceDE w:val="0"/>
        <w:autoSpaceDN w:val="0"/>
        <w:adjustRightInd w:val="0"/>
        <w:spacing w:line="360" w:lineRule="auto"/>
        <w:ind w:firstLine="480" w:firstLineChars="200"/>
        <w:jc w:val="left"/>
        <w:outlineLvl w:val="9"/>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（2）工程竣工结算时一次性扣留质量保证金；</w:t>
      </w:r>
    </w:p>
    <w:p w14:paraId="392443C2">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（3）其他扣留方式:</w:t>
      </w:r>
      <w:r>
        <w:rPr>
          <w:rFonts w:hint="eastAsia" w:ascii="宋体" w:hAnsi="宋体" w:cs="宋体"/>
          <w:color w:val="000000" w:themeColor="text1"/>
          <w:sz w:val="24"/>
          <w:szCs w:val="24"/>
          <w:highlight w:val="none"/>
          <w:u w:val="single"/>
          <w14:textFill>
            <w14:solidFill>
              <w14:schemeClr w14:val="tx1"/>
            </w14:solidFill>
          </w14:textFill>
        </w:rPr>
        <w:t>竣工结算经审计部门审计结束，承包人提交结算审定价的3%至发包人账户。</w:t>
      </w:r>
    </w:p>
    <w:p w14:paraId="07F2D2C2">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关于质量保证金的补充约定</w:t>
      </w:r>
      <w:r>
        <w:rPr>
          <w:rFonts w:hint="eastAsia" w:ascii="宋体" w:hAnsi="宋体" w:cs="宋体"/>
          <w:color w:val="000000" w:themeColor="text1"/>
          <w:kern w:val="0"/>
          <w:sz w:val="24"/>
          <w:szCs w:val="24"/>
          <w:highlight w:val="none"/>
          <w14:textFill>
            <w14:solidFill>
              <w14:schemeClr w14:val="tx1"/>
            </w14:solidFill>
          </w14:textFill>
        </w:rPr>
        <w:t>:</w:t>
      </w:r>
      <w:r>
        <w:rPr>
          <w:rFonts w:hint="eastAsia" w:ascii="宋体" w:hAnsi="宋体" w:cs="宋体"/>
          <w:color w:val="000000" w:themeColor="text1"/>
          <w:kern w:val="0"/>
          <w:sz w:val="24"/>
          <w:szCs w:val="24"/>
          <w:highlight w:val="none"/>
          <w:u w:val="single"/>
          <w14:textFill>
            <w14:solidFill>
              <w14:schemeClr w14:val="tx1"/>
            </w14:solidFill>
          </w14:textFill>
        </w:rPr>
        <w:t>质保期满后</w:t>
      </w:r>
      <w:r>
        <w:rPr>
          <w:rFonts w:ascii="宋体" w:hAnsi="宋体" w:cs="宋体"/>
          <w:color w:val="000000" w:themeColor="text1"/>
          <w:kern w:val="0"/>
          <w:sz w:val="24"/>
          <w:szCs w:val="24"/>
          <w:highlight w:val="none"/>
          <w:u w:val="single"/>
          <w14:textFill>
            <w14:solidFill>
              <w14:schemeClr w14:val="tx1"/>
            </w14:solidFill>
          </w14:textFill>
        </w:rPr>
        <w:t>，无质量问题退还质保金（无息）。</w:t>
      </w:r>
    </w:p>
    <w:bookmarkEnd w:id="583"/>
    <w:bookmarkEnd w:id="584"/>
    <w:p w14:paraId="1BB96148">
      <w:pPr>
        <w:spacing w:after="120"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15.4保修</w:t>
      </w:r>
    </w:p>
    <w:bookmarkEnd w:id="585"/>
    <w:p w14:paraId="34A2209B">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15.4.1 保修责任</w:t>
      </w:r>
    </w:p>
    <w:p w14:paraId="2B21A82C">
      <w:pPr>
        <w:spacing w:line="360" w:lineRule="auto"/>
        <w:ind w:firstLine="468" w:firstLineChars="195"/>
        <w:jc w:val="left"/>
        <w:outlineLvl w:val="9"/>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工程保修期为：</w:t>
      </w:r>
      <w:r>
        <w:rPr>
          <w:rFonts w:hint="eastAsia" w:ascii="宋体" w:hAnsi="宋体" w:cs="宋体"/>
          <w:color w:val="000000" w:themeColor="text1"/>
          <w:sz w:val="24"/>
          <w:szCs w:val="24"/>
          <w:highlight w:val="none"/>
          <w:u w:val="single"/>
          <w14:textFill>
            <w14:solidFill>
              <w14:schemeClr w14:val="tx1"/>
            </w14:solidFill>
          </w14:textFill>
        </w:rPr>
        <w:t>详见“附件1：工程质量保修书”。</w:t>
      </w:r>
    </w:p>
    <w:p w14:paraId="54445DA3">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15.4.3 修复通知</w:t>
      </w:r>
    </w:p>
    <w:p w14:paraId="434E300E">
      <w:pPr>
        <w:spacing w:line="360" w:lineRule="auto"/>
        <w:ind w:firstLine="480" w:firstLineChars="200"/>
        <w:jc w:val="left"/>
        <w:outlineLvl w:val="9"/>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承包人收到保修通知并到达工程现场的合理时间：</w:t>
      </w:r>
      <w:r>
        <w:rPr>
          <w:rFonts w:hint="eastAsia" w:ascii="宋体" w:hAnsi="宋体" w:cs="宋体"/>
          <w:color w:val="000000" w:themeColor="text1"/>
          <w:sz w:val="24"/>
          <w:szCs w:val="24"/>
          <w:highlight w:val="none"/>
          <w:u w:val="single"/>
          <w14:textFill>
            <w14:solidFill>
              <w14:schemeClr w14:val="tx1"/>
            </w14:solidFill>
          </w14:textFill>
        </w:rPr>
        <w:t>（1）在质保期内，承包人在接发包人通知后，  小时内响应，省内的在  小时内，省外的在  小时内，赶到甲方现场，免费予以排除故障、修复或更换零部件,还应支付因更换所发生的运输、保险、安装、检测等有关的全部费用。（2）质保期满后，如出现问题，承包人在接发包人通知后，仍应在上述时间内响应、派人赶到现场，帮助排除故障、修复或更换零部件，需购买零部件时，酌情收取成本费。</w:t>
      </w:r>
    </w:p>
    <w:bookmarkEnd w:id="586"/>
    <w:bookmarkEnd w:id="587"/>
    <w:bookmarkEnd w:id="588"/>
    <w:bookmarkEnd w:id="589"/>
    <w:p w14:paraId="78E48E1E">
      <w:pPr>
        <w:spacing w:line="360" w:lineRule="auto"/>
        <w:ind w:firstLine="480" w:firstLineChars="200"/>
        <w:outlineLvl w:val="9"/>
        <w:rPr>
          <w:rFonts w:ascii="宋体" w:hAnsi="宋体" w:eastAsia="宋体" w:cs="宋体"/>
          <w:bCs/>
          <w:color w:val="000000" w:themeColor="text1"/>
          <w:sz w:val="24"/>
          <w:highlight w:val="none"/>
          <w14:textFill>
            <w14:solidFill>
              <w14:schemeClr w14:val="tx1"/>
            </w14:solidFill>
          </w14:textFill>
        </w:rPr>
      </w:pPr>
      <w:bookmarkStart w:id="612" w:name="_Toc351203648"/>
      <w:bookmarkStart w:id="613" w:name="_Toc280868717"/>
      <w:bookmarkStart w:id="614" w:name="_Toc280868718"/>
      <w:r>
        <w:rPr>
          <w:rFonts w:hint="eastAsia" w:ascii="宋体" w:hAnsi="宋体" w:eastAsia="宋体" w:cs="宋体"/>
          <w:bCs/>
          <w:color w:val="000000" w:themeColor="text1"/>
          <w:sz w:val="24"/>
          <w:szCs w:val="24"/>
          <w:highlight w:val="none"/>
          <w14:textFill>
            <w14:solidFill>
              <w14:schemeClr w14:val="tx1"/>
            </w14:solidFill>
          </w14:textFill>
        </w:rPr>
        <w:t>16. 违约</w:t>
      </w:r>
      <w:bookmarkEnd w:id="612"/>
    </w:p>
    <w:p w14:paraId="7ED8B969">
      <w:pPr>
        <w:spacing w:after="120"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16.1 发包人违约</w:t>
      </w:r>
    </w:p>
    <w:p w14:paraId="6E0757FD">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16.1.1发包人违约的情形</w:t>
      </w:r>
    </w:p>
    <w:p w14:paraId="6836CC28">
      <w:pPr>
        <w:spacing w:line="360" w:lineRule="auto"/>
        <w:ind w:firstLine="480" w:firstLineChars="200"/>
        <w:jc w:val="left"/>
        <w:outlineLvl w:val="9"/>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发包人违约的其他情形：</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kern w:val="0"/>
          <w:sz w:val="24"/>
          <w:szCs w:val="24"/>
          <w:highlight w:val="none"/>
          <w14:textFill>
            <w14:solidFill>
              <w14:schemeClr w14:val="tx1"/>
            </w14:solidFill>
          </w14:textFill>
        </w:rPr>
        <w:t>。</w:t>
      </w:r>
    </w:p>
    <w:p w14:paraId="7D022584">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16.1.2 发包人违约的责任</w:t>
      </w:r>
    </w:p>
    <w:p w14:paraId="1E218DD0">
      <w:pPr>
        <w:spacing w:line="360" w:lineRule="auto"/>
        <w:ind w:firstLine="480" w:firstLineChars="200"/>
        <w:jc w:val="left"/>
        <w:outlineLvl w:val="9"/>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发包人违约责任的承担方式和计算方法：</w:t>
      </w:r>
    </w:p>
    <w:p w14:paraId="10892F49">
      <w:pPr>
        <w:spacing w:line="360" w:lineRule="auto"/>
        <w:ind w:firstLine="480" w:firstLineChars="200"/>
        <w:jc w:val="left"/>
        <w:outlineLvl w:val="9"/>
        <w:rPr>
          <w:rFonts w:ascii="宋体" w:hAnsi="宋体" w:cs="宋体"/>
          <w:color w:val="000000" w:themeColor="text1"/>
          <w:kern w:val="0"/>
          <w:sz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（1）因发包人原因未能在计划开工日期前7天内下达开工通知的违约责任：</w:t>
      </w:r>
      <w:r>
        <w:rPr>
          <w:rFonts w:hint="eastAsia" w:ascii="宋体" w:hAnsi="宋体" w:cs="宋体"/>
          <w:color w:val="000000" w:themeColor="text1"/>
          <w:sz w:val="24"/>
          <w:szCs w:val="24"/>
          <w:highlight w:val="none"/>
          <w:u w:val="single"/>
          <w14:textFill>
            <w14:solidFill>
              <w14:schemeClr w14:val="tx1"/>
            </w14:solidFill>
          </w14:textFill>
        </w:rPr>
        <w:t>相应工期顺延</w:t>
      </w:r>
      <w:r>
        <w:rPr>
          <w:rFonts w:hint="eastAsia" w:ascii="宋体" w:hAnsi="宋体" w:cs="宋体"/>
          <w:color w:val="000000" w:themeColor="text1"/>
          <w:kern w:val="0"/>
          <w:sz w:val="24"/>
          <w:szCs w:val="24"/>
          <w:highlight w:val="none"/>
          <w14:textFill>
            <w14:solidFill>
              <w14:schemeClr w14:val="tx1"/>
            </w14:solidFill>
          </w14:textFill>
        </w:rPr>
        <w:t>。</w:t>
      </w:r>
    </w:p>
    <w:p w14:paraId="3705B1A7">
      <w:pPr>
        <w:spacing w:line="360" w:lineRule="auto"/>
        <w:ind w:firstLine="480" w:firstLineChars="200"/>
        <w:jc w:val="left"/>
        <w:outlineLvl w:val="9"/>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（2）因发包人原因未能按合同约定支付合同价款的违约责任：</w:t>
      </w:r>
      <w:r>
        <w:rPr>
          <w:rFonts w:hint="eastAsia" w:ascii="宋体" w:hAnsi="宋体" w:cs="宋体"/>
          <w:color w:val="000000" w:themeColor="text1"/>
          <w:sz w:val="24"/>
          <w:szCs w:val="24"/>
          <w:highlight w:val="none"/>
          <w:u w:val="single"/>
          <w14:textFill>
            <w14:solidFill>
              <w14:schemeClr w14:val="tx1"/>
            </w14:solidFill>
          </w14:textFill>
        </w:rPr>
        <w:t>按照中国人民银行发布的同期同类贷款基准利率支付违约金</w:t>
      </w:r>
      <w:r>
        <w:rPr>
          <w:rFonts w:hint="eastAsia" w:ascii="宋体" w:hAnsi="宋体" w:cs="宋体"/>
          <w:color w:val="000000" w:themeColor="text1"/>
          <w:kern w:val="0"/>
          <w:sz w:val="24"/>
          <w:szCs w:val="24"/>
          <w:highlight w:val="none"/>
          <w14:textFill>
            <w14:solidFill>
              <w14:schemeClr w14:val="tx1"/>
            </w14:solidFill>
          </w14:textFill>
        </w:rPr>
        <w:t>。</w:t>
      </w:r>
    </w:p>
    <w:p w14:paraId="7D9D5F8E">
      <w:pPr>
        <w:spacing w:line="360" w:lineRule="auto"/>
        <w:ind w:firstLine="480" w:firstLineChars="200"/>
        <w:jc w:val="left"/>
        <w:outlineLvl w:val="9"/>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（3）发包人违反第10.1款〔变更的范围〕第（2）项约定，自行实施被取消的工作或转由他人实施的违约责任:</w:t>
      </w:r>
      <w:r>
        <w:rPr>
          <w:rFonts w:hint="eastAsia" w:ascii="宋体" w:hAnsi="宋体" w:cs="宋体"/>
          <w:color w:val="000000" w:themeColor="text1"/>
          <w:sz w:val="24"/>
          <w:szCs w:val="24"/>
          <w:highlight w:val="none"/>
          <w:u w:val="single"/>
          <w14:textFill>
            <w14:solidFill>
              <w14:schemeClr w14:val="tx1"/>
            </w14:solidFill>
          </w14:textFill>
        </w:rPr>
        <w:t>按自行实施被取消的工作或转由他人实施的工程造价的2%支付违约金。</w:t>
      </w:r>
    </w:p>
    <w:p w14:paraId="1EC5433E">
      <w:pPr>
        <w:spacing w:line="360" w:lineRule="auto"/>
        <w:ind w:firstLine="480" w:firstLineChars="200"/>
        <w:jc w:val="left"/>
        <w:outlineLvl w:val="9"/>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（4）发包人提供的材料、工程设备的规格、数量或质量不符合合同约定，或因发包人原因导致交货日期延误或交货地点变更等情况的违约责任：</w:t>
      </w:r>
      <w:r>
        <w:rPr>
          <w:rFonts w:hint="eastAsia" w:ascii="宋体" w:hAnsi="宋体" w:cs="宋体"/>
          <w:color w:val="000000" w:themeColor="text1"/>
          <w:sz w:val="24"/>
          <w:szCs w:val="24"/>
          <w:highlight w:val="none"/>
          <w:u w:val="single"/>
          <w14:textFill>
            <w14:solidFill>
              <w14:schemeClr w14:val="tx1"/>
            </w14:solidFill>
          </w14:textFill>
        </w:rPr>
        <w:t>（1）如造成工期延误的，工期相应顺延，经济损失由承包人自行承担。</w:t>
      </w:r>
    </w:p>
    <w:p w14:paraId="51DF31DC">
      <w:pPr>
        <w:spacing w:line="360" w:lineRule="auto"/>
        <w:ind w:firstLine="480" w:firstLineChars="200"/>
        <w:jc w:val="left"/>
        <w:outlineLvl w:val="9"/>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（2）当发包人与承包人对乙供材的价格、质量等原因发生争议时，发包人保留将乙供材改为甲供的权利。该部分材料的价格按投标价从承包人的合同价款中扣除。</w:t>
      </w:r>
    </w:p>
    <w:p w14:paraId="083A01A8">
      <w:pPr>
        <w:spacing w:line="360" w:lineRule="auto"/>
        <w:ind w:firstLine="480" w:firstLineChars="200"/>
        <w:jc w:val="left"/>
        <w:outlineLvl w:val="9"/>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（3）承包人投标报价时必须按清单编制说明中材料品牌要求报品牌，如未按照清单编制说明报价，发包人保留将乙供材改为甲供的权利 ，该部分材料的价格按采购价从承包人的合同价款中扣除。</w:t>
      </w:r>
    </w:p>
    <w:p w14:paraId="43240B68">
      <w:pPr>
        <w:spacing w:line="360" w:lineRule="auto"/>
        <w:ind w:firstLine="480" w:firstLineChars="200"/>
        <w:jc w:val="left"/>
        <w:outlineLvl w:val="9"/>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（5）因发包人违反合同约定造成暂停施工的违约责任：</w:t>
      </w:r>
      <w:r>
        <w:rPr>
          <w:rFonts w:hint="eastAsia" w:ascii="宋体" w:hAnsi="宋体" w:cs="宋体"/>
          <w:color w:val="000000" w:themeColor="text1"/>
          <w:sz w:val="24"/>
          <w:szCs w:val="24"/>
          <w:highlight w:val="none"/>
          <w:u w:val="single"/>
          <w14:textFill>
            <w14:solidFill>
              <w14:schemeClr w14:val="tx1"/>
            </w14:solidFill>
          </w14:textFill>
        </w:rPr>
        <w:t>如造成工期延误的，工期相应顺延，经济损失由承包人自行承担。</w:t>
      </w:r>
    </w:p>
    <w:p w14:paraId="70025EF4">
      <w:pPr>
        <w:spacing w:line="360" w:lineRule="auto"/>
        <w:ind w:firstLine="480" w:firstLineChars="200"/>
        <w:jc w:val="left"/>
        <w:outlineLvl w:val="9"/>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（6）发包人无正当理由没有在约定期限内发出复工指示，导致承包人无法复工的违约责任：</w:t>
      </w:r>
      <w:r>
        <w:rPr>
          <w:rFonts w:hint="eastAsia" w:ascii="宋体" w:hAnsi="宋体" w:cs="宋体"/>
          <w:color w:val="000000" w:themeColor="text1"/>
          <w:sz w:val="24"/>
          <w:szCs w:val="24"/>
          <w:highlight w:val="none"/>
          <w:u w:val="single"/>
          <w14:textFill>
            <w14:solidFill>
              <w14:schemeClr w14:val="tx1"/>
            </w14:solidFill>
          </w14:textFill>
        </w:rPr>
        <w:t>如造成工期延误的，工期相应顺延，经济损失由承包人自行承担。</w:t>
      </w:r>
    </w:p>
    <w:p w14:paraId="406889C8">
      <w:pPr>
        <w:spacing w:line="360" w:lineRule="auto"/>
        <w:ind w:firstLine="480" w:firstLineChars="200"/>
        <w:jc w:val="left"/>
        <w:outlineLvl w:val="9"/>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（7）其他：</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kern w:val="0"/>
          <w:sz w:val="24"/>
          <w:szCs w:val="24"/>
          <w:highlight w:val="none"/>
          <w14:textFill>
            <w14:solidFill>
              <w14:schemeClr w14:val="tx1"/>
            </w14:solidFill>
          </w14:textFill>
        </w:rPr>
        <w:t>。</w:t>
      </w:r>
    </w:p>
    <w:p w14:paraId="6C49AF2F">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16.1.3 因发包人违约解除合同</w:t>
      </w:r>
    </w:p>
    <w:p w14:paraId="494D45D5">
      <w:pPr>
        <w:autoSpaceDE w:val="0"/>
        <w:autoSpaceDN w:val="0"/>
        <w:adjustRightInd w:val="0"/>
        <w:spacing w:line="360" w:lineRule="auto"/>
        <w:ind w:firstLine="480" w:firstLineChars="200"/>
        <w:jc w:val="left"/>
        <w:outlineLvl w:val="9"/>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承包人按16.1.1项〔发包人违约的情形〕约定暂停施工满</w:t>
      </w:r>
      <w:r>
        <w:rPr>
          <w:rFonts w:hint="eastAsia" w:ascii="宋体" w:hAnsi="宋体" w:cs="宋体"/>
          <w:color w:val="000000" w:themeColor="text1"/>
          <w:sz w:val="24"/>
          <w:szCs w:val="24"/>
          <w:highlight w:val="none"/>
          <w:u w:val="single"/>
          <w14:textFill>
            <w14:solidFill>
              <w14:schemeClr w14:val="tx1"/>
            </w14:solidFill>
          </w14:textFill>
        </w:rPr>
        <w:t>28</w:t>
      </w:r>
      <w:r>
        <w:rPr>
          <w:rFonts w:hint="eastAsia" w:ascii="宋体" w:hAnsi="宋体" w:cs="宋体"/>
          <w:color w:val="000000" w:themeColor="text1"/>
          <w:kern w:val="0"/>
          <w:sz w:val="24"/>
          <w:szCs w:val="24"/>
          <w:highlight w:val="none"/>
          <w14:textFill>
            <w14:solidFill>
              <w14:schemeClr w14:val="tx1"/>
            </w14:solidFill>
          </w14:textFill>
        </w:rPr>
        <w:t>天后发包人仍不纠正其违约行为并致使合同目的不能实现的，承包人有权解除合同。</w:t>
      </w:r>
    </w:p>
    <w:p w14:paraId="088DBB49">
      <w:pPr>
        <w:spacing w:after="120"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16.2 承包人违约</w:t>
      </w:r>
    </w:p>
    <w:p w14:paraId="4344F07D">
      <w:pPr>
        <w:spacing w:line="360" w:lineRule="auto"/>
        <w:ind w:firstLine="480" w:firstLineChars="200"/>
        <w:jc w:val="left"/>
        <w:outlineLvl w:val="9"/>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16.2.1 承包人违约的情形</w:t>
      </w:r>
    </w:p>
    <w:p w14:paraId="1608EBE2">
      <w:pPr>
        <w:spacing w:line="360" w:lineRule="auto"/>
        <w:ind w:firstLine="480" w:firstLineChars="200"/>
        <w:jc w:val="left"/>
        <w:outlineLvl w:val="9"/>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承包人违约的其他情形：</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kern w:val="0"/>
          <w:sz w:val="24"/>
          <w:szCs w:val="24"/>
          <w:highlight w:val="none"/>
          <w14:textFill>
            <w14:solidFill>
              <w14:schemeClr w14:val="tx1"/>
            </w14:solidFill>
          </w14:textFill>
        </w:rPr>
        <w:t>。</w:t>
      </w:r>
    </w:p>
    <w:p w14:paraId="0FD3138A">
      <w:pPr>
        <w:spacing w:line="360" w:lineRule="auto"/>
        <w:ind w:firstLine="480" w:firstLineChars="200"/>
        <w:jc w:val="left"/>
        <w:outlineLvl w:val="9"/>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16.2.2承包人违约的责任</w:t>
      </w:r>
    </w:p>
    <w:p w14:paraId="5195675A">
      <w:pPr>
        <w:spacing w:line="360" w:lineRule="auto"/>
        <w:ind w:firstLine="480" w:firstLineChars="200"/>
        <w:outlineLvl w:val="9"/>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承包人违约责任的承担方式和计算方法：</w:t>
      </w:r>
      <w:r>
        <w:rPr>
          <w:rFonts w:hint="eastAsia" w:ascii="宋体" w:hAnsi="宋体" w:cs="宋体"/>
          <w:color w:val="000000" w:themeColor="text1"/>
          <w:sz w:val="24"/>
          <w:szCs w:val="24"/>
          <w:highlight w:val="none"/>
          <w:u w:val="single"/>
          <w14:textFill>
            <w14:solidFill>
              <w14:schemeClr w14:val="tx1"/>
            </w14:solidFill>
          </w14:textFill>
        </w:rPr>
        <w:t>违约金为5000元/天向发包人支付逾期竣工违约金，当工期延误达到九天时，发包人有要求承包人退场，并赔偿发包人一切损失。总额不超过合同价款的2%。</w:t>
      </w:r>
    </w:p>
    <w:p w14:paraId="4C4CA489">
      <w:pPr>
        <w:spacing w:line="360" w:lineRule="auto"/>
        <w:ind w:firstLine="480" w:firstLineChars="200"/>
        <w:outlineLvl w:val="9"/>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双方约定的承包人其他违约责任：因承包人原因未依据本合同履行义务，完成本工程范围的工作，发包人有权按以下约定向承包人收取违约金。</w:t>
      </w:r>
    </w:p>
    <w:p w14:paraId="19D1E2F3">
      <w:pPr>
        <w:spacing w:line="360" w:lineRule="auto"/>
        <w:ind w:firstLine="480" w:firstLineChars="200"/>
        <w:outlineLvl w:val="9"/>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A、工期延误：如由于承包人自身原因，在合同履行过程中或至合同计划竣工之日，承包人未能完成按施工组织设计计划累计应完工程量的80%，造成（或可能造成）整个工程不能按合同约定如期竣工，发包人有权停止支付工程款并有权将其中部分工程委托他人进行施工，委托他人进行施工产生的费用加收10%的管理费后从承包人的合同款内扣除。 </w:t>
      </w:r>
    </w:p>
    <w:p w14:paraId="561BBCFC">
      <w:pPr>
        <w:spacing w:line="360" w:lineRule="auto"/>
        <w:ind w:firstLine="480" w:firstLineChars="200"/>
        <w:outlineLvl w:val="9"/>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B、因承包人原因导致技术文件（包括竣工图纸、变更（签证）等）未能按约定时间提交，每迟一天，发包人在支付给承包人的工程款内扣除1000元的违约金。违约金的扣除并不解除承包人继续交付上述技术文件的义务。</w:t>
      </w:r>
    </w:p>
    <w:p w14:paraId="29E5CA46">
      <w:pPr>
        <w:spacing w:line="360" w:lineRule="auto"/>
        <w:ind w:firstLine="480" w:firstLineChars="200"/>
        <w:outlineLvl w:val="9"/>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C、若承包人擅自停工或单方面终止合同的执行或违约，造成合同无法履行，在本合同解除后，承包人必须在5天内无条件退场，承包人应妥善做好已完工程和工程设备的保护和移交工作；发包人将按承包人已完成工程量和承包人在施工现场的材料、设备、临时工程价格的70%给予结算，承包人并承担由此而给发包人造成的一切损失。</w:t>
      </w:r>
      <w:r>
        <w:rPr>
          <w:rFonts w:hint="eastAsia" w:ascii="宋体" w:hAnsi="宋体" w:cs="宋体"/>
          <w:color w:val="000000" w:themeColor="text1"/>
          <w:sz w:val="24"/>
          <w:szCs w:val="24"/>
          <w:highlight w:val="none"/>
          <w14:textFill>
            <w14:solidFill>
              <w14:schemeClr w14:val="tx1"/>
            </w14:solidFill>
          </w14:textFill>
        </w:rPr>
        <w:t xml:space="preserve"> </w:t>
      </w:r>
    </w:p>
    <w:p w14:paraId="41A916E9">
      <w:pPr>
        <w:spacing w:line="360" w:lineRule="auto"/>
        <w:ind w:firstLine="480" w:firstLineChars="200"/>
        <w:jc w:val="left"/>
        <w:outlineLvl w:val="9"/>
        <w:rPr>
          <w:rFonts w:ascii="宋体" w:hAnsi="宋体" w:cs="宋体"/>
          <w:color w:val="000000" w:themeColor="text1"/>
          <w:sz w:val="24"/>
          <w:szCs w:val="24"/>
          <w:highlight w:val="none"/>
          <w:u w:val="single"/>
          <w14:textFill>
            <w14:solidFill>
              <w14:schemeClr w14:val="tx1"/>
            </w14:solidFill>
          </w14:textFill>
        </w:rPr>
      </w:pPr>
      <w:r>
        <w:rPr>
          <w:rFonts w:ascii="宋体" w:hAnsi="宋体" w:cs="宋体"/>
          <w:color w:val="000000" w:themeColor="text1"/>
          <w:sz w:val="24"/>
          <w:szCs w:val="24"/>
          <w:highlight w:val="none"/>
          <w:u w:val="single"/>
          <w14:textFill>
            <w14:solidFill>
              <w14:schemeClr w14:val="tx1"/>
            </w14:solidFill>
          </w14:textFill>
        </w:rPr>
        <w:t>D</w:t>
      </w:r>
      <w:r>
        <w:rPr>
          <w:rFonts w:hint="eastAsia" w:ascii="宋体" w:hAnsi="宋体" w:cs="宋体"/>
          <w:color w:val="000000" w:themeColor="text1"/>
          <w:sz w:val="24"/>
          <w:szCs w:val="24"/>
          <w:highlight w:val="none"/>
          <w:u w:val="single"/>
          <w14:textFill>
            <w14:solidFill>
              <w14:schemeClr w14:val="tx1"/>
            </w14:solidFill>
          </w14:textFill>
        </w:rPr>
        <w:t>、未经发包人同意，项目使用的设备、材料不符合招投标文件要求，承包人向发包人支付10000元/次的违约金</w:t>
      </w:r>
    </w:p>
    <w:p w14:paraId="7A0FB893">
      <w:pPr>
        <w:spacing w:line="360" w:lineRule="auto"/>
        <w:ind w:firstLine="480" w:firstLineChars="200"/>
        <w:jc w:val="left"/>
        <w:outlineLvl w:val="9"/>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E、承包人未按合同约定提交符合发包人要求的结算资料的，承包人向发包人支付1万元违约金。</w:t>
      </w:r>
    </w:p>
    <w:p w14:paraId="092DAAC4">
      <w:pPr>
        <w:spacing w:line="360" w:lineRule="auto"/>
        <w:ind w:firstLine="480" w:firstLineChars="200"/>
        <w:jc w:val="left"/>
        <w:outlineLvl w:val="9"/>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F、承包人</w:t>
      </w:r>
      <w:r>
        <w:rPr>
          <w:rFonts w:ascii="宋体" w:hAnsi="宋体" w:cs="宋体"/>
          <w:color w:val="000000" w:themeColor="text1"/>
          <w:sz w:val="24"/>
          <w:szCs w:val="24"/>
          <w:highlight w:val="none"/>
          <w:u w:val="single"/>
          <w14:textFill>
            <w14:solidFill>
              <w14:schemeClr w14:val="tx1"/>
            </w14:solidFill>
          </w14:textFill>
        </w:rPr>
        <w:t>应充分熟悉图纸，并在合同签订后</w:t>
      </w:r>
      <w:r>
        <w:rPr>
          <w:rFonts w:hint="eastAsia" w:ascii="宋体" w:hAnsi="宋体" w:cs="宋体"/>
          <w:color w:val="000000" w:themeColor="text1"/>
          <w:sz w:val="24"/>
          <w:szCs w:val="24"/>
          <w:highlight w:val="none"/>
          <w:u w:val="single"/>
          <w:lang w:val="en-US" w:eastAsia="zh-CN"/>
          <w14:textFill>
            <w14:solidFill>
              <w14:schemeClr w14:val="tx1"/>
            </w14:solidFill>
          </w14:textFill>
        </w:rPr>
        <w:t>5</w:t>
      </w:r>
      <w:r>
        <w:rPr>
          <w:rFonts w:hint="eastAsia" w:ascii="宋体" w:hAnsi="宋体" w:cs="宋体"/>
          <w:color w:val="000000" w:themeColor="text1"/>
          <w:sz w:val="24"/>
          <w:szCs w:val="24"/>
          <w:highlight w:val="none"/>
          <w:u w:val="single"/>
          <w14:textFill>
            <w14:solidFill>
              <w14:schemeClr w14:val="tx1"/>
            </w14:solidFill>
          </w14:textFill>
        </w:rPr>
        <w:t>天内</w:t>
      </w:r>
      <w:r>
        <w:rPr>
          <w:rFonts w:ascii="宋体" w:hAnsi="宋体" w:cs="宋体"/>
          <w:color w:val="000000" w:themeColor="text1"/>
          <w:sz w:val="24"/>
          <w:szCs w:val="24"/>
          <w:highlight w:val="none"/>
          <w:u w:val="single"/>
          <w14:textFill>
            <w14:solidFill>
              <w14:schemeClr w14:val="tx1"/>
            </w14:solidFill>
          </w14:textFill>
        </w:rPr>
        <w:t>提供工程量清单复核报告，未能及时</w:t>
      </w:r>
      <w:r>
        <w:rPr>
          <w:rFonts w:hint="eastAsia" w:ascii="宋体" w:hAnsi="宋体" w:cs="宋体"/>
          <w:color w:val="000000" w:themeColor="text1"/>
          <w:sz w:val="24"/>
          <w:szCs w:val="24"/>
          <w:highlight w:val="none"/>
          <w:u w:val="single"/>
          <w14:textFill>
            <w14:solidFill>
              <w14:schemeClr w14:val="tx1"/>
            </w14:solidFill>
          </w14:textFill>
        </w:rPr>
        <w:t>提供的每延误一天处以1000元违约金，</w:t>
      </w:r>
      <w:r>
        <w:rPr>
          <w:rFonts w:ascii="宋体" w:hAnsi="宋体" w:cs="宋体"/>
          <w:color w:val="000000" w:themeColor="text1"/>
          <w:sz w:val="24"/>
          <w:szCs w:val="24"/>
          <w:highlight w:val="none"/>
          <w:u w:val="single"/>
          <w14:textFill>
            <w14:solidFill>
              <w14:schemeClr w14:val="tx1"/>
            </w14:solidFill>
          </w14:textFill>
        </w:rPr>
        <w:t>工程量清单复核报告</w:t>
      </w:r>
      <w:r>
        <w:rPr>
          <w:rFonts w:hint="eastAsia" w:ascii="宋体" w:hAnsi="宋体" w:cs="宋体"/>
          <w:color w:val="000000" w:themeColor="text1"/>
          <w:sz w:val="24"/>
          <w:szCs w:val="24"/>
          <w:highlight w:val="none"/>
          <w:u w:val="single"/>
          <w14:textFill>
            <w14:solidFill>
              <w14:schemeClr w14:val="tx1"/>
            </w14:solidFill>
          </w14:textFill>
        </w:rPr>
        <w:t>中未能</w:t>
      </w:r>
      <w:r>
        <w:rPr>
          <w:rFonts w:ascii="宋体" w:hAnsi="宋体" w:cs="宋体"/>
          <w:color w:val="000000" w:themeColor="text1"/>
          <w:sz w:val="24"/>
          <w:szCs w:val="24"/>
          <w:highlight w:val="none"/>
          <w:u w:val="single"/>
          <w14:textFill>
            <w14:solidFill>
              <w14:schemeClr w14:val="tx1"/>
            </w14:solidFill>
          </w14:textFill>
        </w:rPr>
        <w:t>提出工程量清单偏差的项目，</w:t>
      </w:r>
      <w:r>
        <w:rPr>
          <w:rFonts w:hint="eastAsia" w:ascii="宋体" w:hAnsi="宋体" w:cs="宋体"/>
          <w:color w:val="000000" w:themeColor="text1"/>
          <w:sz w:val="24"/>
          <w:szCs w:val="24"/>
          <w:highlight w:val="none"/>
          <w:u w:val="single"/>
          <w14:textFill>
            <w14:solidFill>
              <w14:schemeClr w14:val="tx1"/>
            </w14:solidFill>
          </w14:textFill>
        </w:rPr>
        <w:t>结算时</w:t>
      </w:r>
      <w:r>
        <w:rPr>
          <w:rFonts w:ascii="宋体" w:hAnsi="宋体" w:cs="宋体"/>
          <w:color w:val="000000" w:themeColor="text1"/>
          <w:sz w:val="24"/>
          <w:szCs w:val="24"/>
          <w:highlight w:val="none"/>
          <w:u w:val="single"/>
          <w14:textFill>
            <w14:solidFill>
              <w14:schemeClr w14:val="tx1"/>
            </w14:solidFill>
          </w14:textFill>
        </w:rPr>
        <w:t>按不利于承包人的原则处理</w:t>
      </w:r>
      <w:r>
        <w:rPr>
          <w:rFonts w:hint="eastAsia" w:ascii="宋体" w:hAnsi="宋体" w:cs="宋体"/>
          <w:color w:val="000000" w:themeColor="text1"/>
          <w:sz w:val="24"/>
          <w:szCs w:val="24"/>
          <w:highlight w:val="none"/>
          <w:u w:val="single"/>
          <w14:textFill>
            <w14:solidFill>
              <w14:schemeClr w14:val="tx1"/>
            </w14:solidFill>
          </w14:textFill>
        </w:rPr>
        <w:t>。</w:t>
      </w:r>
    </w:p>
    <w:p w14:paraId="0F234E10">
      <w:pPr>
        <w:spacing w:line="360" w:lineRule="auto"/>
        <w:ind w:firstLine="480" w:firstLineChars="200"/>
        <w:jc w:val="left"/>
        <w:outlineLvl w:val="9"/>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G、本工程所有工程、设备（货物）、材料的制造、安装、调试、验收，都必须由承包人自己或在投标文件中明确的单位承担，不得分包给其他单位。否则，承包人应返还发包人支付的金额。</w:t>
      </w:r>
    </w:p>
    <w:p w14:paraId="78C7B055">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16.2.3 因承包人违约解除合同</w:t>
      </w:r>
    </w:p>
    <w:p w14:paraId="6B5159D4">
      <w:pPr>
        <w:spacing w:before="120" w:after="120" w:line="360" w:lineRule="auto"/>
        <w:ind w:firstLine="480" w:firstLineChars="200"/>
        <w:outlineLvl w:val="9"/>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关于承包人违约解除合同的特别约定：</w:t>
      </w:r>
      <w:r>
        <w:rPr>
          <w:rFonts w:hint="eastAsia" w:ascii="宋体" w:hAnsi="宋体" w:cs="宋体"/>
          <w:color w:val="000000" w:themeColor="text1"/>
          <w:sz w:val="24"/>
          <w:szCs w:val="24"/>
          <w:highlight w:val="none"/>
          <w:u w:val="single"/>
          <w14:textFill>
            <w14:solidFill>
              <w14:schemeClr w14:val="tx1"/>
            </w14:solidFill>
          </w14:textFill>
        </w:rPr>
        <w:t>另行协商</w:t>
      </w:r>
      <w:r>
        <w:rPr>
          <w:rFonts w:hint="eastAsia" w:ascii="宋体" w:hAnsi="宋体" w:cs="宋体"/>
          <w:color w:val="000000" w:themeColor="text1"/>
          <w:kern w:val="0"/>
          <w:sz w:val="24"/>
          <w:szCs w:val="24"/>
          <w:highlight w:val="none"/>
          <w14:textFill>
            <w14:solidFill>
              <w14:schemeClr w14:val="tx1"/>
            </w14:solidFill>
          </w14:textFill>
        </w:rPr>
        <w:t>。</w:t>
      </w:r>
    </w:p>
    <w:p w14:paraId="35941928">
      <w:pPr>
        <w:spacing w:before="120" w:after="120" w:line="360" w:lineRule="auto"/>
        <w:ind w:firstLine="480" w:firstLineChars="200"/>
        <w:outlineLvl w:val="9"/>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发包人继续使用承包人在施工现场的材料、设备、临时工程、承包人文件和由承包人或以其名义编制的其他文件的费用承担方式：</w:t>
      </w:r>
      <w:r>
        <w:rPr>
          <w:rFonts w:hint="eastAsia" w:ascii="宋体" w:hAnsi="宋体" w:cs="宋体"/>
          <w:color w:val="000000" w:themeColor="text1"/>
          <w:sz w:val="24"/>
          <w:szCs w:val="24"/>
          <w:highlight w:val="none"/>
          <w:u w:val="single"/>
          <w14:textFill>
            <w14:solidFill>
              <w14:schemeClr w14:val="tx1"/>
            </w14:solidFill>
          </w14:textFill>
        </w:rPr>
        <w:t>另行协商</w:t>
      </w:r>
      <w:r>
        <w:rPr>
          <w:rFonts w:hint="eastAsia" w:ascii="宋体" w:hAnsi="宋体" w:cs="宋体"/>
          <w:color w:val="000000" w:themeColor="text1"/>
          <w:kern w:val="0"/>
          <w:sz w:val="24"/>
          <w:szCs w:val="24"/>
          <w:highlight w:val="none"/>
          <w14:textFill>
            <w14:solidFill>
              <w14:schemeClr w14:val="tx1"/>
            </w14:solidFill>
          </w14:textFill>
        </w:rPr>
        <w:t>。</w:t>
      </w:r>
    </w:p>
    <w:p w14:paraId="4E5FC0D8">
      <w:pPr>
        <w:spacing w:line="360" w:lineRule="auto"/>
        <w:ind w:firstLine="480" w:firstLineChars="200"/>
        <w:outlineLvl w:val="9"/>
        <w:rPr>
          <w:rFonts w:ascii="宋体" w:hAnsi="宋体" w:eastAsia="宋体" w:cs="宋体"/>
          <w:bCs/>
          <w:color w:val="000000" w:themeColor="text1"/>
          <w:sz w:val="24"/>
          <w:highlight w:val="none"/>
          <w14:textFill>
            <w14:solidFill>
              <w14:schemeClr w14:val="tx1"/>
            </w14:solidFill>
          </w14:textFill>
        </w:rPr>
      </w:pPr>
      <w:bookmarkStart w:id="615" w:name="_Toc351203649"/>
      <w:r>
        <w:rPr>
          <w:rFonts w:hint="eastAsia" w:ascii="宋体" w:hAnsi="宋体" w:eastAsia="宋体" w:cs="宋体"/>
          <w:bCs/>
          <w:color w:val="000000" w:themeColor="text1"/>
          <w:sz w:val="24"/>
          <w:szCs w:val="24"/>
          <w:highlight w:val="none"/>
          <w14:textFill>
            <w14:solidFill>
              <w14:schemeClr w14:val="tx1"/>
            </w14:solidFill>
          </w14:textFill>
        </w:rPr>
        <w:t>17. 不可抗力</w:t>
      </w:r>
      <w:bookmarkEnd w:id="613"/>
      <w:bookmarkEnd w:id="615"/>
    </w:p>
    <w:p w14:paraId="218B1292">
      <w:pPr>
        <w:spacing w:after="120"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17.1 不可抗力的确认</w:t>
      </w:r>
    </w:p>
    <w:p w14:paraId="034E5C61">
      <w:pPr>
        <w:spacing w:line="360" w:lineRule="auto"/>
        <w:ind w:firstLine="480" w:firstLineChars="200"/>
        <w:jc w:val="left"/>
        <w:outlineLvl w:val="9"/>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除通用合同条款约定的不可抗力事件之外，视为不可抗力的其他情形：</w:t>
      </w:r>
      <w:r>
        <w:rPr>
          <w:rFonts w:hint="eastAsia" w:ascii="宋体" w:hAnsi="宋体" w:cs="宋体"/>
          <w:color w:val="000000" w:themeColor="text1"/>
          <w:sz w:val="24"/>
          <w:szCs w:val="24"/>
          <w:highlight w:val="none"/>
          <w:u w:val="single"/>
          <w14:textFill>
            <w14:solidFill>
              <w14:schemeClr w14:val="tx1"/>
            </w14:solidFill>
          </w14:textFill>
        </w:rPr>
        <w:t xml:space="preserve"> 1、不可抗力包括因战争、动乱、空中飞行物体坠落或其他非发包人承包人责任造成的爆炸、火灾，以及以下方面的自然灾害：</w:t>
      </w:r>
    </w:p>
    <w:p w14:paraId="7CB4DB42">
      <w:pPr>
        <w:spacing w:line="360" w:lineRule="auto"/>
        <w:ind w:firstLine="480" w:firstLineChars="200"/>
        <w:jc w:val="left"/>
        <w:outlineLvl w:val="9"/>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1.1 烈度为6级以上的地震；</w:t>
      </w:r>
    </w:p>
    <w:p w14:paraId="0DB97E1A">
      <w:pPr>
        <w:spacing w:line="360" w:lineRule="auto"/>
        <w:ind w:firstLine="480" w:firstLineChars="200"/>
        <w:jc w:val="left"/>
        <w:outlineLvl w:val="9"/>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1.2 6级以上持续24小时的大风</w:t>
      </w:r>
    </w:p>
    <w:p w14:paraId="710A55D6">
      <w:pPr>
        <w:spacing w:line="360" w:lineRule="auto"/>
        <w:ind w:firstLine="480" w:firstLineChars="200"/>
        <w:jc w:val="left"/>
        <w:outlineLvl w:val="9"/>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1.3 持续降雨24小时且降雨量200mm以上；</w:t>
      </w:r>
    </w:p>
    <w:p w14:paraId="0BCD0394">
      <w:pPr>
        <w:spacing w:line="360" w:lineRule="auto"/>
        <w:ind w:firstLine="480" w:firstLineChars="200"/>
        <w:jc w:val="left"/>
        <w:outlineLvl w:val="9"/>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1.4 40℃及以上持续24小时的高温；</w:t>
      </w:r>
    </w:p>
    <w:p w14:paraId="5247F381">
      <w:pPr>
        <w:spacing w:line="360" w:lineRule="auto"/>
        <w:ind w:firstLine="480" w:firstLineChars="200"/>
        <w:jc w:val="left"/>
        <w:outlineLvl w:val="9"/>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2、不可抗力事件发生后，承包人应立即通知监理，在力所能及的条件下迅速采取措施，尽力减少损失，发包人应协助承包人采取措施。不可抗力事件结束后48小时内承包人向监理通报受害情况和损失情况，及预计清理和修复的费用。不可抗事件持续发生，承包人应每隔7天向监理报告一次受害情况。不可抗力事件结束后14天内，承包人向监理提交清理和修复费用的正式报告及有关资料。 </w:t>
      </w:r>
    </w:p>
    <w:p w14:paraId="317A17FF">
      <w:pPr>
        <w:spacing w:line="360" w:lineRule="auto"/>
        <w:ind w:firstLine="480" w:firstLineChars="200"/>
        <w:jc w:val="left"/>
        <w:outlineLvl w:val="9"/>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3、因不可抗力事件导致的费用由双方按以下方法分别承担：</w:t>
      </w:r>
    </w:p>
    <w:p w14:paraId="2F7474F9">
      <w:pPr>
        <w:spacing w:line="360" w:lineRule="auto"/>
        <w:ind w:firstLine="480" w:firstLineChars="200"/>
        <w:jc w:val="left"/>
        <w:outlineLvl w:val="9"/>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3.1 工程本身（承包人施工质量未达标准除外）的损害、因工程损害导致第三人人员伤亡和财产损失以及运至施工场地用于施工的材料和待安装的设备的损害、清理、修复费用，由发包人承担； </w:t>
      </w:r>
    </w:p>
    <w:p w14:paraId="00724AA2">
      <w:pPr>
        <w:spacing w:line="360" w:lineRule="auto"/>
        <w:ind w:firstLine="480" w:firstLineChars="200"/>
        <w:jc w:val="left"/>
        <w:outlineLvl w:val="9"/>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3.2 发包人、承包人人员伤亡由其所在单位负责，并承担相应费用；</w:t>
      </w:r>
    </w:p>
    <w:p w14:paraId="1CE80436">
      <w:pPr>
        <w:spacing w:line="360" w:lineRule="auto"/>
        <w:ind w:firstLine="480" w:firstLineChars="200"/>
        <w:jc w:val="left"/>
        <w:outlineLvl w:val="9"/>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3.3 承包人机械设备损坏及停工损失，由承包人承担；</w:t>
      </w:r>
    </w:p>
    <w:p w14:paraId="73251487">
      <w:pPr>
        <w:spacing w:line="360" w:lineRule="auto"/>
        <w:ind w:firstLine="480" w:firstLineChars="200"/>
        <w:jc w:val="left"/>
        <w:outlineLvl w:val="9"/>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3.4 停工期间，承包人应监理要求留在施工场地的必要的管理人员及保卫人员的费用由发包人承担；</w:t>
      </w:r>
    </w:p>
    <w:p w14:paraId="7D6873E8">
      <w:pPr>
        <w:spacing w:line="360" w:lineRule="auto"/>
        <w:ind w:firstLine="480" w:firstLineChars="200"/>
        <w:jc w:val="left"/>
        <w:outlineLvl w:val="9"/>
        <w:rPr>
          <w:rFonts w:ascii="宋体" w:hAnsi="宋体" w:cs="宋体"/>
          <w:color w:val="000000" w:themeColor="text1"/>
          <w:kern w:val="0"/>
          <w:sz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3.5 因合同一方迟延履行合同后发生不可抗力的，不能免除迟延履行方的相应责任</w:t>
      </w:r>
      <w:r>
        <w:rPr>
          <w:rFonts w:hint="eastAsia" w:ascii="宋体" w:hAnsi="宋体" w:cs="宋体"/>
          <w:color w:val="000000" w:themeColor="text1"/>
          <w:kern w:val="0"/>
          <w:sz w:val="24"/>
          <w:szCs w:val="24"/>
          <w:highlight w:val="none"/>
          <w14:textFill>
            <w14:solidFill>
              <w14:schemeClr w14:val="tx1"/>
            </w14:solidFill>
          </w14:textFill>
        </w:rPr>
        <w:t>。</w:t>
      </w:r>
    </w:p>
    <w:p w14:paraId="4C6D88B9">
      <w:pPr>
        <w:spacing w:after="120"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17.4 因不可抗力解除合同</w:t>
      </w:r>
    </w:p>
    <w:p w14:paraId="6C6B4EF1">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合同解除后，发包人应在商定或确定发包人应支付款项后</w:t>
      </w:r>
      <w:r>
        <w:rPr>
          <w:rFonts w:hint="eastAsia" w:ascii="宋体" w:hAnsi="宋体" w:cs="宋体"/>
          <w:color w:val="000000" w:themeColor="text1"/>
          <w:sz w:val="24"/>
          <w:szCs w:val="24"/>
          <w:highlight w:val="none"/>
          <w:u w:val="single"/>
          <w14:textFill>
            <w14:solidFill>
              <w14:schemeClr w14:val="tx1"/>
            </w14:solidFill>
          </w14:textFill>
        </w:rPr>
        <w:t>28</w:t>
      </w:r>
      <w:r>
        <w:rPr>
          <w:rFonts w:hint="eastAsia" w:ascii="宋体" w:hAnsi="宋体" w:cs="宋体"/>
          <w:color w:val="000000" w:themeColor="text1"/>
          <w:sz w:val="24"/>
          <w:szCs w:val="24"/>
          <w:highlight w:val="none"/>
          <w14:textFill>
            <w14:solidFill>
              <w14:schemeClr w14:val="tx1"/>
            </w14:solidFill>
          </w14:textFill>
        </w:rPr>
        <w:t>天内完成款项的支付。</w:t>
      </w:r>
    </w:p>
    <w:p w14:paraId="22081F34">
      <w:pPr>
        <w:spacing w:line="360" w:lineRule="auto"/>
        <w:ind w:firstLine="480" w:firstLineChars="200"/>
        <w:outlineLvl w:val="9"/>
        <w:rPr>
          <w:rFonts w:ascii="宋体" w:hAnsi="宋体" w:eastAsia="宋体" w:cs="宋体"/>
          <w:bCs/>
          <w:color w:val="000000" w:themeColor="text1"/>
          <w:sz w:val="24"/>
          <w:highlight w:val="none"/>
          <w14:textFill>
            <w14:solidFill>
              <w14:schemeClr w14:val="tx1"/>
            </w14:solidFill>
          </w14:textFill>
        </w:rPr>
      </w:pPr>
      <w:bookmarkStart w:id="616" w:name="_Toc351203650"/>
      <w:r>
        <w:rPr>
          <w:rFonts w:hint="eastAsia" w:ascii="宋体" w:hAnsi="宋体" w:eastAsia="宋体" w:cs="宋体"/>
          <w:bCs/>
          <w:color w:val="000000" w:themeColor="text1"/>
          <w:sz w:val="24"/>
          <w:szCs w:val="24"/>
          <w:highlight w:val="none"/>
          <w14:textFill>
            <w14:solidFill>
              <w14:schemeClr w14:val="tx1"/>
            </w14:solidFill>
          </w14:textFill>
        </w:rPr>
        <w:t>18. 保险</w:t>
      </w:r>
      <w:bookmarkEnd w:id="616"/>
    </w:p>
    <w:bookmarkEnd w:id="614"/>
    <w:p w14:paraId="3C0F4C7C">
      <w:pPr>
        <w:spacing w:after="120"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18.1 工程保险</w:t>
      </w:r>
    </w:p>
    <w:p w14:paraId="558DBC69">
      <w:pPr>
        <w:spacing w:line="360" w:lineRule="auto"/>
        <w:ind w:firstLine="480" w:firstLineChars="200"/>
        <w:jc w:val="left"/>
        <w:outlineLvl w:val="9"/>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关于工程保险的特别约定：</w:t>
      </w:r>
      <w:r>
        <w:rPr>
          <w:rFonts w:hint="eastAsia" w:ascii="宋体" w:hAnsi="宋体" w:cs="宋体"/>
          <w:color w:val="000000" w:themeColor="text1"/>
          <w:sz w:val="24"/>
          <w:szCs w:val="24"/>
          <w:highlight w:val="none"/>
          <w:u w:val="single"/>
          <w14:textFill>
            <w14:solidFill>
              <w14:schemeClr w14:val="tx1"/>
            </w14:solidFill>
          </w14:textFill>
        </w:rPr>
        <w:t>承包人必须按照</w:t>
      </w:r>
      <w:r>
        <w:rPr>
          <w:rFonts w:hint="eastAsia" w:ascii="宋体" w:hAnsi="宋体" w:cs="宋体"/>
          <w:color w:val="000000" w:themeColor="text1"/>
          <w:sz w:val="24"/>
          <w:szCs w:val="24"/>
          <w:highlight w:val="none"/>
          <w:u w:val="single"/>
          <w:lang w:eastAsia="zh-CN"/>
          <w14:textFill>
            <w14:solidFill>
              <w14:schemeClr w14:val="tx1"/>
            </w14:solidFill>
          </w14:textFill>
        </w:rPr>
        <w:t>玄武</w:t>
      </w:r>
      <w:r>
        <w:rPr>
          <w:rFonts w:hint="eastAsia" w:ascii="宋体" w:hAnsi="宋体" w:cs="宋体"/>
          <w:color w:val="000000" w:themeColor="text1"/>
          <w:sz w:val="24"/>
          <w:szCs w:val="24"/>
          <w:highlight w:val="none"/>
          <w:u w:val="single"/>
          <w14:textFill>
            <w14:solidFill>
              <w14:schemeClr w14:val="tx1"/>
            </w14:solidFill>
          </w14:textFill>
        </w:rPr>
        <w:t>区有关社会保障费的相关规定要求执行，发包人在支付竣工验收工程款时按同等金额扣回。</w:t>
      </w:r>
    </w:p>
    <w:p w14:paraId="2ABE0364">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承包人投保内容：必须为施工场地内员工办理意外伤害保险，并缴纳保险费。</w:t>
      </w:r>
    </w:p>
    <w:p w14:paraId="280099F2">
      <w:pPr>
        <w:spacing w:after="120"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18.3 其他保险</w:t>
      </w:r>
    </w:p>
    <w:p w14:paraId="4583DBFB">
      <w:pPr>
        <w:spacing w:line="360" w:lineRule="auto"/>
        <w:ind w:firstLine="480" w:firstLineChars="200"/>
        <w:jc w:val="left"/>
        <w:outlineLvl w:val="9"/>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关于其他保险的约定：</w:t>
      </w:r>
      <w:r>
        <w:rPr>
          <w:rFonts w:hint="eastAsia" w:ascii="宋体" w:hAnsi="宋体" w:cs="宋体"/>
          <w:color w:val="000000" w:themeColor="text1"/>
          <w:sz w:val="24"/>
          <w:szCs w:val="24"/>
          <w:highlight w:val="none"/>
          <w:u w:val="single"/>
          <w14:textFill>
            <w14:solidFill>
              <w14:schemeClr w14:val="tx1"/>
            </w14:solidFill>
          </w14:textFill>
        </w:rPr>
        <w:t>按通用条款执行</w:t>
      </w:r>
      <w:r>
        <w:rPr>
          <w:rFonts w:hint="eastAsia" w:ascii="宋体" w:hAnsi="宋体" w:cs="宋体"/>
          <w:color w:val="000000" w:themeColor="text1"/>
          <w:kern w:val="0"/>
          <w:sz w:val="24"/>
          <w:szCs w:val="24"/>
          <w:highlight w:val="none"/>
          <w14:textFill>
            <w14:solidFill>
              <w14:schemeClr w14:val="tx1"/>
            </w14:solidFill>
          </w14:textFill>
        </w:rPr>
        <w:t>。</w:t>
      </w:r>
    </w:p>
    <w:p w14:paraId="1BE750E5">
      <w:pPr>
        <w:spacing w:line="360" w:lineRule="auto"/>
        <w:ind w:firstLine="480" w:firstLineChars="200"/>
        <w:jc w:val="left"/>
        <w:outlineLvl w:val="9"/>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承包人是否应为其施工设备等办理财产保险：</w:t>
      </w:r>
      <w:r>
        <w:rPr>
          <w:rFonts w:hint="eastAsia" w:ascii="宋体" w:hAnsi="宋体" w:cs="宋体"/>
          <w:color w:val="000000" w:themeColor="text1"/>
          <w:sz w:val="24"/>
          <w:szCs w:val="24"/>
          <w:highlight w:val="none"/>
          <w:u w:val="single"/>
          <w14:textFill>
            <w14:solidFill>
              <w14:schemeClr w14:val="tx1"/>
            </w14:solidFill>
          </w14:textFill>
        </w:rPr>
        <w:t>是</w:t>
      </w:r>
      <w:r>
        <w:rPr>
          <w:rFonts w:hint="eastAsia" w:ascii="宋体" w:hAnsi="宋体" w:cs="宋体"/>
          <w:color w:val="000000" w:themeColor="text1"/>
          <w:sz w:val="24"/>
          <w:szCs w:val="24"/>
          <w:highlight w:val="none"/>
          <w14:textFill>
            <w14:solidFill>
              <w14:schemeClr w14:val="tx1"/>
            </w14:solidFill>
          </w14:textFill>
        </w:rPr>
        <w:t>。</w:t>
      </w:r>
    </w:p>
    <w:p w14:paraId="0922F6C1">
      <w:pPr>
        <w:spacing w:after="120"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18.7 通知义务</w:t>
      </w:r>
    </w:p>
    <w:p w14:paraId="030883D3">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关于变更保险合同时的通知义务的约定：</w:t>
      </w:r>
      <w:r>
        <w:rPr>
          <w:rFonts w:hint="eastAsia" w:ascii="宋体" w:hAnsi="宋体" w:cs="宋体"/>
          <w:color w:val="000000" w:themeColor="text1"/>
          <w:sz w:val="24"/>
          <w:szCs w:val="24"/>
          <w:highlight w:val="none"/>
          <w:u w:val="single"/>
          <w14:textFill>
            <w14:solidFill>
              <w14:schemeClr w14:val="tx1"/>
            </w14:solidFill>
          </w14:textFill>
        </w:rPr>
        <w:t>按通用条款执行</w:t>
      </w:r>
      <w:r>
        <w:rPr>
          <w:rFonts w:hint="eastAsia" w:ascii="宋体" w:hAnsi="宋体" w:cs="宋体"/>
          <w:color w:val="000000" w:themeColor="text1"/>
          <w:sz w:val="24"/>
          <w:szCs w:val="24"/>
          <w:highlight w:val="none"/>
          <w14:textFill>
            <w14:solidFill>
              <w14:schemeClr w14:val="tx1"/>
            </w14:solidFill>
          </w14:textFill>
        </w:rPr>
        <w:t>。</w:t>
      </w:r>
    </w:p>
    <w:bookmarkEnd w:id="590"/>
    <w:bookmarkEnd w:id="591"/>
    <w:bookmarkEnd w:id="592"/>
    <w:bookmarkEnd w:id="593"/>
    <w:bookmarkEnd w:id="594"/>
    <w:bookmarkEnd w:id="595"/>
    <w:bookmarkEnd w:id="596"/>
    <w:bookmarkEnd w:id="597"/>
    <w:bookmarkEnd w:id="598"/>
    <w:bookmarkEnd w:id="599"/>
    <w:bookmarkEnd w:id="600"/>
    <w:bookmarkEnd w:id="601"/>
    <w:p w14:paraId="6771C33A">
      <w:pPr>
        <w:spacing w:line="360" w:lineRule="auto"/>
        <w:ind w:firstLine="480" w:firstLineChars="200"/>
        <w:outlineLvl w:val="9"/>
        <w:rPr>
          <w:rFonts w:ascii="宋体" w:hAnsi="宋体" w:eastAsia="宋体" w:cs="宋体"/>
          <w:bCs/>
          <w:color w:val="000000" w:themeColor="text1"/>
          <w:sz w:val="24"/>
          <w:highlight w:val="none"/>
          <w14:textFill>
            <w14:solidFill>
              <w14:schemeClr w14:val="tx1"/>
            </w14:solidFill>
          </w14:textFill>
        </w:rPr>
      </w:pPr>
      <w:bookmarkStart w:id="617" w:name="_Toc351203651"/>
      <w:r>
        <w:rPr>
          <w:rFonts w:hint="eastAsia" w:ascii="宋体" w:hAnsi="宋体" w:eastAsia="宋体" w:cs="宋体"/>
          <w:bCs/>
          <w:color w:val="000000" w:themeColor="text1"/>
          <w:sz w:val="24"/>
          <w:szCs w:val="24"/>
          <w:highlight w:val="none"/>
          <w14:textFill>
            <w14:solidFill>
              <w14:schemeClr w14:val="tx1"/>
            </w14:solidFill>
          </w14:textFill>
        </w:rPr>
        <w:t>19. 争议解决</w:t>
      </w:r>
      <w:bookmarkEnd w:id="617"/>
    </w:p>
    <w:bookmarkEnd w:id="602"/>
    <w:bookmarkEnd w:id="603"/>
    <w:p w14:paraId="0AE03DB0">
      <w:pPr>
        <w:spacing w:after="120"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19.1争</w:t>
      </w:r>
      <w:bookmarkEnd w:id="604"/>
      <w:r>
        <w:rPr>
          <w:rFonts w:hint="eastAsia" w:ascii="宋体" w:hAnsi="宋体" w:cs="宋体"/>
          <w:color w:val="000000" w:themeColor="text1"/>
          <w:sz w:val="24"/>
          <w:szCs w:val="24"/>
          <w:highlight w:val="none"/>
          <w14:textFill>
            <w14:solidFill>
              <w14:schemeClr w14:val="tx1"/>
            </w14:solidFill>
          </w14:textFill>
        </w:rPr>
        <w:t>议评审</w:t>
      </w:r>
    </w:p>
    <w:p w14:paraId="34547B77">
      <w:pPr>
        <w:spacing w:line="360" w:lineRule="auto"/>
        <w:ind w:left="149" w:leftChars="71" w:firstLine="360" w:firstLineChars="15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合同当事人是否同意将工程争议提交争议评审小组决定：</w:t>
      </w:r>
      <w:r>
        <w:rPr>
          <w:rFonts w:hint="eastAsia" w:ascii="宋体" w:hAnsi="宋体" w:cs="宋体"/>
          <w:color w:val="000000" w:themeColor="text1"/>
          <w:sz w:val="24"/>
          <w:szCs w:val="24"/>
          <w:highlight w:val="none"/>
          <w:u w:val="single"/>
          <w14:textFill>
            <w14:solidFill>
              <w14:schemeClr w14:val="tx1"/>
            </w14:solidFill>
          </w14:textFill>
        </w:rPr>
        <w:t>不采用</w:t>
      </w:r>
      <w:r>
        <w:rPr>
          <w:rFonts w:hint="eastAsia" w:ascii="宋体" w:hAnsi="宋体" w:cs="宋体"/>
          <w:color w:val="000000" w:themeColor="text1"/>
          <w:sz w:val="24"/>
          <w:szCs w:val="24"/>
          <w:highlight w:val="none"/>
          <w14:textFill>
            <w14:solidFill>
              <w14:schemeClr w14:val="tx1"/>
            </w14:solidFill>
          </w14:textFill>
        </w:rPr>
        <w:t>。</w:t>
      </w:r>
    </w:p>
    <w:p w14:paraId="1B394C4D">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19.2.1 争议评审小组的确定</w:t>
      </w:r>
    </w:p>
    <w:p w14:paraId="5988DB59">
      <w:pPr>
        <w:spacing w:line="360" w:lineRule="auto"/>
        <w:ind w:firstLine="480" w:firstLineChars="200"/>
        <w:jc w:val="left"/>
        <w:outlineLvl w:val="9"/>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争议评审小组成员的确定：</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592A6B40">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选定争议评审员的期限：</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16E6383A">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争议评审小组成员的报酬承担方式：</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552A44B3">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其他事项的约定：</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03F3609A">
      <w:pPr>
        <w:autoSpaceDE w:val="0"/>
        <w:autoSpaceDN w:val="0"/>
        <w:adjustRightInd w:val="0"/>
        <w:spacing w:line="360" w:lineRule="auto"/>
        <w:ind w:firstLine="480" w:firstLineChars="200"/>
        <w:jc w:val="left"/>
        <w:outlineLvl w:val="9"/>
        <w:rPr>
          <w:rFonts w:ascii="宋体" w:hAnsi="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19.2.2 争议评审小组的决定</w:t>
      </w:r>
    </w:p>
    <w:p w14:paraId="3F5F3EA5">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合同当事人关于本项的约定：</w:t>
      </w:r>
      <w:r>
        <w:rPr>
          <w:rFonts w:hint="eastAsia" w:ascii="宋体" w:hAnsi="宋体" w:cs="宋体"/>
          <w:color w:val="000000" w:themeColor="text1"/>
          <w:sz w:val="24"/>
          <w:szCs w:val="24"/>
          <w:highlight w:val="none"/>
          <w:u w:val="single"/>
          <w14:textFill>
            <w14:solidFill>
              <w14:schemeClr w14:val="tx1"/>
            </w14:solidFill>
          </w14:textFill>
        </w:rPr>
        <w:t>无</w:t>
      </w:r>
      <w:r>
        <w:rPr>
          <w:rFonts w:hint="eastAsia" w:ascii="宋体" w:hAnsi="宋体" w:cs="宋体"/>
          <w:color w:val="000000" w:themeColor="text1"/>
          <w:sz w:val="24"/>
          <w:szCs w:val="24"/>
          <w:highlight w:val="none"/>
          <w14:textFill>
            <w14:solidFill>
              <w14:schemeClr w14:val="tx1"/>
            </w14:solidFill>
          </w14:textFill>
        </w:rPr>
        <w:t>。</w:t>
      </w:r>
    </w:p>
    <w:p w14:paraId="578DCCE6">
      <w:pPr>
        <w:spacing w:after="120"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19.4仲裁或诉讼</w:t>
      </w:r>
      <w:bookmarkEnd w:id="605"/>
    </w:p>
    <w:p w14:paraId="7C551D68">
      <w:pPr>
        <w:spacing w:after="120" w:line="360" w:lineRule="auto"/>
        <w:ind w:firstLine="480" w:firstLineChars="200"/>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因合同及合同有关事项发生的争议，按下列第</w:t>
      </w:r>
      <w:r>
        <w:rPr>
          <w:rFonts w:hint="eastAsia" w:ascii="宋体" w:hAnsi="宋体" w:cs="宋体"/>
          <w:color w:val="000000" w:themeColor="text1"/>
          <w:sz w:val="24"/>
          <w:szCs w:val="24"/>
          <w:highlight w:val="none"/>
          <w:u w:val="single"/>
          <w14:textFill>
            <w14:solidFill>
              <w14:schemeClr w14:val="tx1"/>
            </w14:solidFill>
          </w14:textFill>
        </w:rPr>
        <w:t>(2)</w:t>
      </w:r>
      <w:r>
        <w:rPr>
          <w:rFonts w:hint="eastAsia" w:ascii="宋体" w:hAnsi="宋体" w:cs="宋体"/>
          <w:color w:val="000000" w:themeColor="text1"/>
          <w:sz w:val="24"/>
          <w:szCs w:val="24"/>
          <w:highlight w:val="none"/>
          <w14:textFill>
            <w14:solidFill>
              <w14:schemeClr w14:val="tx1"/>
            </w14:solidFill>
          </w14:textFill>
        </w:rPr>
        <w:t>种方式解决：</w:t>
      </w:r>
    </w:p>
    <w:p w14:paraId="20C843E5">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（1）向</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仲裁委员会申请仲裁；</w:t>
      </w:r>
    </w:p>
    <w:p w14:paraId="79689246">
      <w:pPr>
        <w:spacing w:line="360" w:lineRule="auto"/>
        <w:ind w:firstLine="480" w:firstLineChars="200"/>
        <w:jc w:val="left"/>
        <w:outlineLvl w:val="9"/>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（2）向</w:t>
      </w:r>
      <w:r>
        <w:rPr>
          <w:rFonts w:hint="eastAsia" w:ascii="宋体" w:hAnsi="宋体" w:cs="宋体"/>
          <w:color w:val="000000" w:themeColor="text1"/>
          <w:sz w:val="24"/>
          <w:szCs w:val="24"/>
          <w:highlight w:val="none"/>
          <w:u w:val="single"/>
          <w14:textFill>
            <w14:solidFill>
              <w14:schemeClr w14:val="tx1"/>
            </w14:solidFill>
          </w14:textFill>
        </w:rPr>
        <w:t>工程所在地</w:t>
      </w:r>
      <w:r>
        <w:rPr>
          <w:rFonts w:hint="eastAsia" w:ascii="宋体" w:hAnsi="宋体" w:cs="宋体"/>
          <w:color w:val="000000" w:themeColor="text1"/>
          <w:sz w:val="24"/>
          <w:szCs w:val="24"/>
          <w:highlight w:val="none"/>
          <w14:textFill>
            <w14:solidFill>
              <w14:schemeClr w14:val="tx1"/>
            </w14:solidFill>
          </w14:textFill>
        </w:rPr>
        <w:t>人民法院起诉。</w:t>
      </w:r>
      <w:bookmarkEnd w:id="606"/>
      <w:bookmarkEnd w:id="607"/>
      <w:bookmarkEnd w:id="608"/>
      <w:bookmarkEnd w:id="609"/>
      <w:bookmarkEnd w:id="610"/>
      <w:bookmarkEnd w:id="611"/>
    </w:p>
    <w:p w14:paraId="5EB737B0">
      <w:pPr>
        <w:spacing w:line="360" w:lineRule="auto"/>
        <w:ind w:firstLine="480" w:firstLineChars="200"/>
        <w:outlineLvl w:val="9"/>
        <w:rPr>
          <w:rFonts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2</w:t>
      </w:r>
      <w:r>
        <w:rPr>
          <w:rFonts w:ascii="宋体" w:hAnsi="宋体" w:eastAsia="宋体" w:cs="宋体"/>
          <w:bCs/>
          <w:color w:val="000000" w:themeColor="text1"/>
          <w:sz w:val="24"/>
          <w:szCs w:val="24"/>
          <w:highlight w:val="none"/>
          <w14:textFill>
            <w14:solidFill>
              <w14:schemeClr w14:val="tx1"/>
            </w14:solidFill>
          </w14:textFill>
        </w:rPr>
        <w:t>0</w:t>
      </w:r>
      <w:r>
        <w:rPr>
          <w:rFonts w:hint="eastAsia" w:ascii="宋体" w:hAnsi="宋体" w:eastAsia="宋体" w:cs="宋体"/>
          <w:bCs/>
          <w:color w:val="000000" w:themeColor="text1"/>
          <w:sz w:val="24"/>
          <w:szCs w:val="24"/>
          <w:highlight w:val="none"/>
          <w14:textFill>
            <w14:solidFill>
              <w14:schemeClr w14:val="tx1"/>
            </w14:solidFill>
          </w14:textFill>
        </w:rPr>
        <w:t>、其它</w:t>
      </w:r>
    </w:p>
    <w:p w14:paraId="37602323">
      <w:pPr>
        <w:autoSpaceDE w:val="0"/>
        <w:autoSpaceDN w:val="0"/>
        <w:adjustRightInd w:val="0"/>
        <w:spacing w:before="100" w:after="100" w:line="360" w:lineRule="auto"/>
        <w:ind w:left="250" w:firstLine="405"/>
        <w:jc w:val="left"/>
        <w:outlineLvl w:val="9"/>
        <w:rPr>
          <w:rFonts w:ascii="宋体" w:hAnsi="宋体" w:cs="宋体"/>
          <w:bCs/>
          <w:color w:val="000000" w:themeColor="text1"/>
          <w:kern w:val="0"/>
          <w:sz w:val="24"/>
          <w:highlight w:val="none"/>
          <w:u w:val="single" w:color="000000"/>
          <w14:textFill>
            <w14:solidFill>
              <w14:schemeClr w14:val="tx1"/>
            </w14:solidFill>
          </w14:textFill>
        </w:rPr>
      </w:pPr>
      <w:r>
        <w:rPr>
          <w:rFonts w:hint="eastAsia" w:ascii="宋体" w:hAnsi="宋体" w:cs="宋体"/>
          <w:bCs/>
          <w:color w:val="000000" w:themeColor="text1"/>
          <w:kern w:val="0"/>
          <w:sz w:val="24"/>
          <w:szCs w:val="24"/>
          <w:highlight w:val="none"/>
          <w:u w:val="single" w:color="000000"/>
          <w14:textFill>
            <w14:solidFill>
              <w14:schemeClr w14:val="tx1"/>
            </w14:solidFill>
          </w14:textFill>
        </w:rPr>
        <w:t>(</w:t>
      </w:r>
      <w:r>
        <w:rPr>
          <w:rFonts w:hint="eastAsia" w:ascii="宋体" w:hAnsi="宋体" w:cs="宋体"/>
          <w:bCs/>
          <w:color w:val="000000" w:themeColor="text1"/>
          <w:kern w:val="0"/>
          <w:sz w:val="24"/>
          <w:szCs w:val="24"/>
          <w:highlight w:val="none"/>
          <w:u w:val="single" w:color="000000"/>
          <w:lang w:val="en-US" w:eastAsia="zh-CN"/>
          <w14:textFill>
            <w14:solidFill>
              <w14:schemeClr w14:val="tx1"/>
            </w14:solidFill>
          </w14:textFill>
        </w:rPr>
        <w:t>1</w:t>
      </w:r>
      <w:r>
        <w:rPr>
          <w:rFonts w:hint="eastAsia" w:ascii="宋体" w:hAnsi="宋体" w:cs="宋体"/>
          <w:bCs/>
          <w:color w:val="000000" w:themeColor="text1"/>
          <w:kern w:val="0"/>
          <w:sz w:val="24"/>
          <w:szCs w:val="24"/>
          <w:highlight w:val="none"/>
          <w:u w:val="single" w:color="000000"/>
          <w14:textFill>
            <w14:solidFill>
              <w14:schemeClr w14:val="tx1"/>
            </w14:solidFill>
          </w14:textFill>
        </w:rPr>
        <w:t>)、工程师发出的会议纪要中的决议部分，承包人应将其视为指令执行，如对决议内容有异议，应在收到会议纪要24小时内向工程提出书面意见。</w:t>
      </w:r>
    </w:p>
    <w:p w14:paraId="5DD84242">
      <w:pPr>
        <w:autoSpaceDE w:val="0"/>
        <w:autoSpaceDN w:val="0"/>
        <w:adjustRightInd w:val="0"/>
        <w:spacing w:before="100" w:after="100" w:line="360" w:lineRule="auto"/>
        <w:ind w:left="250" w:firstLine="405"/>
        <w:jc w:val="left"/>
        <w:outlineLvl w:val="9"/>
        <w:rPr>
          <w:rFonts w:ascii="宋体" w:hAnsi="宋体" w:cs="宋体"/>
          <w:bCs/>
          <w:color w:val="000000" w:themeColor="text1"/>
          <w:kern w:val="0"/>
          <w:sz w:val="24"/>
          <w:highlight w:val="none"/>
          <w:u w:val="single" w:color="000000"/>
          <w14:textFill>
            <w14:solidFill>
              <w14:schemeClr w14:val="tx1"/>
            </w14:solidFill>
          </w14:textFill>
        </w:rPr>
      </w:pPr>
      <w:r>
        <w:rPr>
          <w:rFonts w:hint="eastAsia" w:ascii="宋体" w:hAnsi="宋体" w:cs="宋体"/>
          <w:bCs/>
          <w:color w:val="000000" w:themeColor="text1"/>
          <w:kern w:val="0"/>
          <w:sz w:val="24"/>
          <w:szCs w:val="24"/>
          <w:highlight w:val="none"/>
          <w:u w:val="single" w:color="000000"/>
          <w14:textFill>
            <w14:solidFill>
              <w14:schemeClr w14:val="tx1"/>
            </w14:solidFill>
          </w14:textFill>
        </w:rPr>
        <w:t>(</w:t>
      </w:r>
      <w:r>
        <w:rPr>
          <w:rFonts w:hint="eastAsia" w:ascii="宋体" w:hAnsi="宋体" w:cs="宋体"/>
          <w:bCs/>
          <w:color w:val="000000" w:themeColor="text1"/>
          <w:kern w:val="0"/>
          <w:sz w:val="24"/>
          <w:szCs w:val="24"/>
          <w:highlight w:val="none"/>
          <w:u w:val="single" w:color="000000"/>
          <w:lang w:val="en-US" w:eastAsia="zh-CN"/>
          <w14:textFill>
            <w14:solidFill>
              <w14:schemeClr w14:val="tx1"/>
            </w14:solidFill>
          </w14:textFill>
        </w:rPr>
        <w:t>2</w:t>
      </w:r>
      <w:r>
        <w:rPr>
          <w:rFonts w:hint="eastAsia" w:ascii="宋体" w:hAnsi="宋体" w:cs="宋体"/>
          <w:bCs/>
          <w:color w:val="000000" w:themeColor="text1"/>
          <w:kern w:val="0"/>
          <w:sz w:val="24"/>
          <w:szCs w:val="24"/>
          <w:highlight w:val="none"/>
          <w:u w:val="single" w:color="000000"/>
          <w14:textFill>
            <w14:solidFill>
              <w14:schemeClr w14:val="tx1"/>
            </w14:solidFill>
          </w14:textFill>
        </w:rPr>
        <w:t>)、工程各分部分项一次检测不合格，承包人除承担返工费用外，还需承担后续检测费用以及因延期交付给发包人或相关单位造成的直接和间接损失的相关费用。</w:t>
      </w:r>
    </w:p>
    <w:p w14:paraId="7158BD01">
      <w:pPr>
        <w:autoSpaceDE w:val="0"/>
        <w:autoSpaceDN w:val="0"/>
        <w:adjustRightInd w:val="0"/>
        <w:spacing w:before="100" w:after="100" w:line="360" w:lineRule="auto"/>
        <w:ind w:left="250" w:firstLine="405"/>
        <w:jc w:val="left"/>
        <w:outlineLvl w:val="9"/>
        <w:rPr>
          <w:rFonts w:ascii="宋体" w:hAnsi="宋体" w:cs="宋体"/>
          <w:bCs/>
          <w:color w:val="000000" w:themeColor="text1"/>
          <w:kern w:val="0"/>
          <w:sz w:val="24"/>
          <w:highlight w:val="none"/>
          <w:u w:val="single" w:color="000000"/>
          <w14:textFill>
            <w14:solidFill>
              <w14:schemeClr w14:val="tx1"/>
            </w14:solidFill>
          </w14:textFill>
        </w:rPr>
      </w:pPr>
      <w:r>
        <w:rPr>
          <w:rFonts w:hint="eastAsia" w:ascii="宋体" w:hAnsi="宋体" w:cs="宋体"/>
          <w:bCs/>
          <w:color w:val="000000" w:themeColor="text1"/>
          <w:kern w:val="0"/>
          <w:sz w:val="24"/>
          <w:szCs w:val="24"/>
          <w:highlight w:val="none"/>
          <w:u w:val="single" w:color="000000"/>
          <w14:textFill>
            <w14:solidFill>
              <w14:schemeClr w14:val="tx1"/>
            </w14:solidFill>
          </w14:textFill>
        </w:rPr>
        <w:t>(</w:t>
      </w:r>
      <w:r>
        <w:rPr>
          <w:rFonts w:hint="eastAsia" w:ascii="宋体" w:hAnsi="宋体" w:cs="宋体"/>
          <w:bCs/>
          <w:color w:val="000000" w:themeColor="text1"/>
          <w:kern w:val="0"/>
          <w:sz w:val="24"/>
          <w:szCs w:val="24"/>
          <w:highlight w:val="none"/>
          <w:u w:val="single" w:color="000000"/>
          <w:lang w:val="en-US" w:eastAsia="zh-CN"/>
          <w14:textFill>
            <w14:solidFill>
              <w14:schemeClr w14:val="tx1"/>
            </w14:solidFill>
          </w14:textFill>
        </w:rPr>
        <w:t>3</w:t>
      </w:r>
      <w:r>
        <w:rPr>
          <w:rFonts w:hint="eastAsia" w:ascii="宋体" w:hAnsi="宋体" w:cs="宋体"/>
          <w:bCs/>
          <w:color w:val="000000" w:themeColor="text1"/>
          <w:kern w:val="0"/>
          <w:sz w:val="24"/>
          <w:szCs w:val="24"/>
          <w:highlight w:val="none"/>
          <w:u w:val="single" w:color="000000"/>
          <w14:textFill>
            <w14:solidFill>
              <w14:schemeClr w14:val="tx1"/>
            </w14:solidFill>
          </w14:textFill>
        </w:rPr>
        <w:t>)、如进场施工材料与招投标文件不符，发包人可另行采购，承包人承担材料费及由此造成的一切损失。甲供材的进场质量须由承包人进行复检把关，如遇因质量不合格材料的使用而引起的返工所造成的费用损失及工期延误由承包人负责。</w:t>
      </w:r>
    </w:p>
    <w:p w14:paraId="6C65DB59">
      <w:pPr>
        <w:autoSpaceDE w:val="0"/>
        <w:autoSpaceDN w:val="0"/>
        <w:adjustRightInd w:val="0"/>
        <w:spacing w:before="100" w:after="100" w:line="360" w:lineRule="auto"/>
        <w:ind w:left="250" w:firstLine="405"/>
        <w:jc w:val="left"/>
        <w:outlineLvl w:val="9"/>
        <w:rPr>
          <w:rFonts w:ascii="宋体" w:hAnsi="宋体" w:cs="宋体"/>
          <w:bCs/>
          <w:color w:val="000000" w:themeColor="text1"/>
          <w:kern w:val="0"/>
          <w:sz w:val="24"/>
          <w:highlight w:val="none"/>
          <w:u w:val="single" w:color="000000"/>
          <w14:textFill>
            <w14:solidFill>
              <w14:schemeClr w14:val="tx1"/>
            </w14:solidFill>
          </w14:textFill>
        </w:rPr>
      </w:pPr>
      <w:r>
        <w:rPr>
          <w:rFonts w:hint="eastAsia" w:ascii="宋体" w:hAnsi="宋体" w:cs="宋体"/>
          <w:bCs/>
          <w:color w:val="000000" w:themeColor="text1"/>
          <w:kern w:val="0"/>
          <w:sz w:val="24"/>
          <w:szCs w:val="24"/>
          <w:highlight w:val="none"/>
          <w:u w:val="single" w:color="000000"/>
          <w14:textFill>
            <w14:solidFill>
              <w14:schemeClr w14:val="tx1"/>
            </w14:solidFill>
          </w14:textFill>
        </w:rPr>
        <w:t>(</w:t>
      </w:r>
      <w:r>
        <w:rPr>
          <w:rFonts w:hint="eastAsia" w:ascii="宋体" w:hAnsi="宋体" w:cs="宋体"/>
          <w:bCs/>
          <w:color w:val="000000" w:themeColor="text1"/>
          <w:kern w:val="0"/>
          <w:sz w:val="24"/>
          <w:szCs w:val="24"/>
          <w:highlight w:val="none"/>
          <w:u w:val="single" w:color="000000"/>
          <w:lang w:val="en-US" w:eastAsia="zh-CN"/>
          <w14:textFill>
            <w14:solidFill>
              <w14:schemeClr w14:val="tx1"/>
            </w14:solidFill>
          </w14:textFill>
        </w:rPr>
        <w:t>4</w:t>
      </w:r>
      <w:r>
        <w:rPr>
          <w:rFonts w:hint="eastAsia" w:ascii="宋体" w:hAnsi="宋体" w:cs="宋体"/>
          <w:bCs/>
          <w:color w:val="000000" w:themeColor="text1"/>
          <w:kern w:val="0"/>
          <w:sz w:val="24"/>
          <w:szCs w:val="24"/>
          <w:highlight w:val="none"/>
          <w:u w:val="single" w:color="000000"/>
          <w14:textFill>
            <w14:solidFill>
              <w14:schemeClr w14:val="tx1"/>
            </w14:solidFill>
          </w14:textFill>
        </w:rPr>
        <w:t>)、施工过程中承包人必须无条件的执行经发包人确认的变更签证，除非该变更签证属结构性重大变动，同时也符合价款调整的相关条款之规定，否则所有变更签证均不得作为调整措施费用和延长工期的理由。</w:t>
      </w:r>
    </w:p>
    <w:p w14:paraId="526612CA">
      <w:pPr>
        <w:autoSpaceDE w:val="0"/>
        <w:autoSpaceDN w:val="0"/>
        <w:adjustRightInd w:val="0"/>
        <w:spacing w:before="100" w:after="100" w:line="360" w:lineRule="auto"/>
        <w:ind w:left="250" w:firstLine="405"/>
        <w:jc w:val="left"/>
        <w:outlineLvl w:val="9"/>
        <w:rPr>
          <w:rFonts w:ascii="宋体" w:hAnsi="宋体" w:cs="宋体"/>
          <w:bCs/>
          <w:color w:val="000000" w:themeColor="text1"/>
          <w:kern w:val="0"/>
          <w:sz w:val="24"/>
          <w:highlight w:val="none"/>
          <w:u w:val="single" w:color="000000"/>
          <w14:textFill>
            <w14:solidFill>
              <w14:schemeClr w14:val="tx1"/>
            </w14:solidFill>
          </w14:textFill>
        </w:rPr>
      </w:pPr>
      <w:r>
        <w:rPr>
          <w:rFonts w:hint="eastAsia" w:ascii="宋体" w:hAnsi="宋体" w:cs="宋体"/>
          <w:bCs/>
          <w:color w:val="000000" w:themeColor="text1"/>
          <w:kern w:val="0"/>
          <w:sz w:val="24"/>
          <w:szCs w:val="24"/>
          <w:highlight w:val="none"/>
          <w:u w:val="single" w:color="000000"/>
          <w14:textFill>
            <w14:solidFill>
              <w14:schemeClr w14:val="tx1"/>
            </w14:solidFill>
          </w14:textFill>
        </w:rPr>
        <w:t>(</w:t>
      </w:r>
      <w:r>
        <w:rPr>
          <w:rFonts w:hint="eastAsia" w:ascii="宋体" w:hAnsi="宋体" w:cs="宋体"/>
          <w:bCs/>
          <w:color w:val="000000" w:themeColor="text1"/>
          <w:kern w:val="0"/>
          <w:sz w:val="24"/>
          <w:szCs w:val="24"/>
          <w:highlight w:val="none"/>
          <w:u w:val="single" w:color="000000"/>
          <w:lang w:val="en-US" w:eastAsia="zh-CN"/>
          <w14:textFill>
            <w14:solidFill>
              <w14:schemeClr w14:val="tx1"/>
            </w14:solidFill>
          </w14:textFill>
        </w:rPr>
        <w:t>5</w:t>
      </w:r>
      <w:r>
        <w:rPr>
          <w:rFonts w:hint="eastAsia" w:ascii="宋体" w:hAnsi="宋体" w:cs="宋体"/>
          <w:bCs/>
          <w:color w:val="000000" w:themeColor="text1"/>
          <w:kern w:val="0"/>
          <w:sz w:val="24"/>
          <w:szCs w:val="24"/>
          <w:highlight w:val="none"/>
          <w:u w:val="single" w:color="000000"/>
          <w14:textFill>
            <w14:solidFill>
              <w14:schemeClr w14:val="tx1"/>
            </w14:solidFill>
          </w14:textFill>
        </w:rPr>
        <w:t>)、发包人应严格按照本合同约定支付工程进度款，承包人必须首先确保施工一线工人的工资发放，不得拖欠民工工资，否则发包人可采取必要的措施予以处理，并对承包人进行5万的违约处罚，发包人保留进一步追究承包人责任的权利。</w:t>
      </w:r>
    </w:p>
    <w:p w14:paraId="495A8E63">
      <w:pPr>
        <w:autoSpaceDE w:val="0"/>
        <w:autoSpaceDN w:val="0"/>
        <w:adjustRightInd w:val="0"/>
        <w:spacing w:before="100" w:after="100" w:line="360" w:lineRule="auto"/>
        <w:ind w:left="250" w:firstLine="405"/>
        <w:jc w:val="left"/>
        <w:outlineLvl w:val="9"/>
        <w:rPr>
          <w:rFonts w:ascii="宋体" w:hAnsi="宋体" w:cs="宋体"/>
          <w:bCs/>
          <w:color w:val="000000" w:themeColor="text1"/>
          <w:kern w:val="0"/>
          <w:sz w:val="24"/>
          <w:szCs w:val="24"/>
          <w:highlight w:val="none"/>
          <w:u w:val="single" w:color="000000"/>
          <w14:textFill>
            <w14:solidFill>
              <w14:schemeClr w14:val="tx1"/>
            </w14:solidFill>
          </w14:textFill>
        </w:rPr>
      </w:pPr>
      <w:r>
        <w:rPr>
          <w:rFonts w:hint="eastAsia" w:ascii="宋体" w:hAnsi="宋体" w:cs="宋体"/>
          <w:bCs/>
          <w:color w:val="000000" w:themeColor="text1"/>
          <w:kern w:val="0"/>
          <w:sz w:val="24"/>
          <w:szCs w:val="24"/>
          <w:highlight w:val="none"/>
          <w:u w:val="single" w:color="000000"/>
          <w14:textFill>
            <w14:solidFill>
              <w14:schemeClr w14:val="tx1"/>
            </w14:solidFill>
          </w14:textFill>
        </w:rPr>
        <w:t>(</w:t>
      </w:r>
      <w:r>
        <w:rPr>
          <w:rFonts w:hint="eastAsia" w:ascii="宋体" w:hAnsi="宋体" w:cs="宋体"/>
          <w:bCs/>
          <w:color w:val="000000" w:themeColor="text1"/>
          <w:kern w:val="0"/>
          <w:sz w:val="24"/>
          <w:szCs w:val="24"/>
          <w:highlight w:val="none"/>
          <w:u w:val="single" w:color="000000"/>
          <w:lang w:val="en-US" w:eastAsia="zh-CN"/>
          <w14:textFill>
            <w14:solidFill>
              <w14:schemeClr w14:val="tx1"/>
            </w14:solidFill>
          </w14:textFill>
        </w:rPr>
        <w:t>6</w:t>
      </w:r>
      <w:r>
        <w:rPr>
          <w:rFonts w:hint="eastAsia" w:ascii="宋体" w:hAnsi="宋体" w:cs="宋体"/>
          <w:bCs/>
          <w:color w:val="000000" w:themeColor="text1"/>
          <w:kern w:val="0"/>
          <w:sz w:val="24"/>
          <w:szCs w:val="24"/>
          <w:highlight w:val="none"/>
          <w:u w:val="single" w:color="000000"/>
          <w14:textFill>
            <w14:solidFill>
              <w14:schemeClr w14:val="tx1"/>
            </w14:solidFill>
          </w14:textFill>
        </w:rPr>
        <w:t>)、承包人施工过程中，应严格按照建设单位变更（签证）管理细则履行变更（签证）手续，并对项目总造价进行控制，及时将项目总造价情况反馈发包人，否则工程结算总价超出合同价部分不予认可。</w:t>
      </w:r>
    </w:p>
    <w:p w14:paraId="70DB8B42">
      <w:pPr>
        <w:widowControl/>
        <w:spacing w:line="360" w:lineRule="auto"/>
        <w:ind w:firstLine="480" w:firstLineChars="200"/>
        <w:outlineLvl w:val="9"/>
        <w:rPr>
          <w:rFonts w:ascii="宋体" w:hAnsi="宋体" w:cs="宋体"/>
          <w:bCs/>
          <w:color w:val="000000" w:themeColor="text1"/>
          <w:sz w:val="24"/>
          <w:szCs w:val="24"/>
          <w:highlight w:val="none"/>
          <w:u w:val="single" w:color="000000"/>
          <w14:textFill>
            <w14:solidFill>
              <w14:schemeClr w14:val="tx1"/>
            </w14:solidFill>
          </w14:textFill>
        </w:rPr>
      </w:pPr>
      <w:r>
        <w:rPr>
          <w:rFonts w:hint="eastAsia" w:ascii="宋体" w:hAnsi="宋体" w:cs="宋体"/>
          <w:bCs/>
          <w:color w:val="000000" w:themeColor="text1"/>
          <w:sz w:val="24"/>
          <w:szCs w:val="24"/>
          <w:highlight w:val="none"/>
          <w:u w:val="single" w:color="000000"/>
          <w14:textFill>
            <w14:solidFill>
              <w14:schemeClr w14:val="tx1"/>
            </w14:solidFill>
          </w14:textFill>
        </w:rPr>
        <w:t>(</w:t>
      </w:r>
      <w:r>
        <w:rPr>
          <w:rFonts w:hint="eastAsia" w:ascii="宋体" w:hAnsi="宋体" w:cs="宋体"/>
          <w:bCs/>
          <w:color w:val="000000" w:themeColor="text1"/>
          <w:sz w:val="24"/>
          <w:szCs w:val="24"/>
          <w:highlight w:val="none"/>
          <w:u w:val="single" w:color="000000"/>
          <w:lang w:val="en-US" w:eastAsia="zh-CN"/>
          <w14:textFill>
            <w14:solidFill>
              <w14:schemeClr w14:val="tx1"/>
            </w14:solidFill>
          </w14:textFill>
        </w:rPr>
        <w:t>7</w:t>
      </w:r>
      <w:r>
        <w:rPr>
          <w:rFonts w:hint="eastAsia" w:ascii="宋体" w:hAnsi="宋体" w:cs="宋体"/>
          <w:bCs/>
          <w:color w:val="000000" w:themeColor="text1"/>
          <w:sz w:val="24"/>
          <w:szCs w:val="24"/>
          <w:highlight w:val="none"/>
          <w:u w:val="single" w:color="000000"/>
          <w14:textFill>
            <w14:solidFill>
              <w14:schemeClr w14:val="tx1"/>
            </w14:solidFill>
          </w14:textFill>
        </w:rPr>
        <w:t>)、未尽事宜，如无双方书面形成的补充协议（或会议纪要），一律以本合同专用条款作为价款结算的唯一的解释依据。</w:t>
      </w:r>
    </w:p>
    <w:p w14:paraId="6C837518">
      <w:pPr>
        <w:widowControl/>
        <w:spacing w:line="360" w:lineRule="auto"/>
        <w:ind w:firstLine="480" w:firstLineChars="200"/>
        <w:outlineLvl w:val="9"/>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u w:val="single"/>
          <w:lang w:val="en-US" w:eastAsia="zh-CN"/>
          <w14:textFill>
            <w14:solidFill>
              <w14:schemeClr w14:val="tx1"/>
            </w14:solidFill>
          </w14:textFill>
        </w:rPr>
        <w:t>8）</w:t>
      </w:r>
      <w:r>
        <w:rPr>
          <w:rFonts w:hint="eastAsia" w:ascii="宋体" w:hAnsi="宋体" w:cs="宋体"/>
          <w:color w:val="000000" w:themeColor="text1"/>
          <w:sz w:val="24"/>
          <w:szCs w:val="24"/>
          <w:highlight w:val="none"/>
          <w:u w:val="single"/>
          <w14:textFill>
            <w14:solidFill>
              <w14:schemeClr w14:val="tx1"/>
            </w14:solidFill>
          </w14:textFill>
        </w:rPr>
        <w:t>包装和运送方案：投标人供货前应对投标设备的包装和运输及存放按规定提出具体方案，以供发包人审批，每件包装外面应清楚地打上货物名称、合同编号、制造厂名称、存放要求的标记，包装费、运输费、保险费应包括在投标总价内。</w:t>
      </w:r>
    </w:p>
    <w:p w14:paraId="1B83E0E6">
      <w:pPr>
        <w:widowControl/>
        <w:spacing w:line="360" w:lineRule="auto"/>
        <w:ind w:firstLine="480" w:firstLineChars="200"/>
        <w:outlineLvl w:val="9"/>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 w:val="24"/>
          <w:szCs w:val="24"/>
          <w:highlight w:val="none"/>
          <w:u w:val="single"/>
          <w:lang w:val="en-US" w:eastAsia="zh-CN"/>
          <w14:textFill>
            <w14:solidFill>
              <w14:schemeClr w14:val="tx1"/>
            </w14:solidFill>
          </w14:textFill>
        </w:rPr>
        <w:t>9</w:t>
      </w:r>
      <w:r>
        <w:rPr>
          <w:rFonts w:hint="eastAsia" w:ascii="宋体" w:hAnsi="宋体" w:cs="宋体"/>
          <w:color w:val="000000" w:themeColor="text1"/>
          <w:sz w:val="24"/>
          <w:szCs w:val="24"/>
          <w:highlight w:val="none"/>
          <w:u w:val="single"/>
          <w14:textFill>
            <w14:solidFill>
              <w14:schemeClr w14:val="tx1"/>
            </w14:solidFill>
          </w14:textFill>
        </w:rPr>
        <w:t>)成交供应商应加强施工人员的安全教育与管理，施工期内发生安全问题，所有责任由供应商承担；</w:t>
      </w:r>
    </w:p>
    <w:p w14:paraId="24974C48">
      <w:pPr>
        <w:rPr>
          <w:color w:val="000000" w:themeColor="text1"/>
          <w:highlight w:val="none"/>
          <w14:textFill>
            <w14:solidFill>
              <w14:schemeClr w14:val="tx1"/>
            </w14:solidFill>
          </w14:textFill>
        </w:rPr>
      </w:pPr>
    </w:p>
    <w:p w14:paraId="0E117986">
      <w:pPr>
        <w:pStyle w:val="15"/>
        <w:spacing w:line="360" w:lineRule="auto"/>
        <w:ind w:left="0" w:firstLine="720" w:firstLineChars="300"/>
        <w:rPr>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br w:type="page"/>
      </w:r>
      <w:r>
        <w:rPr>
          <w:rFonts w:hint="eastAsia"/>
          <w:color w:val="000000" w:themeColor="text1"/>
          <w:highlight w:val="none"/>
          <w14:textFill>
            <w14:solidFill>
              <w14:schemeClr w14:val="tx1"/>
            </w14:solidFill>
          </w14:textFill>
        </w:rPr>
        <w:t>合同附件：</w:t>
      </w:r>
    </w:p>
    <w:p w14:paraId="2BCE5A07">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hint="eastAsia" w:ascii="华文中宋" w:hAnsi="华文中宋" w:eastAsia="华文中宋"/>
          <w:color w:val="000000" w:themeColor="text1"/>
          <w:sz w:val="24"/>
          <w:szCs w:val="24"/>
          <w:highlight w:val="none"/>
          <w14:textFill>
            <w14:solidFill>
              <w14:schemeClr w14:val="tx1"/>
            </w14:solidFill>
          </w14:textFill>
        </w:rPr>
        <w:t>专用合同条款附件：</w:t>
      </w:r>
    </w:p>
    <w:p w14:paraId="1F0E1443">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ascii="华文中宋" w:hAnsi="华文中宋" w:eastAsia="华文中宋"/>
          <w:color w:val="000000" w:themeColor="text1"/>
          <w:sz w:val="24"/>
          <w:szCs w:val="24"/>
          <w:highlight w:val="none"/>
          <w14:textFill>
            <w14:solidFill>
              <w14:schemeClr w14:val="tx1"/>
            </w14:solidFill>
          </w14:textFill>
        </w:rPr>
        <w:t>附件1：承包人承揽工程项目一览表</w:t>
      </w:r>
    </w:p>
    <w:p w14:paraId="788C5C58">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ascii="华文中宋" w:hAnsi="华文中宋" w:eastAsia="华文中宋"/>
          <w:color w:val="000000" w:themeColor="text1"/>
          <w:sz w:val="24"/>
          <w:szCs w:val="24"/>
          <w:highlight w:val="none"/>
          <w14:textFill>
            <w14:solidFill>
              <w14:schemeClr w14:val="tx1"/>
            </w14:solidFill>
          </w14:textFill>
        </w:rPr>
        <w:t>附件</w:t>
      </w:r>
      <w:r>
        <w:rPr>
          <w:rFonts w:hint="eastAsia" w:ascii="华文中宋" w:hAnsi="华文中宋" w:eastAsia="华文中宋"/>
          <w:color w:val="000000" w:themeColor="text1"/>
          <w:sz w:val="24"/>
          <w:szCs w:val="24"/>
          <w:highlight w:val="none"/>
          <w:lang w:val="en-US" w:eastAsia="zh-CN"/>
          <w14:textFill>
            <w14:solidFill>
              <w14:schemeClr w14:val="tx1"/>
            </w14:solidFill>
          </w14:textFill>
        </w:rPr>
        <w:t>2</w:t>
      </w:r>
      <w:r>
        <w:rPr>
          <w:rFonts w:ascii="华文中宋" w:hAnsi="华文中宋" w:eastAsia="华文中宋"/>
          <w:color w:val="000000" w:themeColor="text1"/>
          <w:sz w:val="24"/>
          <w:szCs w:val="24"/>
          <w:highlight w:val="none"/>
          <w14:textFill>
            <w14:solidFill>
              <w14:schemeClr w14:val="tx1"/>
            </w14:solidFill>
          </w14:textFill>
        </w:rPr>
        <w:t>：工程质量保修书</w:t>
      </w:r>
    </w:p>
    <w:p w14:paraId="3D1021A5">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ascii="华文中宋" w:hAnsi="华文中宋" w:eastAsia="华文中宋"/>
          <w:color w:val="000000" w:themeColor="text1"/>
          <w:sz w:val="24"/>
          <w:szCs w:val="24"/>
          <w:highlight w:val="none"/>
          <w14:textFill>
            <w14:solidFill>
              <w14:schemeClr w14:val="tx1"/>
            </w14:solidFill>
          </w14:textFill>
        </w:rPr>
        <w:t>附件</w:t>
      </w:r>
      <w:r>
        <w:rPr>
          <w:rFonts w:hint="eastAsia" w:ascii="华文中宋" w:hAnsi="华文中宋" w:eastAsia="华文中宋"/>
          <w:color w:val="000000" w:themeColor="text1"/>
          <w:sz w:val="24"/>
          <w:szCs w:val="24"/>
          <w:highlight w:val="none"/>
          <w:lang w:val="en-US" w:eastAsia="zh-CN"/>
          <w14:textFill>
            <w14:solidFill>
              <w14:schemeClr w14:val="tx1"/>
            </w14:solidFill>
          </w14:textFill>
        </w:rPr>
        <w:t>3</w:t>
      </w:r>
      <w:r>
        <w:rPr>
          <w:rFonts w:ascii="华文中宋" w:hAnsi="华文中宋" w:eastAsia="华文中宋"/>
          <w:color w:val="000000" w:themeColor="text1"/>
          <w:sz w:val="24"/>
          <w:szCs w:val="24"/>
          <w:highlight w:val="none"/>
          <w14:textFill>
            <w14:solidFill>
              <w14:schemeClr w14:val="tx1"/>
            </w14:solidFill>
          </w14:textFill>
        </w:rPr>
        <w:t>：主要建设工程文件目录</w:t>
      </w:r>
    </w:p>
    <w:p w14:paraId="480CB20E">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ascii="华文中宋" w:hAnsi="华文中宋" w:eastAsia="华文中宋"/>
          <w:color w:val="000000" w:themeColor="text1"/>
          <w:sz w:val="24"/>
          <w:szCs w:val="24"/>
          <w:highlight w:val="none"/>
          <w14:textFill>
            <w14:solidFill>
              <w14:schemeClr w14:val="tx1"/>
            </w14:solidFill>
          </w14:textFill>
        </w:rPr>
        <w:t>附件</w:t>
      </w:r>
      <w:r>
        <w:rPr>
          <w:rFonts w:hint="eastAsia" w:ascii="华文中宋" w:hAnsi="华文中宋" w:eastAsia="华文中宋"/>
          <w:color w:val="000000" w:themeColor="text1"/>
          <w:sz w:val="24"/>
          <w:szCs w:val="24"/>
          <w:highlight w:val="none"/>
          <w:lang w:val="en-US" w:eastAsia="zh-CN"/>
          <w14:textFill>
            <w14:solidFill>
              <w14:schemeClr w14:val="tx1"/>
            </w14:solidFill>
          </w14:textFill>
        </w:rPr>
        <w:t>4</w:t>
      </w:r>
      <w:r>
        <w:rPr>
          <w:rFonts w:ascii="华文中宋" w:hAnsi="华文中宋" w:eastAsia="华文中宋"/>
          <w:color w:val="000000" w:themeColor="text1"/>
          <w:sz w:val="24"/>
          <w:szCs w:val="24"/>
          <w:highlight w:val="none"/>
          <w14:textFill>
            <w14:solidFill>
              <w14:schemeClr w14:val="tx1"/>
            </w14:solidFill>
          </w14:textFill>
        </w:rPr>
        <w:t>：承包人用于本工程施工的机械设备表</w:t>
      </w:r>
    </w:p>
    <w:p w14:paraId="0D00C8A3">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ascii="华文中宋" w:hAnsi="华文中宋" w:eastAsia="华文中宋"/>
          <w:color w:val="000000" w:themeColor="text1"/>
          <w:sz w:val="24"/>
          <w:szCs w:val="24"/>
          <w:highlight w:val="none"/>
          <w14:textFill>
            <w14:solidFill>
              <w14:schemeClr w14:val="tx1"/>
            </w14:solidFill>
          </w14:textFill>
        </w:rPr>
        <w:t>附件</w:t>
      </w:r>
      <w:r>
        <w:rPr>
          <w:rFonts w:hint="eastAsia" w:ascii="华文中宋" w:hAnsi="华文中宋" w:eastAsia="华文中宋"/>
          <w:color w:val="000000" w:themeColor="text1"/>
          <w:sz w:val="24"/>
          <w:szCs w:val="24"/>
          <w:highlight w:val="none"/>
          <w:lang w:val="en-US" w:eastAsia="zh-CN"/>
          <w14:textFill>
            <w14:solidFill>
              <w14:schemeClr w14:val="tx1"/>
            </w14:solidFill>
          </w14:textFill>
        </w:rPr>
        <w:t>5</w:t>
      </w:r>
      <w:r>
        <w:rPr>
          <w:rFonts w:ascii="华文中宋" w:hAnsi="华文中宋" w:eastAsia="华文中宋"/>
          <w:color w:val="000000" w:themeColor="text1"/>
          <w:sz w:val="24"/>
          <w:szCs w:val="24"/>
          <w:highlight w:val="none"/>
          <w14:textFill>
            <w14:solidFill>
              <w14:schemeClr w14:val="tx1"/>
            </w14:solidFill>
          </w14:textFill>
        </w:rPr>
        <w:t>：承包人主要施工管理人员表</w:t>
      </w:r>
    </w:p>
    <w:p w14:paraId="6161192E">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ascii="华文中宋" w:hAnsi="华文中宋" w:eastAsia="华文中宋"/>
          <w:color w:val="000000" w:themeColor="text1"/>
          <w:sz w:val="24"/>
          <w:szCs w:val="24"/>
          <w:highlight w:val="none"/>
          <w14:textFill>
            <w14:solidFill>
              <w14:schemeClr w14:val="tx1"/>
            </w14:solidFill>
          </w14:textFill>
        </w:rPr>
        <w:t>附件</w:t>
      </w:r>
      <w:r>
        <w:rPr>
          <w:rFonts w:hint="eastAsia" w:ascii="华文中宋" w:hAnsi="华文中宋" w:eastAsia="华文中宋"/>
          <w:color w:val="000000" w:themeColor="text1"/>
          <w:sz w:val="24"/>
          <w:szCs w:val="24"/>
          <w:highlight w:val="none"/>
          <w:lang w:val="en-US" w:eastAsia="zh-CN"/>
          <w14:textFill>
            <w14:solidFill>
              <w14:schemeClr w14:val="tx1"/>
            </w14:solidFill>
          </w14:textFill>
        </w:rPr>
        <w:t>6</w:t>
      </w:r>
      <w:r>
        <w:rPr>
          <w:rFonts w:ascii="华文中宋" w:hAnsi="华文中宋" w:eastAsia="华文中宋"/>
          <w:color w:val="000000" w:themeColor="text1"/>
          <w:sz w:val="24"/>
          <w:szCs w:val="24"/>
          <w:highlight w:val="none"/>
          <w14:textFill>
            <w14:solidFill>
              <w14:schemeClr w14:val="tx1"/>
            </w14:solidFill>
          </w14:textFill>
        </w:rPr>
        <w:t>：暂估价一览表</w:t>
      </w:r>
    </w:p>
    <w:p w14:paraId="5B6F86D2">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hint="eastAsia" w:ascii="华文中宋" w:hAnsi="华文中宋" w:eastAsia="华文中宋"/>
          <w:color w:val="000000" w:themeColor="text1"/>
          <w:sz w:val="24"/>
          <w:szCs w:val="24"/>
          <w:highlight w:val="none"/>
          <w14:textFill>
            <w14:solidFill>
              <w14:schemeClr w14:val="tx1"/>
            </w14:solidFill>
          </w14:textFill>
        </w:rPr>
        <w:t>附件</w:t>
      </w:r>
      <w:r>
        <w:rPr>
          <w:rFonts w:hint="eastAsia" w:ascii="华文中宋" w:hAnsi="华文中宋" w:eastAsia="华文中宋"/>
          <w:color w:val="000000" w:themeColor="text1"/>
          <w:sz w:val="24"/>
          <w:szCs w:val="24"/>
          <w:highlight w:val="none"/>
          <w:lang w:val="en-US" w:eastAsia="zh-CN"/>
          <w14:textFill>
            <w14:solidFill>
              <w14:schemeClr w14:val="tx1"/>
            </w14:solidFill>
          </w14:textFill>
        </w:rPr>
        <w:t>7</w:t>
      </w:r>
      <w:r>
        <w:rPr>
          <w:rFonts w:hint="eastAsia" w:ascii="华文中宋" w:hAnsi="华文中宋" w:eastAsia="华文中宋"/>
          <w:color w:val="000000" w:themeColor="text1"/>
          <w:sz w:val="24"/>
          <w:szCs w:val="24"/>
          <w:highlight w:val="none"/>
          <w14:textFill>
            <w14:solidFill>
              <w14:schemeClr w14:val="tx1"/>
            </w14:solidFill>
          </w14:textFill>
        </w:rPr>
        <w:t>：廉政协议书</w:t>
      </w:r>
    </w:p>
    <w:p w14:paraId="5068746A">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hint="eastAsia" w:ascii="华文中宋" w:hAnsi="华文中宋" w:eastAsia="华文中宋"/>
          <w:color w:val="000000" w:themeColor="text1"/>
          <w:sz w:val="24"/>
          <w:szCs w:val="24"/>
          <w:highlight w:val="none"/>
          <w14:textFill>
            <w14:solidFill>
              <w14:schemeClr w14:val="tx1"/>
            </w14:solidFill>
          </w14:textFill>
        </w:rPr>
        <w:t>附件</w:t>
      </w:r>
      <w:r>
        <w:rPr>
          <w:rFonts w:hint="eastAsia" w:ascii="华文中宋" w:hAnsi="华文中宋" w:eastAsia="华文中宋"/>
          <w:color w:val="000000" w:themeColor="text1"/>
          <w:sz w:val="24"/>
          <w:szCs w:val="24"/>
          <w:highlight w:val="none"/>
          <w:lang w:val="en-US" w:eastAsia="zh-CN"/>
          <w14:textFill>
            <w14:solidFill>
              <w14:schemeClr w14:val="tx1"/>
            </w14:solidFill>
          </w14:textFill>
        </w:rPr>
        <w:t>8</w:t>
      </w:r>
      <w:r>
        <w:rPr>
          <w:rFonts w:hint="eastAsia" w:ascii="华文中宋" w:hAnsi="华文中宋" w:eastAsia="华文中宋"/>
          <w:color w:val="000000" w:themeColor="text1"/>
          <w:sz w:val="24"/>
          <w:szCs w:val="24"/>
          <w:highlight w:val="none"/>
          <w14:textFill>
            <w14:solidFill>
              <w14:schemeClr w14:val="tx1"/>
            </w14:solidFill>
          </w14:textFill>
        </w:rPr>
        <w:t>：中国药科大学校内工程施工安全生产责任承诺书</w:t>
      </w:r>
    </w:p>
    <w:p w14:paraId="3276274B">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hint="eastAsia" w:ascii="华文中宋" w:hAnsi="华文中宋" w:eastAsia="华文中宋"/>
          <w:color w:val="000000" w:themeColor="text1"/>
          <w:sz w:val="24"/>
          <w:szCs w:val="24"/>
          <w:highlight w:val="none"/>
          <w14:textFill>
            <w14:solidFill>
              <w14:schemeClr w14:val="tx1"/>
            </w14:solidFill>
          </w14:textFill>
        </w:rPr>
        <w:t>附件</w:t>
      </w:r>
      <w:r>
        <w:rPr>
          <w:rFonts w:hint="eastAsia" w:ascii="华文中宋" w:hAnsi="华文中宋" w:eastAsia="华文中宋"/>
          <w:color w:val="000000" w:themeColor="text1"/>
          <w:sz w:val="24"/>
          <w:szCs w:val="24"/>
          <w:highlight w:val="none"/>
          <w:lang w:val="en-US" w:eastAsia="zh-CN"/>
          <w14:textFill>
            <w14:solidFill>
              <w14:schemeClr w14:val="tx1"/>
            </w14:solidFill>
          </w14:textFill>
        </w:rPr>
        <w:t>9</w:t>
      </w:r>
      <w:r>
        <w:rPr>
          <w:rFonts w:hint="eastAsia" w:ascii="华文中宋" w:hAnsi="华文中宋" w:eastAsia="华文中宋"/>
          <w:color w:val="000000" w:themeColor="text1"/>
          <w:sz w:val="24"/>
          <w:szCs w:val="24"/>
          <w:highlight w:val="none"/>
          <w14:textFill>
            <w14:solidFill>
              <w14:schemeClr w14:val="tx1"/>
            </w14:solidFill>
          </w14:textFill>
        </w:rPr>
        <w:t>：安全生产责任承诺书</w:t>
      </w:r>
    </w:p>
    <w:p w14:paraId="36822941">
      <w:pPr>
        <w:spacing w:line="360" w:lineRule="auto"/>
        <w:jc w:val="left"/>
        <w:rPr>
          <w:rFonts w:ascii="华文中宋" w:hAnsi="华文中宋" w:eastAsia="华文中宋"/>
          <w:color w:val="000000" w:themeColor="text1"/>
          <w:sz w:val="24"/>
          <w:szCs w:val="24"/>
          <w:highlight w:val="none"/>
          <w14:textFill>
            <w14:solidFill>
              <w14:schemeClr w14:val="tx1"/>
            </w14:solidFill>
          </w14:textFill>
        </w:rPr>
      </w:pPr>
      <w:r>
        <w:rPr>
          <w:rFonts w:hint="eastAsia" w:ascii="华文中宋" w:hAnsi="华文中宋" w:eastAsia="华文中宋"/>
          <w:color w:val="000000" w:themeColor="text1"/>
          <w:sz w:val="24"/>
          <w:szCs w:val="24"/>
          <w:highlight w:val="none"/>
          <w14:textFill>
            <w14:solidFill>
              <w14:schemeClr w14:val="tx1"/>
            </w14:solidFill>
          </w14:textFill>
        </w:rPr>
        <w:t>附件</w:t>
      </w:r>
      <w:r>
        <w:rPr>
          <w:rFonts w:hint="eastAsia" w:ascii="华文中宋" w:hAnsi="华文中宋" w:eastAsia="华文中宋"/>
          <w:color w:val="000000" w:themeColor="text1"/>
          <w:sz w:val="24"/>
          <w:szCs w:val="24"/>
          <w:highlight w:val="none"/>
          <w:lang w:val="en-US" w:eastAsia="zh-CN"/>
          <w14:textFill>
            <w14:solidFill>
              <w14:schemeClr w14:val="tx1"/>
            </w14:solidFill>
          </w14:textFill>
        </w:rPr>
        <w:t>10</w:t>
      </w:r>
      <w:r>
        <w:rPr>
          <w:rFonts w:hint="eastAsia" w:ascii="华文中宋" w:hAnsi="华文中宋" w:eastAsia="华文中宋"/>
          <w:color w:val="000000" w:themeColor="text1"/>
          <w:sz w:val="24"/>
          <w:szCs w:val="24"/>
          <w:highlight w:val="none"/>
          <w14:textFill>
            <w14:solidFill>
              <w14:schemeClr w14:val="tx1"/>
            </w14:solidFill>
          </w14:textFill>
        </w:rPr>
        <w:t>：中国药科大学校内工程文明施工承诺书</w:t>
      </w:r>
    </w:p>
    <w:p w14:paraId="0213F7B2">
      <w:pPr>
        <w:spacing w:line="360" w:lineRule="auto"/>
        <w:rPr>
          <w:rFonts w:ascii="宋体" w:hAnsi="宋体"/>
          <w:color w:val="000000" w:themeColor="text1"/>
          <w:sz w:val="24"/>
          <w:szCs w:val="24"/>
          <w:highlight w:val="none"/>
          <w14:textFill>
            <w14:solidFill>
              <w14:schemeClr w14:val="tx1"/>
            </w14:solidFill>
          </w14:textFill>
        </w:rPr>
      </w:pPr>
    </w:p>
    <w:p w14:paraId="4423EC50">
      <w:pPr>
        <w:spacing w:line="400" w:lineRule="exact"/>
        <w:rPr>
          <w:rFonts w:ascii="宋体" w:hAnsi="宋体"/>
          <w:color w:val="000000" w:themeColor="text1"/>
          <w:szCs w:val="21"/>
          <w:highlight w:val="none"/>
          <w14:textFill>
            <w14:solidFill>
              <w14:schemeClr w14:val="tx1"/>
            </w14:solidFill>
          </w14:textFill>
        </w:rPr>
      </w:pPr>
    </w:p>
    <w:p w14:paraId="5100BD26">
      <w:pPr>
        <w:spacing w:before="156" w:beforeLines="50" w:after="156" w:afterLines="50" w:line="360" w:lineRule="auto"/>
        <w:jc w:val="left"/>
        <w:rPr>
          <w:rFonts w:ascii="宋体" w:hAnsi="宋体"/>
          <w:b/>
          <w:color w:val="000000" w:themeColor="text1"/>
          <w:szCs w:val="21"/>
          <w:highlight w:val="none"/>
          <w14:textFill>
            <w14:solidFill>
              <w14:schemeClr w14:val="tx1"/>
            </w14:solidFill>
          </w14:textFill>
        </w:rPr>
      </w:pPr>
    </w:p>
    <w:p w14:paraId="36FE0389">
      <w:pPr>
        <w:spacing w:before="156" w:beforeLines="50" w:after="156" w:afterLines="50" w:line="360" w:lineRule="auto"/>
        <w:jc w:val="left"/>
        <w:rPr>
          <w:rFonts w:ascii="宋体" w:hAnsi="宋体"/>
          <w:b/>
          <w:color w:val="000000" w:themeColor="text1"/>
          <w:szCs w:val="21"/>
          <w:highlight w:val="none"/>
          <w14:textFill>
            <w14:solidFill>
              <w14:schemeClr w14:val="tx1"/>
            </w14:solidFill>
          </w14:textFill>
        </w:rPr>
      </w:pPr>
    </w:p>
    <w:p w14:paraId="6E353E2D">
      <w:pPr>
        <w:spacing w:before="156" w:beforeLines="50" w:after="156" w:afterLines="50" w:line="360" w:lineRule="auto"/>
        <w:jc w:val="left"/>
        <w:rPr>
          <w:rFonts w:ascii="宋体" w:hAnsi="宋体"/>
          <w:b/>
          <w:color w:val="000000" w:themeColor="text1"/>
          <w:szCs w:val="21"/>
          <w:highlight w:val="none"/>
          <w14:textFill>
            <w14:solidFill>
              <w14:schemeClr w14:val="tx1"/>
            </w14:solidFill>
          </w14:textFill>
        </w:rPr>
      </w:pPr>
    </w:p>
    <w:p w14:paraId="5D3B1F63">
      <w:pPr>
        <w:spacing w:before="156" w:beforeLines="50" w:after="156" w:afterLines="50" w:line="360" w:lineRule="auto"/>
        <w:jc w:val="left"/>
        <w:rPr>
          <w:rFonts w:ascii="宋体" w:hAnsi="宋体"/>
          <w:b/>
          <w:color w:val="000000" w:themeColor="text1"/>
          <w:szCs w:val="21"/>
          <w:highlight w:val="none"/>
          <w14:textFill>
            <w14:solidFill>
              <w14:schemeClr w14:val="tx1"/>
            </w14:solidFill>
          </w14:textFill>
        </w:rPr>
      </w:pPr>
    </w:p>
    <w:p w14:paraId="7484F117">
      <w:pPr>
        <w:spacing w:before="156" w:beforeLines="50" w:after="156" w:afterLines="50" w:line="360" w:lineRule="auto"/>
        <w:jc w:val="left"/>
        <w:rPr>
          <w:rFonts w:ascii="宋体" w:hAnsi="宋体"/>
          <w:b/>
          <w:color w:val="000000" w:themeColor="text1"/>
          <w:szCs w:val="21"/>
          <w:highlight w:val="none"/>
          <w14:textFill>
            <w14:solidFill>
              <w14:schemeClr w14:val="tx1"/>
            </w14:solidFill>
          </w14:textFill>
        </w:rPr>
      </w:pPr>
    </w:p>
    <w:p w14:paraId="03F695B7">
      <w:pPr>
        <w:spacing w:before="156" w:beforeLines="50" w:after="156" w:afterLines="50" w:line="360" w:lineRule="auto"/>
        <w:jc w:val="left"/>
        <w:rPr>
          <w:rFonts w:ascii="宋体" w:hAnsi="宋体"/>
          <w:b/>
          <w:color w:val="000000" w:themeColor="text1"/>
          <w:szCs w:val="21"/>
          <w:highlight w:val="none"/>
          <w14:textFill>
            <w14:solidFill>
              <w14:schemeClr w14:val="tx1"/>
            </w14:solidFill>
          </w14:textFill>
        </w:rPr>
      </w:pPr>
    </w:p>
    <w:p w14:paraId="07CF22B7">
      <w:pPr>
        <w:spacing w:before="156" w:beforeLines="50" w:after="156" w:afterLines="50" w:line="360" w:lineRule="auto"/>
        <w:jc w:val="left"/>
        <w:rPr>
          <w:rFonts w:ascii="宋体" w:hAnsi="宋体"/>
          <w:b/>
          <w:color w:val="000000" w:themeColor="text1"/>
          <w:szCs w:val="21"/>
          <w:highlight w:val="none"/>
          <w14:textFill>
            <w14:solidFill>
              <w14:schemeClr w14:val="tx1"/>
            </w14:solidFill>
          </w14:textFill>
        </w:rPr>
      </w:pPr>
    </w:p>
    <w:p w14:paraId="23FF5D7E">
      <w:pPr>
        <w:spacing w:before="156" w:beforeLines="50" w:after="156" w:afterLines="50" w:line="360" w:lineRule="auto"/>
        <w:jc w:val="left"/>
        <w:rPr>
          <w:rFonts w:ascii="宋体" w:hAnsi="宋体"/>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附件1：</w:t>
      </w:r>
      <w:r>
        <w:rPr>
          <w:rFonts w:ascii="宋体" w:hAnsi="宋体"/>
          <w:color w:val="000000" w:themeColor="text1"/>
          <w:szCs w:val="21"/>
          <w:highlight w:val="none"/>
          <w14:textFill>
            <w14:solidFill>
              <w14:schemeClr w14:val="tx1"/>
            </w14:solidFill>
          </w14:textFill>
        </w:rPr>
        <w:t>承包人承揽工程项目一览表</w:t>
      </w:r>
    </w:p>
    <w:tbl>
      <w:tblPr>
        <w:tblStyle w:val="25"/>
        <w:tblW w:w="8419"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85" w:type="dxa"/>
          <w:bottom w:w="0" w:type="dxa"/>
          <w:right w:w="28" w:type="dxa"/>
        </w:tblCellMar>
      </w:tblPr>
      <w:tblGrid>
        <w:gridCol w:w="1031"/>
        <w:gridCol w:w="810"/>
        <w:gridCol w:w="874"/>
        <w:gridCol w:w="589"/>
        <w:gridCol w:w="589"/>
        <w:gridCol w:w="809"/>
        <w:gridCol w:w="1030"/>
        <w:gridCol w:w="1069"/>
        <w:gridCol w:w="809"/>
        <w:gridCol w:w="809"/>
      </w:tblGrid>
      <w:tr w14:paraId="2FC8BC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85" w:type="dxa"/>
            <w:bottom w:w="0" w:type="dxa"/>
            <w:right w:w="28" w:type="dxa"/>
          </w:tblCellMar>
        </w:tblPrEx>
        <w:tc>
          <w:tcPr>
            <w:tcW w:w="1031" w:type="dxa"/>
            <w:tcBorders>
              <w:top w:val="single" w:color="auto" w:sz="12" w:space="0"/>
              <w:bottom w:val="double" w:color="auto" w:sz="6" w:space="0"/>
            </w:tcBorders>
            <w:vAlign w:val="center"/>
          </w:tcPr>
          <w:p w14:paraId="54872455">
            <w:pPr>
              <w:pStyle w:val="9"/>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单位工程名称</w:t>
            </w:r>
          </w:p>
        </w:tc>
        <w:tc>
          <w:tcPr>
            <w:tcW w:w="810" w:type="dxa"/>
            <w:tcBorders>
              <w:top w:val="single" w:color="auto" w:sz="12" w:space="0"/>
              <w:bottom w:val="double" w:color="auto" w:sz="6" w:space="0"/>
            </w:tcBorders>
            <w:vAlign w:val="center"/>
          </w:tcPr>
          <w:p w14:paraId="29534AA3">
            <w:pPr>
              <w:pStyle w:val="9"/>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建设规模</w:t>
            </w:r>
          </w:p>
        </w:tc>
        <w:tc>
          <w:tcPr>
            <w:tcW w:w="874" w:type="dxa"/>
            <w:tcBorders>
              <w:top w:val="single" w:color="auto" w:sz="12" w:space="0"/>
              <w:bottom w:val="double" w:color="auto" w:sz="6" w:space="0"/>
            </w:tcBorders>
            <w:vAlign w:val="center"/>
          </w:tcPr>
          <w:p w14:paraId="46F06595">
            <w:pPr>
              <w:pStyle w:val="9"/>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建筑面积</w:t>
            </w:r>
          </w:p>
          <w:p w14:paraId="468D20BD">
            <w:pPr>
              <w:pStyle w:val="9"/>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(平方米)</w:t>
            </w:r>
          </w:p>
        </w:tc>
        <w:tc>
          <w:tcPr>
            <w:tcW w:w="589" w:type="dxa"/>
            <w:tcBorders>
              <w:top w:val="single" w:color="auto" w:sz="12" w:space="0"/>
              <w:bottom w:val="double" w:color="auto" w:sz="6" w:space="0"/>
            </w:tcBorders>
            <w:vAlign w:val="center"/>
          </w:tcPr>
          <w:p w14:paraId="18A31925">
            <w:pPr>
              <w:pStyle w:val="9"/>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结构</w:t>
            </w:r>
          </w:p>
          <w:p w14:paraId="6C7DDBFD">
            <w:pPr>
              <w:pStyle w:val="9"/>
              <w:keepNext/>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形式</w:t>
            </w:r>
          </w:p>
        </w:tc>
        <w:tc>
          <w:tcPr>
            <w:tcW w:w="589" w:type="dxa"/>
            <w:tcBorders>
              <w:top w:val="single" w:color="auto" w:sz="12" w:space="0"/>
              <w:bottom w:val="double" w:color="auto" w:sz="6" w:space="0"/>
            </w:tcBorders>
            <w:vAlign w:val="center"/>
          </w:tcPr>
          <w:p w14:paraId="205567CD">
            <w:pPr>
              <w:pStyle w:val="9"/>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层数</w:t>
            </w:r>
          </w:p>
        </w:tc>
        <w:tc>
          <w:tcPr>
            <w:tcW w:w="809" w:type="dxa"/>
            <w:tcBorders>
              <w:top w:val="single" w:color="auto" w:sz="12" w:space="0"/>
              <w:bottom w:val="double" w:color="auto" w:sz="6" w:space="0"/>
            </w:tcBorders>
            <w:vAlign w:val="center"/>
          </w:tcPr>
          <w:p w14:paraId="7EA42084">
            <w:pPr>
              <w:pStyle w:val="9"/>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生产能力</w:t>
            </w:r>
          </w:p>
        </w:tc>
        <w:tc>
          <w:tcPr>
            <w:tcW w:w="1030" w:type="dxa"/>
            <w:tcBorders>
              <w:top w:val="single" w:color="auto" w:sz="12" w:space="0"/>
              <w:bottom w:val="double" w:color="auto" w:sz="6" w:space="0"/>
            </w:tcBorders>
            <w:vAlign w:val="center"/>
          </w:tcPr>
          <w:p w14:paraId="3AD2C607">
            <w:pPr>
              <w:pStyle w:val="9"/>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设备安装内容</w:t>
            </w:r>
          </w:p>
        </w:tc>
        <w:tc>
          <w:tcPr>
            <w:tcW w:w="1069" w:type="dxa"/>
            <w:tcBorders>
              <w:top w:val="single" w:color="auto" w:sz="12" w:space="0"/>
              <w:bottom w:val="double" w:color="auto" w:sz="6" w:space="0"/>
            </w:tcBorders>
            <w:vAlign w:val="center"/>
          </w:tcPr>
          <w:p w14:paraId="6842A5B8">
            <w:pPr>
              <w:pStyle w:val="9"/>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合同价格</w:t>
            </w:r>
          </w:p>
          <w:p w14:paraId="57B89B9C">
            <w:pPr>
              <w:pStyle w:val="9"/>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（元）</w:t>
            </w:r>
          </w:p>
        </w:tc>
        <w:tc>
          <w:tcPr>
            <w:tcW w:w="809" w:type="dxa"/>
            <w:tcBorders>
              <w:top w:val="single" w:color="auto" w:sz="12" w:space="0"/>
              <w:bottom w:val="double" w:color="auto" w:sz="6" w:space="0"/>
            </w:tcBorders>
          </w:tcPr>
          <w:p w14:paraId="1D6B5BCC">
            <w:pPr>
              <w:pStyle w:val="9"/>
              <w:keepNext/>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开工日期</w:t>
            </w:r>
          </w:p>
        </w:tc>
        <w:tc>
          <w:tcPr>
            <w:tcW w:w="809" w:type="dxa"/>
            <w:tcBorders>
              <w:top w:val="single" w:color="auto" w:sz="12" w:space="0"/>
              <w:bottom w:val="double" w:color="auto" w:sz="6" w:space="0"/>
            </w:tcBorders>
            <w:vAlign w:val="center"/>
          </w:tcPr>
          <w:p w14:paraId="092ABB67">
            <w:pPr>
              <w:pStyle w:val="9"/>
              <w:keepNext/>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竣工日期</w:t>
            </w:r>
          </w:p>
        </w:tc>
      </w:tr>
      <w:tr w14:paraId="0E5437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85" w:type="dxa"/>
            <w:bottom w:w="0" w:type="dxa"/>
            <w:right w:w="28" w:type="dxa"/>
          </w:tblCellMar>
        </w:tblPrEx>
        <w:trPr>
          <w:trHeight w:val="579" w:hRule="atLeast"/>
        </w:trPr>
        <w:tc>
          <w:tcPr>
            <w:tcW w:w="1031" w:type="dxa"/>
            <w:tcBorders>
              <w:top w:val="nil"/>
            </w:tcBorders>
            <w:vAlign w:val="center"/>
          </w:tcPr>
          <w:p w14:paraId="16E07605">
            <w:pPr>
              <w:pStyle w:val="9"/>
              <w:keepNext/>
              <w:ind w:left="63" w:right="63"/>
              <w:jc w:val="left"/>
              <w:rPr>
                <w:rFonts w:ascii="宋体" w:hAnsi="宋体"/>
                <w:color w:val="000000" w:themeColor="text1"/>
                <w:szCs w:val="21"/>
                <w:highlight w:val="none"/>
                <w14:textFill>
                  <w14:solidFill>
                    <w14:schemeClr w14:val="tx1"/>
                  </w14:solidFill>
                </w14:textFill>
              </w:rPr>
            </w:pPr>
          </w:p>
        </w:tc>
        <w:tc>
          <w:tcPr>
            <w:tcW w:w="810" w:type="dxa"/>
            <w:tcBorders>
              <w:top w:val="nil"/>
            </w:tcBorders>
            <w:vAlign w:val="center"/>
          </w:tcPr>
          <w:p w14:paraId="3813C567">
            <w:pPr>
              <w:pStyle w:val="9"/>
              <w:keepNext/>
              <w:ind w:left="63" w:right="63"/>
              <w:rPr>
                <w:rFonts w:ascii="宋体" w:hAnsi="宋体"/>
                <w:color w:val="000000" w:themeColor="text1"/>
                <w:szCs w:val="21"/>
                <w:highlight w:val="none"/>
                <w14:textFill>
                  <w14:solidFill>
                    <w14:schemeClr w14:val="tx1"/>
                  </w14:solidFill>
                </w14:textFill>
              </w:rPr>
            </w:pPr>
          </w:p>
        </w:tc>
        <w:tc>
          <w:tcPr>
            <w:tcW w:w="874" w:type="dxa"/>
            <w:tcBorders>
              <w:top w:val="nil"/>
            </w:tcBorders>
            <w:vAlign w:val="center"/>
          </w:tcPr>
          <w:p w14:paraId="2D5EDB68">
            <w:pPr>
              <w:pStyle w:val="9"/>
              <w:keepNext/>
              <w:ind w:left="63" w:right="63"/>
              <w:rPr>
                <w:rFonts w:ascii="宋体" w:hAnsi="宋体"/>
                <w:color w:val="000000" w:themeColor="text1"/>
                <w:szCs w:val="21"/>
                <w:highlight w:val="none"/>
                <w14:textFill>
                  <w14:solidFill>
                    <w14:schemeClr w14:val="tx1"/>
                  </w14:solidFill>
                </w14:textFill>
              </w:rPr>
            </w:pPr>
          </w:p>
        </w:tc>
        <w:tc>
          <w:tcPr>
            <w:tcW w:w="589" w:type="dxa"/>
            <w:tcBorders>
              <w:top w:val="nil"/>
            </w:tcBorders>
            <w:vAlign w:val="center"/>
          </w:tcPr>
          <w:p w14:paraId="42CBF7B0">
            <w:pPr>
              <w:pStyle w:val="9"/>
              <w:keepNext/>
              <w:ind w:left="63" w:right="63"/>
              <w:rPr>
                <w:rFonts w:ascii="宋体" w:hAnsi="宋体"/>
                <w:color w:val="000000" w:themeColor="text1"/>
                <w:szCs w:val="21"/>
                <w:highlight w:val="none"/>
                <w14:textFill>
                  <w14:solidFill>
                    <w14:schemeClr w14:val="tx1"/>
                  </w14:solidFill>
                </w14:textFill>
              </w:rPr>
            </w:pPr>
          </w:p>
        </w:tc>
        <w:tc>
          <w:tcPr>
            <w:tcW w:w="589" w:type="dxa"/>
            <w:tcBorders>
              <w:top w:val="nil"/>
            </w:tcBorders>
            <w:vAlign w:val="center"/>
          </w:tcPr>
          <w:p w14:paraId="7EEB1239">
            <w:pPr>
              <w:pStyle w:val="9"/>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vAlign w:val="center"/>
          </w:tcPr>
          <w:p w14:paraId="102FE747">
            <w:pPr>
              <w:pStyle w:val="9"/>
              <w:keepNext/>
              <w:ind w:left="63" w:right="63"/>
              <w:rPr>
                <w:rFonts w:ascii="宋体" w:hAnsi="宋体"/>
                <w:color w:val="000000" w:themeColor="text1"/>
                <w:szCs w:val="21"/>
                <w:highlight w:val="none"/>
                <w14:textFill>
                  <w14:solidFill>
                    <w14:schemeClr w14:val="tx1"/>
                  </w14:solidFill>
                </w14:textFill>
              </w:rPr>
            </w:pPr>
          </w:p>
        </w:tc>
        <w:tc>
          <w:tcPr>
            <w:tcW w:w="1030" w:type="dxa"/>
            <w:tcBorders>
              <w:top w:val="nil"/>
            </w:tcBorders>
            <w:vAlign w:val="center"/>
          </w:tcPr>
          <w:p w14:paraId="4B6472EE">
            <w:pPr>
              <w:pStyle w:val="9"/>
              <w:keepNext/>
              <w:ind w:left="63" w:right="63"/>
              <w:rPr>
                <w:rFonts w:ascii="宋体" w:hAnsi="宋体"/>
                <w:color w:val="000000" w:themeColor="text1"/>
                <w:szCs w:val="21"/>
                <w:highlight w:val="none"/>
                <w14:textFill>
                  <w14:solidFill>
                    <w14:schemeClr w14:val="tx1"/>
                  </w14:solidFill>
                </w14:textFill>
              </w:rPr>
            </w:pPr>
          </w:p>
        </w:tc>
        <w:tc>
          <w:tcPr>
            <w:tcW w:w="1069" w:type="dxa"/>
            <w:tcBorders>
              <w:top w:val="nil"/>
            </w:tcBorders>
            <w:vAlign w:val="center"/>
          </w:tcPr>
          <w:p w14:paraId="3CD3C05D">
            <w:pPr>
              <w:pStyle w:val="9"/>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tcPr>
          <w:p w14:paraId="6BFA2063">
            <w:pPr>
              <w:pStyle w:val="9"/>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vAlign w:val="center"/>
          </w:tcPr>
          <w:p w14:paraId="2EEE8237">
            <w:pPr>
              <w:pStyle w:val="9"/>
              <w:keepNext/>
              <w:ind w:left="63" w:right="63"/>
              <w:rPr>
                <w:rFonts w:ascii="宋体" w:hAnsi="宋体"/>
                <w:color w:val="000000" w:themeColor="text1"/>
                <w:szCs w:val="21"/>
                <w:highlight w:val="none"/>
                <w14:textFill>
                  <w14:solidFill>
                    <w14:schemeClr w14:val="tx1"/>
                  </w14:solidFill>
                </w14:textFill>
              </w:rPr>
            </w:pPr>
          </w:p>
        </w:tc>
      </w:tr>
      <w:tr w14:paraId="365ACFC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85" w:type="dxa"/>
            <w:bottom w:w="0" w:type="dxa"/>
            <w:right w:w="28" w:type="dxa"/>
          </w:tblCellMar>
        </w:tblPrEx>
        <w:trPr>
          <w:trHeight w:val="567" w:hRule="atLeast"/>
        </w:trPr>
        <w:tc>
          <w:tcPr>
            <w:tcW w:w="1031" w:type="dxa"/>
            <w:tcBorders>
              <w:top w:val="nil"/>
            </w:tcBorders>
            <w:vAlign w:val="center"/>
          </w:tcPr>
          <w:p w14:paraId="55EDE46E">
            <w:pPr>
              <w:pStyle w:val="9"/>
              <w:keepNext/>
              <w:ind w:left="63" w:right="63"/>
              <w:rPr>
                <w:rFonts w:ascii="宋体" w:hAnsi="宋体"/>
                <w:color w:val="000000" w:themeColor="text1"/>
                <w:szCs w:val="21"/>
                <w:highlight w:val="none"/>
                <w14:textFill>
                  <w14:solidFill>
                    <w14:schemeClr w14:val="tx1"/>
                  </w14:solidFill>
                </w14:textFill>
              </w:rPr>
            </w:pPr>
          </w:p>
        </w:tc>
        <w:tc>
          <w:tcPr>
            <w:tcW w:w="810" w:type="dxa"/>
            <w:tcBorders>
              <w:top w:val="nil"/>
            </w:tcBorders>
            <w:vAlign w:val="center"/>
          </w:tcPr>
          <w:p w14:paraId="086FBA0E">
            <w:pPr>
              <w:pStyle w:val="9"/>
              <w:keepNext/>
              <w:ind w:left="63" w:right="63"/>
              <w:rPr>
                <w:rFonts w:ascii="宋体" w:hAnsi="宋体"/>
                <w:color w:val="000000" w:themeColor="text1"/>
                <w:szCs w:val="21"/>
                <w:highlight w:val="none"/>
                <w14:textFill>
                  <w14:solidFill>
                    <w14:schemeClr w14:val="tx1"/>
                  </w14:solidFill>
                </w14:textFill>
              </w:rPr>
            </w:pPr>
          </w:p>
        </w:tc>
        <w:tc>
          <w:tcPr>
            <w:tcW w:w="874" w:type="dxa"/>
            <w:tcBorders>
              <w:top w:val="nil"/>
            </w:tcBorders>
            <w:vAlign w:val="center"/>
          </w:tcPr>
          <w:p w14:paraId="5F720BFC">
            <w:pPr>
              <w:pStyle w:val="9"/>
              <w:keepNext/>
              <w:ind w:left="63" w:right="63"/>
              <w:rPr>
                <w:rFonts w:ascii="宋体" w:hAnsi="宋体"/>
                <w:color w:val="000000" w:themeColor="text1"/>
                <w:szCs w:val="21"/>
                <w:highlight w:val="none"/>
                <w14:textFill>
                  <w14:solidFill>
                    <w14:schemeClr w14:val="tx1"/>
                  </w14:solidFill>
                </w14:textFill>
              </w:rPr>
            </w:pPr>
          </w:p>
        </w:tc>
        <w:tc>
          <w:tcPr>
            <w:tcW w:w="589" w:type="dxa"/>
            <w:tcBorders>
              <w:top w:val="nil"/>
            </w:tcBorders>
            <w:vAlign w:val="center"/>
          </w:tcPr>
          <w:p w14:paraId="60CF2375">
            <w:pPr>
              <w:pStyle w:val="9"/>
              <w:keepNext/>
              <w:ind w:left="63" w:right="63"/>
              <w:rPr>
                <w:rFonts w:ascii="宋体" w:hAnsi="宋体"/>
                <w:color w:val="000000" w:themeColor="text1"/>
                <w:szCs w:val="21"/>
                <w:highlight w:val="none"/>
                <w14:textFill>
                  <w14:solidFill>
                    <w14:schemeClr w14:val="tx1"/>
                  </w14:solidFill>
                </w14:textFill>
              </w:rPr>
            </w:pPr>
          </w:p>
        </w:tc>
        <w:tc>
          <w:tcPr>
            <w:tcW w:w="589" w:type="dxa"/>
            <w:tcBorders>
              <w:top w:val="nil"/>
            </w:tcBorders>
            <w:vAlign w:val="center"/>
          </w:tcPr>
          <w:p w14:paraId="50249476">
            <w:pPr>
              <w:pStyle w:val="9"/>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vAlign w:val="center"/>
          </w:tcPr>
          <w:p w14:paraId="5FB228C8">
            <w:pPr>
              <w:pStyle w:val="9"/>
              <w:keepNext/>
              <w:ind w:left="63" w:right="63"/>
              <w:rPr>
                <w:rFonts w:ascii="宋体" w:hAnsi="宋体"/>
                <w:color w:val="000000" w:themeColor="text1"/>
                <w:szCs w:val="21"/>
                <w:highlight w:val="none"/>
                <w14:textFill>
                  <w14:solidFill>
                    <w14:schemeClr w14:val="tx1"/>
                  </w14:solidFill>
                </w14:textFill>
              </w:rPr>
            </w:pPr>
          </w:p>
        </w:tc>
        <w:tc>
          <w:tcPr>
            <w:tcW w:w="1030" w:type="dxa"/>
            <w:tcBorders>
              <w:top w:val="nil"/>
            </w:tcBorders>
            <w:vAlign w:val="center"/>
          </w:tcPr>
          <w:p w14:paraId="63EA50E9">
            <w:pPr>
              <w:pStyle w:val="9"/>
              <w:keepNext/>
              <w:ind w:left="63" w:right="63"/>
              <w:rPr>
                <w:rFonts w:ascii="宋体" w:hAnsi="宋体"/>
                <w:color w:val="000000" w:themeColor="text1"/>
                <w:szCs w:val="21"/>
                <w:highlight w:val="none"/>
                <w14:textFill>
                  <w14:solidFill>
                    <w14:schemeClr w14:val="tx1"/>
                  </w14:solidFill>
                </w14:textFill>
              </w:rPr>
            </w:pPr>
          </w:p>
        </w:tc>
        <w:tc>
          <w:tcPr>
            <w:tcW w:w="1069" w:type="dxa"/>
            <w:tcBorders>
              <w:top w:val="nil"/>
            </w:tcBorders>
            <w:vAlign w:val="center"/>
          </w:tcPr>
          <w:p w14:paraId="31030ADF">
            <w:pPr>
              <w:pStyle w:val="9"/>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tcPr>
          <w:p w14:paraId="3A7FF389">
            <w:pPr>
              <w:pStyle w:val="9"/>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vAlign w:val="center"/>
          </w:tcPr>
          <w:p w14:paraId="45BB05B2">
            <w:pPr>
              <w:pStyle w:val="9"/>
              <w:keepNext/>
              <w:ind w:left="63" w:right="63"/>
              <w:rPr>
                <w:rFonts w:ascii="宋体" w:hAnsi="宋体"/>
                <w:color w:val="000000" w:themeColor="text1"/>
                <w:szCs w:val="21"/>
                <w:highlight w:val="none"/>
                <w14:textFill>
                  <w14:solidFill>
                    <w14:schemeClr w14:val="tx1"/>
                  </w14:solidFill>
                </w14:textFill>
              </w:rPr>
            </w:pPr>
          </w:p>
        </w:tc>
      </w:tr>
      <w:tr w14:paraId="089102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85" w:type="dxa"/>
            <w:bottom w:w="0" w:type="dxa"/>
            <w:right w:w="28" w:type="dxa"/>
          </w:tblCellMar>
        </w:tblPrEx>
        <w:trPr>
          <w:trHeight w:val="567" w:hRule="atLeast"/>
        </w:trPr>
        <w:tc>
          <w:tcPr>
            <w:tcW w:w="1031" w:type="dxa"/>
            <w:vAlign w:val="center"/>
          </w:tcPr>
          <w:p w14:paraId="7186F231">
            <w:pPr>
              <w:pStyle w:val="9"/>
              <w:keepNext/>
              <w:ind w:left="63" w:right="63"/>
              <w:rPr>
                <w:rFonts w:ascii="宋体" w:hAnsi="宋体"/>
                <w:color w:val="000000" w:themeColor="text1"/>
                <w:szCs w:val="21"/>
                <w:highlight w:val="none"/>
                <w14:textFill>
                  <w14:solidFill>
                    <w14:schemeClr w14:val="tx1"/>
                  </w14:solidFill>
                </w14:textFill>
              </w:rPr>
            </w:pPr>
          </w:p>
        </w:tc>
        <w:tc>
          <w:tcPr>
            <w:tcW w:w="810" w:type="dxa"/>
            <w:vAlign w:val="center"/>
          </w:tcPr>
          <w:p w14:paraId="6DDD865E">
            <w:pPr>
              <w:pStyle w:val="9"/>
              <w:keepNext/>
              <w:ind w:left="63" w:right="63"/>
              <w:rPr>
                <w:rFonts w:ascii="宋体" w:hAnsi="宋体"/>
                <w:color w:val="000000" w:themeColor="text1"/>
                <w:szCs w:val="21"/>
                <w:highlight w:val="none"/>
                <w14:textFill>
                  <w14:solidFill>
                    <w14:schemeClr w14:val="tx1"/>
                  </w14:solidFill>
                </w14:textFill>
              </w:rPr>
            </w:pPr>
          </w:p>
        </w:tc>
        <w:tc>
          <w:tcPr>
            <w:tcW w:w="874" w:type="dxa"/>
            <w:vAlign w:val="center"/>
          </w:tcPr>
          <w:p w14:paraId="4CBB1061">
            <w:pPr>
              <w:pStyle w:val="9"/>
              <w:keepNext/>
              <w:ind w:left="63" w:right="63"/>
              <w:rPr>
                <w:rFonts w:ascii="宋体" w:hAnsi="宋体"/>
                <w:color w:val="000000" w:themeColor="text1"/>
                <w:szCs w:val="21"/>
                <w:highlight w:val="none"/>
                <w14:textFill>
                  <w14:solidFill>
                    <w14:schemeClr w14:val="tx1"/>
                  </w14:solidFill>
                </w14:textFill>
              </w:rPr>
            </w:pPr>
          </w:p>
        </w:tc>
        <w:tc>
          <w:tcPr>
            <w:tcW w:w="589" w:type="dxa"/>
            <w:vAlign w:val="center"/>
          </w:tcPr>
          <w:p w14:paraId="514EFF85">
            <w:pPr>
              <w:pStyle w:val="9"/>
              <w:keepNext/>
              <w:ind w:left="63" w:right="63"/>
              <w:rPr>
                <w:rFonts w:ascii="宋体" w:hAnsi="宋体"/>
                <w:color w:val="000000" w:themeColor="text1"/>
                <w:szCs w:val="21"/>
                <w:highlight w:val="none"/>
                <w14:textFill>
                  <w14:solidFill>
                    <w14:schemeClr w14:val="tx1"/>
                  </w14:solidFill>
                </w14:textFill>
              </w:rPr>
            </w:pPr>
          </w:p>
        </w:tc>
        <w:tc>
          <w:tcPr>
            <w:tcW w:w="589" w:type="dxa"/>
            <w:vAlign w:val="center"/>
          </w:tcPr>
          <w:p w14:paraId="6D53F6E4">
            <w:pPr>
              <w:pStyle w:val="9"/>
              <w:keepNext/>
              <w:ind w:left="63" w:right="63"/>
              <w:rPr>
                <w:rFonts w:ascii="宋体" w:hAnsi="宋体"/>
                <w:color w:val="000000" w:themeColor="text1"/>
                <w:szCs w:val="21"/>
                <w:highlight w:val="none"/>
                <w14:textFill>
                  <w14:solidFill>
                    <w14:schemeClr w14:val="tx1"/>
                  </w14:solidFill>
                </w14:textFill>
              </w:rPr>
            </w:pPr>
          </w:p>
        </w:tc>
        <w:tc>
          <w:tcPr>
            <w:tcW w:w="809" w:type="dxa"/>
            <w:vAlign w:val="center"/>
          </w:tcPr>
          <w:p w14:paraId="267670A4">
            <w:pPr>
              <w:pStyle w:val="9"/>
              <w:keepNext/>
              <w:ind w:left="63" w:right="63"/>
              <w:rPr>
                <w:rFonts w:ascii="宋体" w:hAnsi="宋体"/>
                <w:color w:val="000000" w:themeColor="text1"/>
                <w:szCs w:val="21"/>
                <w:highlight w:val="none"/>
                <w14:textFill>
                  <w14:solidFill>
                    <w14:schemeClr w14:val="tx1"/>
                  </w14:solidFill>
                </w14:textFill>
              </w:rPr>
            </w:pPr>
          </w:p>
        </w:tc>
        <w:tc>
          <w:tcPr>
            <w:tcW w:w="1030" w:type="dxa"/>
            <w:vAlign w:val="center"/>
          </w:tcPr>
          <w:p w14:paraId="268DD556">
            <w:pPr>
              <w:pStyle w:val="9"/>
              <w:keepNext/>
              <w:ind w:left="63" w:right="63"/>
              <w:rPr>
                <w:rFonts w:ascii="宋体" w:hAnsi="宋体"/>
                <w:color w:val="000000" w:themeColor="text1"/>
                <w:szCs w:val="21"/>
                <w:highlight w:val="none"/>
                <w14:textFill>
                  <w14:solidFill>
                    <w14:schemeClr w14:val="tx1"/>
                  </w14:solidFill>
                </w14:textFill>
              </w:rPr>
            </w:pPr>
          </w:p>
        </w:tc>
        <w:tc>
          <w:tcPr>
            <w:tcW w:w="1069" w:type="dxa"/>
            <w:vAlign w:val="center"/>
          </w:tcPr>
          <w:p w14:paraId="7B9F5ECC">
            <w:pPr>
              <w:pStyle w:val="9"/>
              <w:keepNext/>
              <w:ind w:left="63" w:right="63"/>
              <w:rPr>
                <w:rFonts w:ascii="宋体" w:hAnsi="宋体"/>
                <w:color w:val="000000" w:themeColor="text1"/>
                <w:szCs w:val="21"/>
                <w:highlight w:val="none"/>
                <w14:textFill>
                  <w14:solidFill>
                    <w14:schemeClr w14:val="tx1"/>
                  </w14:solidFill>
                </w14:textFill>
              </w:rPr>
            </w:pPr>
          </w:p>
        </w:tc>
        <w:tc>
          <w:tcPr>
            <w:tcW w:w="809" w:type="dxa"/>
          </w:tcPr>
          <w:p w14:paraId="5E1C37A0">
            <w:pPr>
              <w:pStyle w:val="9"/>
              <w:keepNext/>
              <w:ind w:left="63" w:right="63"/>
              <w:rPr>
                <w:rFonts w:ascii="宋体" w:hAnsi="宋体"/>
                <w:color w:val="000000" w:themeColor="text1"/>
                <w:szCs w:val="21"/>
                <w:highlight w:val="none"/>
                <w14:textFill>
                  <w14:solidFill>
                    <w14:schemeClr w14:val="tx1"/>
                  </w14:solidFill>
                </w14:textFill>
              </w:rPr>
            </w:pPr>
          </w:p>
        </w:tc>
        <w:tc>
          <w:tcPr>
            <w:tcW w:w="809" w:type="dxa"/>
            <w:vAlign w:val="center"/>
          </w:tcPr>
          <w:p w14:paraId="59EAFFCE">
            <w:pPr>
              <w:pStyle w:val="9"/>
              <w:keepNext/>
              <w:ind w:left="63" w:right="63"/>
              <w:rPr>
                <w:rFonts w:ascii="宋体" w:hAnsi="宋体"/>
                <w:color w:val="000000" w:themeColor="text1"/>
                <w:szCs w:val="21"/>
                <w:highlight w:val="none"/>
                <w14:textFill>
                  <w14:solidFill>
                    <w14:schemeClr w14:val="tx1"/>
                  </w14:solidFill>
                </w14:textFill>
              </w:rPr>
            </w:pPr>
          </w:p>
        </w:tc>
      </w:tr>
      <w:tr w14:paraId="29C22AA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85" w:type="dxa"/>
            <w:bottom w:w="0" w:type="dxa"/>
            <w:right w:w="28" w:type="dxa"/>
          </w:tblCellMar>
        </w:tblPrEx>
        <w:trPr>
          <w:trHeight w:val="567" w:hRule="atLeast"/>
        </w:trPr>
        <w:tc>
          <w:tcPr>
            <w:tcW w:w="1031" w:type="dxa"/>
            <w:tcBorders>
              <w:top w:val="nil"/>
            </w:tcBorders>
            <w:vAlign w:val="center"/>
          </w:tcPr>
          <w:p w14:paraId="128E91C6">
            <w:pPr>
              <w:pStyle w:val="9"/>
              <w:keepNext/>
              <w:ind w:left="63" w:right="63"/>
              <w:rPr>
                <w:rFonts w:ascii="宋体" w:hAnsi="宋体"/>
                <w:color w:val="000000" w:themeColor="text1"/>
                <w:szCs w:val="21"/>
                <w:highlight w:val="none"/>
                <w14:textFill>
                  <w14:solidFill>
                    <w14:schemeClr w14:val="tx1"/>
                  </w14:solidFill>
                </w14:textFill>
              </w:rPr>
            </w:pPr>
          </w:p>
        </w:tc>
        <w:tc>
          <w:tcPr>
            <w:tcW w:w="810" w:type="dxa"/>
            <w:tcBorders>
              <w:top w:val="nil"/>
            </w:tcBorders>
            <w:vAlign w:val="center"/>
          </w:tcPr>
          <w:p w14:paraId="46D3567C">
            <w:pPr>
              <w:pStyle w:val="9"/>
              <w:keepNext/>
              <w:ind w:left="63" w:right="63"/>
              <w:rPr>
                <w:rFonts w:ascii="宋体" w:hAnsi="宋体"/>
                <w:color w:val="000000" w:themeColor="text1"/>
                <w:szCs w:val="21"/>
                <w:highlight w:val="none"/>
                <w14:textFill>
                  <w14:solidFill>
                    <w14:schemeClr w14:val="tx1"/>
                  </w14:solidFill>
                </w14:textFill>
              </w:rPr>
            </w:pPr>
          </w:p>
        </w:tc>
        <w:tc>
          <w:tcPr>
            <w:tcW w:w="874" w:type="dxa"/>
            <w:tcBorders>
              <w:top w:val="nil"/>
            </w:tcBorders>
            <w:vAlign w:val="center"/>
          </w:tcPr>
          <w:p w14:paraId="6600C59E">
            <w:pPr>
              <w:pStyle w:val="9"/>
              <w:keepNext/>
              <w:ind w:left="63" w:right="63"/>
              <w:rPr>
                <w:rFonts w:ascii="宋体" w:hAnsi="宋体"/>
                <w:color w:val="000000" w:themeColor="text1"/>
                <w:szCs w:val="21"/>
                <w:highlight w:val="none"/>
                <w14:textFill>
                  <w14:solidFill>
                    <w14:schemeClr w14:val="tx1"/>
                  </w14:solidFill>
                </w14:textFill>
              </w:rPr>
            </w:pPr>
          </w:p>
        </w:tc>
        <w:tc>
          <w:tcPr>
            <w:tcW w:w="589" w:type="dxa"/>
            <w:tcBorders>
              <w:top w:val="nil"/>
            </w:tcBorders>
            <w:vAlign w:val="center"/>
          </w:tcPr>
          <w:p w14:paraId="5F7BC165">
            <w:pPr>
              <w:pStyle w:val="9"/>
              <w:keepNext/>
              <w:ind w:left="63" w:right="63"/>
              <w:rPr>
                <w:rFonts w:ascii="宋体" w:hAnsi="宋体"/>
                <w:color w:val="000000" w:themeColor="text1"/>
                <w:szCs w:val="21"/>
                <w:highlight w:val="none"/>
                <w14:textFill>
                  <w14:solidFill>
                    <w14:schemeClr w14:val="tx1"/>
                  </w14:solidFill>
                </w14:textFill>
              </w:rPr>
            </w:pPr>
          </w:p>
        </w:tc>
        <w:tc>
          <w:tcPr>
            <w:tcW w:w="589" w:type="dxa"/>
            <w:tcBorders>
              <w:top w:val="nil"/>
            </w:tcBorders>
            <w:vAlign w:val="center"/>
          </w:tcPr>
          <w:p w14:paraId="574CCD8B">
            <w:pPr>
              <w:pStyle w:val="9"/>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vAlign w:val="center"/>
          </w:tcPr>
          <w:p w14:paraId="0C269A2A">
            <w:pPr>
              <w:pStyle w:val="9"/>
              <w:keepNext/>
              <w:ind w:left="63" w:right="63"/>
              <w:rPr>
                <w:rFonts w:ascii="宋体" w:hAnsi="宋体"/>
                <w:color w:val="000000" w:themeColor="text1"/>
                <w:szCs w:val="21"/>
                <w:highlight w:val="none"/>
                <w14:textFill>
                  <w14:solidFill>
                    <w14:schemeClr w14:val="tx1"/>
                  </w14:solidFill>
                </w14:textFill>
              </w:rPr>
            </w:pPr>
          </w:p>
        </w:tc>
        <w:tc>
          <w:tcPr>
            <w:tcW w:w="1030" w:type="dxa"/>
            <w:tcBorders>
              <w:top w:val="nil"/>
            </w:tcBorders>
            <w:vAlign w:val="center"/>
          </w:tcPr>
          <w:p w14:paraId="618B49E5">
            <w:pPr>
              <w:pStyle w:val="9"/>
              <w:keepNext/>
              <w:ind w:left="63" w:right="63"/>
              <w:rPr>
                <w:rFonts w:ascii="宋体" w:hAnsi="宋体"/>
                <w:color w:val="000000" w:themeColor="text1"/>
                <w:szCs w:val="21"/>
                <w:highlight w:val="none"/>
                <w14:textFill>
                  <w14:solidFill>
                    <w14:schemeClr w14:val="tx1"/>
                  </w14:solidFill>
                </w14:textFill>
              </w:rPr>
            </w:pPr>
          </w:p>
        </w:tc>
        <w:tc>
          <w:tcPr>
            <w:tcW w:w="1069" w:type="dxa"/>
            <w:tcBorders>
              <w:top w:val="nil"/>
            </w:tcBorders>
            <w:vAlign w:val="center"/>
          </w:tcPr>
          <w:p w14:paraId="525B0272">
            <w:pPr>
              <w:pStyle w:val="9"/>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tcPr>
          <w:p w14:paraId="4EF53038">
            <w:pPr>
              <w:pStyle w:val="9"/>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vAlign w:val="center"/>
          </w:tcPr>
          <w:p w14:paraId="382C5FB0">
            <w:pPr>
              <w:pStyle w:val="9"/>
              <w:keepNext/>
              <w:ind w:left="63" w:right="63"/>
              <w:rPr>
                <w:rFonts w:ascii="宋体" w:hAnsi="宋体"/>
                <w:color w:val="000000" w:themeColor="text1"/>
                <w:szCs w:val="21"/>
                <w:highlight w:val="none"/>
                <w14:textFill>
                  <w14:solidFill>
                    <w14:schemeClr w14:val="tx1"/>
                  </w14:solidFill>
                </w14:textFill>
              </w:rPr>
            </w:pPr>
          </w:p>
        </w:tc>
      </w:tr>
      <w:tr w14:paraId="624A72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85" w:type="dxa"/>
            <w:bottom w:w="0" w:type="dxa"/>
            <w:right w:w="28" w:type="dxa"/>
          </w:tblCellMar>
        </w:tblPrEx>
        <w:trPr>
          <w:trHeight w:val="567" w:hRule="atLeast"/>
        </w:trPr>
        <w:tc>
          <w:tcPr>
            <w:tcW w:w="1031" w:type="dxa"/>
            <w:vAlign w:val="center"/>
          </w:tcPr>
          <w:p w14:paraId="187A3F13">
            <w:pPr>
              <w:pStyle w:val="9"/>
              <w:keepNext/>
              <w:ind w:left="63" w:right="63"/>
              <w:rPr>
                <w:rFonts w:ascii="宋体" w:hAnsi="宋体"/>
                <w:color w:val="000000" w:themeColor="text1"/>
                <w:szCs w:val="21"/>
                <w:highlight w:val="none"/>
                <w14:textFill>
                  <w14:solidFill>
                    <w14:schemeClr w14:val="tx1"/>
                  </w14:solidFill>
                </w14:textFill>
              </w:rPr>
            </w:pPr>
          </w:p>
        </w:tc>
        <w:tc>
          <w:tcPr>
            <w:tcW w:w="810" w:type="dxa"/>
            <w:vAlign w:val="center"/>
          </w:tcPr>
          <w:p w14:paraId="20FA42DE">
            <w:pPr>
              <w:pStyle w:val="9"/>
              <w:keepNext/>
              <w:ind w:left="63" w:right="63"/>
              <w:rPr>
                <w:rFonts w:ascii="宋体" w:hAnsi="宋体"/>
                <w:color w:val="000000" w:themeColor="text1"/>
                <w:szCs w:val="21"/>
                <w:highlight w:val="none"/>
                <w14:textFill>
                  <w14:solidFill>
                    <w14:schemeClr w14:val="tx1"/>
                  </w14:solidFill>
                </w14:textFill>
              </w:rPr>
            </w:pPr>
          </w:p>
        </w:tc>
        <w:tc>
          <w:tcPr>
            <w:tcW w:w="874" w:type="dxa"/>
            <w:vAlign w:val="center"/>
          </w:tcPr>
          <w:p w14:paraId="1AFBC62C">
            <w:pPr>
              <w:pStyle w:val="9"/>
              <w:keepNext/>
              <w:ind w:left="63" w:right="63"/>
              <w:rPr>
                <w:rFonts w:ascii="宋体" w:hAnsi="宋体"/>
                <w:color w:val="000000" w:themeColor="text1"/>
                <w:szCs w:val="21"/>
                <w:highlight w:val="none"/>
                <w14:textFill>
                  <w14:solidFill>
                    <w14:schemeClr w14:val="tx1"/>
                  </w14:solidFill>
                </w14:textFill>
              </w:rPr>
            </w:pPr>
          </w:p>
        </w:tc>
        <w:tc>
          <w:tcPr>
            <w:tcW w:w="589" w:type="dxa"/>
            <w:vAlign w:val="center"/>
          </w:tcPr>
          <w:p w14:paraId="1D7A7F6C">
            <w:pPr>
              <w:pStyle w:val="9"/>
              <w:keepNext/>
              <w:ind w:left="63" w:right="63"/>
              <w:rPr>
                <w:rFonts w:ascii="宋体" w:hAnsi="宋体"/>
                <w:color w:val="000000" w:themeColor="text1"/>
                <w:szCs w:val="21"/>
                <w:highlight w:val="none"/>
                <w14:textFill>
                  <w14:solidFill>
                    <w14:schemeClr w14:val="tx1"/>
                  </w14:solidFill>
                </w14:textFill>
              </w:rPr>
            </w:pPr>
          </w:p>
        </w:tc>
        <w:tc>
          <w:tcPr>
            <w:tcW w:w="589" w:type="dxa"/>
            <w:vAlign w:val="center"/>
          </w:tcPr>
          <w:p w14:paraId="77086046">
            <w:pPr>
              <w:pStyle w:val="9"/>
              <w:keepNext/>
              <w:ind w:left="63" w:right="63"/>
              <w:rPr>
                <w:rFonts w:ascii="宋体" w:hAnsi="宋体"/>
                <w:color w:val="000000" w:themeColor="text1"/>
                <w:szCs w:val="21"/>
                <w:highlight w:val="none"/>
                <w14:textFill>
                  <w14:solidFill>
                    <w14:schemeClr w14:val="tx1"/>
                  </w14:solidFill>
                </w14:textFill>
              </w:rPr>
            </w:pPr>
          </w:p>
        </w:tc>
        <w:tc>
          <w:tcPr>
            <w:tcW w:w="809" w:type="dxa"/>
            <w:vAlign w:val="center"/>
          </w:tcPr>
          <w:p w14:paraId="2D0672B4">
            <w:pPr>
              <w:pStyle w:val="9"/>
              <w:keepNext/>
              <w:ind w:left="63" w:right="63"/>
              <w:rPr>
                <w:rFonts w:ascii="宋体" w:hAnsi="宋体"/>
                <w:color w:val="000000" w:themeColor="text1"/>
                <w:szCs w:val="21"/>
                <w:highlight w:val="none"/>
                <w14:textFill>
                  <w14:solidFill>
                    <w14:schemeClr w14:val="tx1"/>
                  </w14:solidFill>
                </w14:textFill>
              </w:rPr>
            </w:pPr>
          </w:p>
        </w:tc>
        <w:tc>
          <w:tcPr>
            <w:tcW w:w="1030" w:type="dxa"/>
            <w:vAlign w:val="center"/>
          </w:tcPr>
          <w:p w14:paraId="75344FB8">
            <w:pPr>
              <w:pStyle w:val="9"/>
              <w:keepNext/>
              <w:ind w:left="63" w:right="63"/>
              <w:rPr>
                <w:rFonts w:ascii="宋体" w:hAnsi="宋体"/>
                <w:color w:val="000000" w:themeColor="text1"/>
                <w:szCs w:val="21"/>
                <w:highlight w:val="none"/>
                <w14:textFill>
                  <w14:solidFill>
                    <w14:schemeClr w14:val="tx1"/>
                  </w14:solidFill>
                </w14:textFill>
              </w:rPr>
            </w:pPr>
          </w:p>
        </w:tc>
        <w:tc>
          <w:tcPr>
            <w:tcW w:w="1069" w:type="dxa"/>
            <w:vAlign w:val="center"/>
          </w:tcPr>
          <w:p w14:paraId="2E9127E4">
            <w:pPr>
              <w:pStyle w:val="9"/>
              <w:keepNext/>
              <w:ind w:left="63" w:right="63"/>
              <w:rPr>
                <w:rFonts w:ascii="宋体" w:hAnsi="宋体"/>
                <w:color w:val="000000" w:themeColor="text1"/>
                <w:szCs w:val="21"/>
                <w:highlight w:val="none"/>
                <w14:textFill>
                  <w14:solidFill>
                    <w14:schemeClr w14:val="tx1"/>
                  </w14:solidFill>
                </w14:textFill>
              </w:rPr>
            </w:pPr>
          </w:p>
        </w:tc>
        <w:tc>
          <w:tcPr>
            <w:tcW w:w="809" w:type="dxa"/>
          </w:tcPr>
          <w:p w14:paraId="2DB4E94B">
            <w:pPr>
              <w:pStyle w:val="9"/>
              <w:keepNext/>
              <w:ind w:left="63" w:right="63"/>
              <w:rPr>
                <w:rFonts w:ascii="宋体" w:hAnsi="宋体"/>
                <w:color w:val="000000" w:themeColor="text1"/>
                <w:szCs w:val="21"/>
                <w:highlight w:val="none"/>
                <w14:textFill>
                  <w14:solidFill>
                    <w14:schemeClr w14:val="tx1"/>
                  </w14:solidFill>
                </w14:textFill>
              </w:rPr>
            </w:pPr>
          </w:p>
        </w:tc>
        <w:tc>
          <w:tcPr>
            <w:tcW w:w="809" w:type="dxa"/>
            <w:vAlign w:val="center"/>
          </w:tcPr>
          <w:p w14:paraId="3BED9029">
            <w:pPr>
              <w:pStyle w:val="9"/>
              <w:keepNext/>
              <w:ind w:left="63" w:right="63"/>
              <w:rPr>
                <w:rFonts w:ascii="宋体" w:hAnsi="宋体"/>
                <w:color w:val="000000" w:themeColor="text1"/>
                <w:szCs w:val="21"/>
                <w:highlight w:val="none"/>
                <w14:textFill>
                  <w14:solidFill>
                    <w14:schemeClr w14:val="tx1"/>
                  </w14:solidFill>
                </w14:textFill>
              </w:rPr>
            </w:pPr>
          </w:p>
        </w:tc>
      </w:tr>
      <w:tr w14:paraId="56B69F8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85" w:type="dxa"/>
            <w:bottom w:w="0" w:type="dxa"/>
            <w:right w:w="28" w:type="dxa"/>
          </w:tblCellMar>
        </w:tblPrEx>
        <w:trPr>
          <w:trHeight w:val="567" w:hRule="atLeast"/>
        </w:trPr>
        <w:tc>
          <w:tcPr>
            <w:tcW w:w="1031" w:type="dxa"/>
            <w:tcBorders>
              <w:top w:val="nil"/>
            </w:tcBorders>
            <w:vAlign w:val="center"/>
          </w:tcPr>
          <w:p w14:paraId="52BD7ED4">
            <w:pPr>
              <w:pStyle w:val="9"/>
              <w:keepNext/>
              <w:ind w:left="63" w:right="63"/>
              <w:rPr>
                <w:rFonts w:ascii="宋体" w:hAnsi="宋体"/>
                <w:color w:val="000000" w:themeColor="text1"/>
                <w:szCs w:val="21"/>
                <w:highlight w:val="none"/>
                <w14:textFill>
                  <w14:solidFill>
                    <w14:schemeClr w14:val="tx1"/>
                  </w14:solidFill>
                </w14:textFill>
              </w:rPr>
            </w:pPr>
          </w:p>
        </w:tc>
        <w:tc>
          <w:tcPr>
            <w:tcW w:w="810" w:type="dxa"/>
            <w:tcBorders>
              <w:top w:val="nil"/>
            </w:tcBorders>
            <w:vAlign w:val="center"/>
          </w:tcPr>
          <w:p w14:paraId="5D238FFA">
            <w:pPr>
              <w:pStyle w:val="9"/>
              <w:keepNext/>
              <w:ind w:left="63" w:right="63"/>
              <w:rPr>
                <w:rFonts w:ascii="宋体" w:hAnsi="宋体"/>
                <w:color w:val="000000" w:themeColor="text1"/>
                <w:szCs w:val="21"/>
                <w:highlight w:val="none"/>
                <w14:textFill>
                  <w14:solidFill>
                    <w14:schemeClr w14:val="tx1"/>
                  </w14:solidFill>
                </w14:textFill>
              </w:rPr>
            </w:pPr>
          </w:p>
        </w:tc>
        <w:tc>
          <w:tcPr>
            <w:tcW w:w="874" w:type="dxa"/>
            <w:tcBorders>
              <w:top w:val="nil"/>
            </w:tcBorders>
            <w:vAlign w:val="center"/>
          </w:tcPr>
          <w:p w14:paraId="660AD914">
            <w:pPr>
              <w:pStyle w:val="9"/>
              <w:keepNext/>
              <w:ind w:left="63" w:right="63"/>
              <w:rPr>
                <w:rFonts w:ascii="宋体" w:hAnsi="宋体"/>
                <w:color w:val="000000" w:themeColor="text1"/>
                <w:szCs w:val="21"/>
                <w:highlight w:val="none"/>
                <w14:textFill>
                  <w14:solidFill>
                    <w14:schemeClr w14:val="tx1"/>
                  </w14:solidFill>
                </w14:textFill>
              </w:rPr>
            </w:pPr>
          </w:p>
        </w:tc>
        <w:tc>
          <w:tcPr>
            <w:tcW w:w="589" w:type="dxa"/>
            <w:tcBorders>
              <w:top w:val="nil"/>
            </w:tcBorders>
            <w:vAlign w:val="center"/>
          </w:tcPr>
          <w:p w14:paraId="78405C9C">
            <w:pPr>
              <w:pStyle w:val="9"/>
              <w:keepNext/>
              <w:ind w:left="63" w:right="63"/>
              <w:rPr>
                <w:rFonts w:ascii="宋体" w:hAnsi="宋体"/>
                <w:color w:val="000000" w:themeColor="text1"/>
                <w:szCs w:val="21"/>
                <w:highlight w:val="none"/>
                <w14:textFill>
                  <w14:solidFill>
                    <w14:schemeClr w14:val="tx1"/>
                  </w14:solidFill>
                </w14:textFill>
              </w:rPr>
            </w:pPr>
          </w:p>
        </w:tc>
        <w:tc>
          <w:tcPr>
            <w:tcW w:w="589" w:type="dxa"/>
            <w:tcBorders>
              <w:top w:val="nil"/>
            </w:tcBorders>
            <w:vAlign w:val="center"/>
          </w:tcPr>
          <w:p w14:paraId="692DAD00">
            <w:pPr>
              <w:pStyle w:val="9"/>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vAlign w:val="center"/>
          </w:tcPr>
          <w:p w14:paraId="25BD4681">
            <w:pPr>
              <w:pStyle w:val="9"/>
              <w:keepNext/>
              <w:ind w:left="63" w:right="63"/>
              <w:rPr>
                <w:rFonts w:ascii="宋体" w:hAnsi="宋体"/>
                <w:color w:val="000000" w:themeColor="text1"/>
                <w:szCs w:val="21"/>
                <w:highlight w:val="none"/>
                <w14:textFill>
                  <w14:solidFill>
                    <w14:schemeClr w14:val="tx1"/>
                  </w14:solidFill>
                </w14:textFill>
              </w:rPr>
            </w:pPr>
          </w:p>
        </w:tc>
        <w:tc>
          <w:tcPr>
            <w:tcW w:w="1030" w:type="dxa"/>
            <w:tcBorders>
              <w:top w:val="nil"/>
            </w:tcBorders>
            <w:vAlign w:val="center"/>
          </w:tcPr>
          <w:p w14:paraId="54690738">
            <w:pPr>
              <w:pStyle w:val="9"/>
              <w:keepNext/>
              <w:ind w:left="63" w:right="63"/>
              <w:rPr>
                <w:rFonts w:ascii="宋体" w:hAnsi="宋体"/>
                <w:color w:val="000000" w:themeColor="text1"/>
                <w:szCs w:val="21"/>
                <w:highlight w:val="none"/>
                <w14:textFill>
                  <w14:solidFill>
                    <w14:schemeClr w14:val="tx1"/>
                  </w14:solidFill>
                </w14:textFill>
              </w:rPr>
            </w:pPr>
          </w:p>
        </w:tc>
        <w:tc>
          <w:tcPr>
            <w:tcW w:w="1069" w:type="dxa"/>
            <w:tcBorders>
              <w:top w:val="nil"/>
            </w:tcBorders>
            <w:vAlign w:val="center"/>
          </w:tcPr>
          <w:p w14:paraId="29A39E89">
            <w:pPr>
              <w:pStyle w:val="9"/>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tcPr>
          <w:p w14:paraId="53B56B44">
            <w:pPr>
              <w:pStyle w:val="9"/>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vAlign w:val="center"/>
          </w:tcPr>
          <w:p w14:paraId="42FD3DA5">
            <w:pPr>
              <w:pStyle w:val="9"/>
              <w:keepNext/>
              <w:ind w:left="63" w:right="63"/>
              <w:rPr>
                <w:rFonts w:ascii="宋体" w:hAnsi="宋体"/>
                <w:color w:val="000000" w:themeColor="text1"/>
                <w:szCs w:val="21"/>
                <w:highlight w:val="none"/>
                <w14:textFill>
                  <w14:solidFill>
                    <w14:schemeClr w14:val="tx1"/>
                  </w14:solidFill>
                </w14:textFill>
              </w:rPr>
            </w:pPr>
          </w:p>
        </w:tc>
      </w:tr>
      <w:tr w14:paraId="4819C38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85" w:type="dxa"/>
            <w:bottom w:w="0" w:type="dxa"/>
            <w:right w:w="28" w:type="dxa"/>
          </w:tblCellMar>
        </w:tblPrEx>
        <w:trPr>
          <w:trHeight w:val="567" w:hRule="atLeast"/>
        </w:trPr>
        <w:tc>
          <w:tcPr>
            <w:tcW w:w="1031" w:type="dxa"/>
            <w:tcBorders>
              <w:top w:val="nil"/>
            </w:tcBorders>
            <w:vAlign w:val="center"/>
          </w:tcPr>
          <w:p w14:paraId="765DDB6A">
            <w:pPr>
              <w:pStyle w:val="9"/>
              <w:keepNext/>
              <w:ind w:left="63" w:right="63"/>
              <w:rPr>
                <w:rFonts w:ascii="宋体" w:hAnsi="宋体"/>
                <w:color w:val="000000" w:themeColor="text1"/>
                <w:szCs w:val="21"/>
                <w:highlight w:val="none"/>
                <w14:textFill>
                  <w14:solidFill>
                    <w14:schemeClr w14:val="tx1"/>
                  </w14:solidFill>
                </w14:textFill>
              </w:rPr>
            </w:pPr>
          </w:p>
        </w:tc>
        <w:tc>
          <w:tcPr>
            <w:tcW w:w="810" w:type="dxa"/>
            <w:tcBorders>
              <w:top w:val="nil"/>
            </w:tcBorders>
            <w:vAlign w:val="center"/>
          </w:tcPr>
          <w:p w14:paraId="05F5FCBA">
            <w:pPr>
              <w:pStyle w:val="9"/>
              <w:keepNext/>
              <w:ind w:left="63" w:right="63"/>
              <w:rPr>
                <w:rFonts w:ascii="宋体" w:hAnsi="宋体"/>
                <w:color w:val="000000" w:themeColor="text1"/>
                <w:szCs w:val="21"/>
                <w:highlight w:val="none"/>
                <w14:textFill>
                  <w14:solidFill>
                    <w14:schemeClr w14:val="tx1"/>
                  </w14:solidFill>
                </w14:textFill>
              </w:rPr>
            </w:pPr>
          </w:p>
        </w:tc>
        <w:tc>
          <w:tcPr>
            <w:tcW w:w="874" w:type="dxa"/>
            <w:tcBorders>
              <w:top w:val="nil"/>
            </w:tcBorders>
            <w:vAlign w:val="center"/>
          </w:tcPr>
          <w:p w14:paraId="4A8149DD">
            <w:pPr>
              <w:pStyle w:val="9"/>
              <w:keepNext/>
              <w:ind w:left="63" w:right="63"/>
              <w:rPr>
                <w:rFonts w:ascii="宋体" w:hAnsi="宋体"/>
                <w:color w:val="000000" w:themeColor="text1"/>
                <w:szCs w:val="21"/>
                <w:highlight w:val="none"/>
                <w14:textFill>
                  <w14:solidFill>
                    <w14:schemeClr w14:val="tx1"/>
                  </w14:solidFill>
                </w14:textFill>
              </w:rPr>
            </w:pPr>
          </w:p>
        </w:tc>
        <w:tc>
          <w:tcPr>
            <w:tcW w:w="589" w:type="dxa"/>
            <w:tcBorders>
              <w:top w:val="nil"/>
            </w:tcBorders>
            <w:vAlign w:val="center"/>
          </w:tcPr>
          <w:p w14:paraId="671321C3">
            <w:pPr>
              <w:pStyle w:val="9"/>
              <w:keepNext/>
              <w:ind w:left="63" w:right="63"/>
              <w:rPr>
                <w:rFonts w:ascii="宋体" w:hAnsi="宋体"/>
                <w:color w:val="000000" w:themeColor="text1"/>
                <w:szCs w:val="21"/>
                <w:highlight w:val="none"/>
                <w14:textFill>
                  <w14:solidFill>
                    <w14:schemeClr w14:val="tx1"/>
                  </w14:solidFill>
                </w14:textFill>
              </w:rPr>
            </w:pPr>
          </w:p>
        </w:tc>
        <w:tc>
          <w:tcPr>
            <w:tcW w:w="589" w:type="dxa"/>
            <w:tcBorders>
              <w:top w:val="nil"/>
            </w:tcBorders>
            <w:vAlign w:val="center"/>
          </w:tcPr>
          <w:p w14:paraId="01C11C12">
            <w:pPr>
              <w:pStyle w:val="9"/>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vAlign w:val="center"/>
          </w:tcPr>
          <w:p w14:paraId="01E39BDF">
            <w:pPr>
              <w:pStyle w:val="9"/>
              <w:keepNext/>
              <w:ind w:left="63" w:right="63"/>
              <w:rPr>
                <w:rFonts w:ascii="宋体" w:hAnsi="宋体"/>
                <w:color w:val="000000" w:themeColor="text1"/>
                <w:szCs w:val="21"/>
                <w:highlight w:val="none"/>
                <w14:textFill>
                  <w14:solidFill>
                    <w14:schemeClr w14:val="tx1"/>
                  </w14:solidFill>
                </w14:textFill>
              </w:rPr>
            </w:pPr>
          </w:p>
        </w:tc>
        <w:tc>
          <w:tcPr>
            <w:tcW w:w="1030" w:type="dxa"/>
            <w:tcBorders>
              <w:top w:val="nil"/>
            </w:tcBorders>
            <w:vAlign w:val="center"/>
          </w:tcPr>
          <w:p w14:paraId="07BAF7AB">
            <w:pPr>
              <w:pStyle w:val="9"/>
              <w:keepNext/>
              <w:ind w:left="63" w:right="63"/>
              <w:rPr>
                <w:rFonts w:ascii="宋体" w:hAnsi="宋体"/>
                <w:color w:val="000000" w:themeColor="text1"/>
                <w:szCs w:val="21"/>
                <w:highlight w:val="none"/>
                <w14:textFill>
                  <w14:solidFill>
                    <w14:schemeClr w14:val="tx1"/>
                  </w14:solidFill>
                </w14:textFill>
              </w:rPr>
            </w:pPr>
          </w:p>
        </w:tc>
        <w:tc>
          <w:tcPr>
            <w:tcW w:w="1069" w:type="dxa"/>
            <w:tcBorders>
              <w:top w:val="nil"/>
            </w:tcBorders>
            <w:vAlign w:val="center"/>
          </w:tcPr>
          <w:p w14:paraId="5ECC303F">
            <w:pPr>
              <w:pStyle w:val="9"/>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tcPr>
          <w:p w14:paraId="5FD70896">
            <w:pPr>
              <w:pStyle w:val="9"/>
              <w:keepNext/>
              <w:ind w:left="63" w:right="63"/>
              <w:rPr>
                <w:rFonts w:ascii="宋体" w:hAnsi="宋体"/>
                <w:color w:val="000000" w:themeColor="text1"/>
                <w:szCs w:val="21"/>
                <w:highlight w:val="none"/>
                <w14:textFill>
                  <w14:solidFill>
                    <w14:schemeClr w14:val="tx1"/>
                  </w14:solidFill>
                </w14:textFill>
              </w:rPr>
            </w:pPr>
          </w:p>
        </w:tc>
        <w:tc>
          <w:tcPr>
            <w:tcW w:w="809" w:type="dxa"/>
            <w:tcBorders>
              <w:top w:val="nil"/>
            </w:tcBorders>
            <w:vAlign w:val="center"/>
          </w:tcPr>
          <w:p w14:paraId="10DA34EC">
            <w:pPr>
              <w:pStyle w:val="9"/>
              <w:keepNext/>
              <w:ind w:left="63" w:right="63"/>
              <w:rPr>
                <w:rFonts w:ascii="宋体" w:hAnsi="宋体"/>
                <w:color w:val="000000" w:themeColor="text1"/>
                <w:szCs w:val="21"/>
                <w:highlight w:val="none"/>
                <w14:textFill>
                  <w14:solidFill>
                    <w14:schemeClr w14:val="tx1"/>
                  </w14:solidFill>
                </w14:textFill>
              </w:rPr>
            </w:pPr>
          </w:p>
        </w:tc>
      </w:tr>
      <w:tr w14:paraId="565553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85" w:type="dxa"/>
            <w:bottom w:w="0" w:type="dxa"/>
            <w:right w:w="28" w:type="dxa"/>
          </w:tblCellMar>
        </w:tblPrEx>
        <w:trPr>
          <w:trHeight w:val="567" w:hRule="atLeast"/>
        </w:trPr>
        <w:tc>
          <w:tcPr>
            <w:tcW w:w="1031" w:type="dxa"/>
            <w:vAlign w:val="center"/>
          </w:tcPr>
          <w:p w14:paraId="4708B4F2">
            <w:pPr>
              <w:pStyle w:val="9"/>
              <w:keepNext/>
              <w:ind w:left="63" w:right="63"/>
              <w:rPr>
                <w:rFonts w:ascii="宋体" w:hAnsi="宋体"/>
                <w:color w:val="000000" w:themeColor="text1"/>
                <w:szCs w:val="21"/>
                <w:highlight w:val="none"/>
                <w14:textFill>
                  <w14:solidFill>
                    <w14:schemeClr w14:val="tx1"/>
                  </w14:solidFill>
                </w14:textFill>
              </w:rPr>
            </w:pPr>
          </w:p>
        </w:tc>
        <w:tc>
          <w:tcPr>
            <w:tcW w:w="810" w:type="dxa"/>
            <w:vAlign w:val="center"/>
          </w:tcPr>
          <w:p w14:paraId="6621AC4B">
            <w:pPr>
              <w:pStyle w:val="9"/>
              <w:keepNext/>
              <w:ind w:left="63" w:right="63"/>
              <w:rPr>
                <w:rFonts w:ascii="宋体" w:hAnsi="宋体"/>
                <w:color w:val="000000" w:themeColor="text1"/>
                <w:szCs w:val="21"/>
                <w:highlight w:val="none"/>
                <w14:textFill>
                  <w14:solidFill>
                    <w14:schemeClr w14:val="tx1"/>
                  </w14:solidFill>
                </w14:textFill>
              </w:rPr>
            </w:pPr>
          </w:p>
        </w:tc>
        <w:tc>
          <w:tcPr>
            <w:tcW w:w="874" w:type="dxa"/>
            <w:vAlign w:val="center"/>
          </w:tcPr>
          <w:p w14:paraId="3B037060">
            <w:pPr>
              <w:pStyle w:val="9"/>
              <w:keepNext/>
              <w:ind w:left="63" w:right="63"/>
              <w:rPr>
                <w:rFonts w:ascii="宋体" w:hAnsi="宋体"/>
                <w:color w:val="000000" w:themeColor="text1"/>
                <w:szCs w:val="21"/>
                <w:highlight w:val="none"/>
                <w14:textFill>
                  <w14:solidFill>
                    <w14:schemeClr w14:val="tx1"/>
                  </w14:solidFill>
                </w14:textFill>
              </w:rPr>
            </w:pPr>
          </w:p>
        </w:tc>
        <w:tc>
          <w:tcPr>
            <w:tcW w:w="589" w:type="dxa"/>
            <w:vAlign w:val="center"/>
          </w:tcPr>
          <w:p w14:paraId="6C697BA9">
            <w:pPr>
              <w:pStyle w:val="9"/>
              <w:keepNext/>
              <w:ind w:left="63" w:right="63"/>
              <w:rPr>
                <w:rFonts w:ascii="宋体" w:hAnsi="宋体"/>
                <w:color w:val="000000" w:themeColor="text1"/>
                <w:szCs w:val="21"/>
                <w:highlight w:val="none"/>
                <w14:textFill>
                  <w14:solidFill>
                    <w14:schemeClr w14:val="tx1"/>
                  </w14:solidFill>
                </w14:textFill>
              </w:rPr>
            </w:pPr>
          </w:p>
        </w:tc>
        <w:tc>
          <w:tcPr>
            <w:tcW w:w="589" w:type="dxa"/>
            <w:vAlign w:val="center"/>
          </w:tcPr>
          <w:p w14:paraId="0255158C">
            <w:pPr>
              <w:pStyle w:val="9"/>
              <w:keepNext/>
              <w:ind w:left="63" w:right="63"/>
              <w:rPr>
                <w:rFonts w:ascii="宋体" w:hAnsi="宋体"/>
                <w:color w:val="000000" w:themeColor="text1"/>
                <w:szCs w:val="21"/>
                <w:highlight w:val="none"/>
                <w14:textFill>
                  <w14:solidFill>
                    <w14:schemeClr w14:val="tx1"/>
                  </w14:solidFill>
                </w14:textFill>
              </w:rPr>
            </w:pPr>
          </w:p>
        </w:tc>
        <w:tc>
          <w:tcPr>
            <w:tcW w:w="809" w:type="dxa"/>
            <w:vAlign w:val="center"/>
          </w:tcPr>
          <w:p w14:paraId="4BD44ADD">
            <w:pPr>
              <w:pStyle w:val="9"/>
              <w:keepNext/>
              <w:ind w:left="63" w:right="63"/>
              <w:rPr>
                <w:rFonts w:ascii="宋体" w:hAnsi="宋体"/>
                <w:color w:val="000000" w:themeColor="text1"/>
                <w:szCs w:val="21"/>
                <w:highlight w:val="none"/>
                <w14:textFill>
                  <w14:solidFill>
                    <w14:schemeClr w14:val="tx1"/>
                  </w14:solidFill>
                </w14:textFill>
              </w:rPr>
            </w:pPr>
          </w:p>
        </w:tc>
        <w:tc>
          <w:tcPr>
            <w:tcW w:w="1030" w:type="dxa"/>
            <w:vAlign w:val="center"/>
          </w:tcPr>
          <w:p w14:paraId="0FB887B9">
            <w:pPr>
              <w:pStyle w:val="9"/>
              <w:keepNext/>
              <w:ind w:left="63" w:right="63"/>
              <w:rPr>
                <w:rFonts w:ascii="宋体" w:hAnsi="宋体"/>
                <w:color w:val="000000" w:themeColor="text1"/>
                <w:szCs w:val="21"/>
                <w:highlight w:val="none"/>
                <w14:textFill>
                  <w14:solidFill>
                    <w14:schemeClr w14:val="tx1"/>
                  </w14:solidFill>
                </w14:textFill>
              </w:rPr>
            </w:pPr>
          </w:p>
        </w:tc>
        <w:tc>
          <w:tcPr>
            <w:tcW w:w="1069" w:type="dxa"/>
            <w:vAlign w:val="center"/>
          </w:tcPr>
          <w:p w14:paraId="70DD7AF0">
            <w:pPr>
              <w:pStyle w:val="9"/>
              <w:keepNext/>
              <w:ind w:left="63" w:right="63"/>
              <w:rPr>
                <w:rFonts w:ascii="宋体" w:hAnsi="宋体"/>
                <w:color w:val="000000" w:themeColor="text1"/>
                <w:szCs w:val="21"/>
                <w:highlight w:val="none"/>
                <w14:textFill>
                  <w14:solidFill>
                    <w14:schemeClr w14:val="tx1"/>
                  </w14:solidFill>
                </w14:textFill>
              </w:rPr>
            </w:pPr>
          </w:p>
        </w:tc>
        <w:tc>
          <w:tcPr>
            <w:tcW w:w="809" w:type="dxa"/>
          </w:tcPr>
          <w:p w14:paraId="25F5CDDD">
            <w:pPr>
              <w:pStyle w:val="9"/>
              <w:keepNext/>
              <w:ind w:left="63" w:right="63"/>
              <w:rPr>
                <w:rFonts w:ascii="宋体" w:hAnsi="宋体"/>
                <w:color w:val="000000" w:themeColor="text1"/>
                <w:szCs w:val="21"/>
                <w:highlight w:val="none"/>
                <w14:textFill>
                  <w14:solidFill>
                    <w14:schemeClr w14:val="tx1"/>
                  </w14:solidFill>
                </w14:textFill>
              </w:rPr>
            </w:pPr>
          </w:p>
        </w:tc>
        <w:tc>
          <w:tcPr>
            <w:tcW w:w="809" w:type="dxa"/>
            <w:vAlign w:val="center"/>
          </w:tcPr>
          <w:p w14:paraId="699C8655">
            <w:pPr>
              <w:pStyle w:val="9"/>
              <w:keepNext/>
              <w:ind w:left="63" w:right="63"/>
              <w:rPr>
                <w:rFonts w:ascii="宋体" w:hAnsi="宋体"/>
                <w:color w:val="000000" w:themeColor="text1"/>
                <w:szCs w:val="21"/>
                <w:highlight w:val="none"/>
                <w14:textFill>
                  <w14:solidFill>
                    <w14:schemeClr w14:val="tx1"/>
                  </w14:solidFill>
                </w14:textFill>
              </w:rPr>
            </w:pPr>
          </w:p>
        </w:tc>
      </w:tr>
    </w:tbl>
    <w:p w14:paraId="3E5928B7">
      <w:pPr>
        <w:rPr>
          <w:color w:val="000000" w:themeColor="text1"/>
          <w:highlight w:val="none"/>
          <w14:textFill>
            <w14:solidFill>
              <w14:schemeClr w14:val="tx1"/>
            </w14:solidFill>
          </w14:textFill>
        </w:rPr>
      </w:pPr>
    </w:p>
    <w:p w14:paraId="7ABCB54D">
      <w:pPr>
        <w:rPr>
          <w:color w:val="000000" w:themeColor="text1"/>
          <w:highlight w:val="none"/>
          <w14:textFill>
            <w14:solidFill>
              <w14:schemeClr w14:val="tx1"/>
            </w14:solidFill>
          </w14:textFill>
        </w:rPr>
      </w:pPr>
    </w:p>
    <w:p w14:paraId="5510D9E9">
      <w:pPr>
        <w:widowControl/>
        <w:jc w:val="left"/>
        <w:rPr>
          <w:rFonts w:ascii="宋体" w:hAnsi="宋体"/>
          <w:color w:val="000000" w:themeColor="text1"/>
          <w:szCs w:val="21"/>
          <w:highlight w:val="none"/>
          <w14:textFill>
            <w14:solidFill>
              <w14:schemeClr w14:val="tx1"/>
            </w14:solidFill>
          </w14:textFill>
        </w:rPr>
      </w:pPr>
      <w:r>
        <w:rPr>
          <w:color w:val="000000" w:themeColor="text1"/>
          <w:highlight w:val="none"/>
          <w14:textFill>
            <w14:solidFill>
              <w14:schemeClr w14:val="tx1"/>
            </w14:solidFill>
          </w14:textFill>
        </w:rPr>
        <w:br w:type="page"/>
      </w:r>
    </w:p>
    <w:p w14:paraId="5520EDD6">
      <w:pPr>
        <w:pageBreakBefore/>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附</w:t>
      </w:r>
      <w:bookmarkStart w:id="618" w:name="_Toc267261693"/>
      <w:bookmarkStart w:id="619" w:name="_Toc296346727"/>
      <w:bookmarkStart w:id="620" w:name="_Toc296891054"/>
      <w:bookmarkStart w:id="621" w:name="_Toc296503226"/>
      <w:bookmarkStart w:id="622" w:name="_Toc296347225"/>
      <w:bookmarkStart w:id="623" w:name="_Toc296944565"/>
      <w:bookmarkStart w:id="624" w:name="_Toc296891266"/>
      <w:r>
        <w:rPr>
          <w:rFonts w:ascii="宋体" w:hAnsi="宋体"/>
          <w:color w:val="000000" w:themeColor="text1"/>
          <w:szCs w:val="21"/>
          <w:highlight w:val="none"/>
          <w14:textFill>
            <w14:solidFill>
              <w14:schemeClr w14:val="tx1"/>
            </w14:solidFill>
          </w14:textFill>
        </w:rPr>
        <w:t>件</w:t>
      </w:r>
      <w:r>
        <w:rPr>
          <w:rFonts w:hint="eastAsia" w:ascii="宋体" w:hAnsi="宋体"/>
          <w:color w:val="000000" w:themeColor="text1"/>
          <w:szCs w:val="21"/>
          <w:highlight w:val="none"/>
          <w:lang w:val="en-US" w:eastAsia="zh-CN"/>
          <w14:textFill>
            <w14:solidFill>
              <w14:schemeClr w14:val="tx1"/>
            </w14:solidFill>
          </w14:textFill>
        </w:rPr>
        <w:t>2</w:t>
      </w:r>
      <w:r>
        <w:rPr>
          <w:rFonts w:ascii="宋体" w:hAnsi="宋体"/>
          <w:color w:val="000000" w:themeColor="text1"/>
          <w:szCs w:val="21"/>
          <w:highlight w:val="none"/>
          <w14:textFill>
            <w14:solidFill>
              <w14:schemeClr w14:val="tx1"/>
            </w14:solidFill>
          </w14:textFill>
        </w:rPr>
        <w:t>：</w:t>
      </w:r>
      <w:bookmarkEnd w:id="618"/>
      <w:bookmarkEnd w:id="619"/>
      <w:bookmarkEnd w:id="620"/>
      <w:bookmarkEnd w:id="621"/>
      <w:bookmarkEnd w:id="622"/>
      <w:bookmarkEnd w:id="623"/>
      <w:bookmarkEnd w:id="624"/>
    </w:p>
    <w:p w14:paraId="3F582BA1">
      <w:pPr>
        <w:spacing w:before="156" w:beforeLines="50" w:after="156" w:afterLines="50" w:line="360" w:lineRule="auto"/>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工程质量保修书</w:t>
      </w:r>
    </w:p>
    <w:p w14:paraId="6FB49A7C">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发包人（全称）：</w:t>
      </w:r>
    </w:p>
    <w:p w14:paraId="6F993615">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承包人（全称）：</w:t>
      </w:r>
    </w:p>
    <w:p w14:paraId="4CDC348A">
      <w:pPr>
        <w:spacing w:line="360" w:lineRule="auto"/>
        <w:rPr>
          <w:rFonts w:ascii="宋体" w:hAnsi="宋体"/>
          <w:color w:val="000000" w:themeColor="text1"/>
          <w:szCs w:val="21"/>
          <w:highlight w:val="none"/>
          <w14:textFill>
            <w14:solidFill>
              <w14:schemeClr w14:val="tx1"/>
            </w14:solidFill>
          </w14:textFill>
        </w:rPr>
      </w:pPr>
    </w:p>
    <w:p w14:paraId="188FB6DE">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发包人和承包人根据《中华人民共和国建筑法》和《建设工程质量管理条例》，经协商一致就</w:t>
      </w:r>
      <w:r>
        <w:rPr>
          <w:rFonts w:hint="eastAsia" w:ascii="宋体" w:hAnsi="宋体"/>
          <w:color w:val="000000" w:themeColor="text1"/>
          <w:szCs w:val="21"/>
          <w:highlight w:val="none"/>
          <w:u w:val="single"/>
          <w:lang w:eastAsia="zh-CN"/>
          <w14:textFill>
            <w14:solidFill>
              <w14:schemeClr w14:val="tx1"/>
            </w14:solidFill>
          </w14:textFill>
        </w:rPr>
        <w:t>中国药科大学玄武门校区学生宿舍浴室改造项目</w:t>
      </w:r>
      <w:r>
        <w:rPr>
          <w:rFonts w:ascii="宋体" w:hAnsi="宋体"/>
          <w:color w:val="000000" w:themeColor="text1"/>
          <w:szCs w:val="21"/>
          <w:highlight w:val="none"/>
          <w:u w:val="single"/>
          <w14:textFill>
            <w14:solidFill>
              <w14:schemeClr w14:val="tx1"/>
            </w14:solidFill>
          </w14:textFill>
        </w:rPr>
        <w:t>（</w:t>
      </w:r>
      <w:r>
        <w:rPr>
          <w:rFonts w:ascii="宋体" w:hAnsi="宋体"/>
          <w:color w:val="000000" w:themeColor="text1"/>
          <w:szCs w:val="21"/>
          <w:highlight w:val="none"/>
          <w14:textFill>
            <w14:solidFill>
              <w14:schemeClr w14:val="tx1"/>
            </w14:solidFill>
          </w14:textFill>
        </w:rPr>
        <w:t>工程全称）签订工程质量保修书。</w:t>
      </w:r>
    </w:p>
    <w:p w14:paraId="28765448">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一、工程质量保修范围和内容</w:t>
      </w:r>
    </w:p>
    <w:p w14:paraId="48E0716C">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承包人在质量保修期内，按照有关法律规定和合同约定，承担工程质量保修责任。</w:t>
      </w:r>
    </w:p>
    <w:p w14:paraId="7CCBE1AE">
      <w:pPr>
        <w:spacing w:line="360" w:lineRule="auto"/>
        <w:ind w:firstLine="48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olor w:val="000000" w:themeColor="text1"/>
          <w:szCs w:val="21"/>
          <w:highlight w:val="none"/>
          <w:u w:val="single"/>
          <w14:textFill>
            <w14:solidFill>
              <w14:schemeClr w14:val="tx1"/>
            </w14:solidFill>
          </w14:textFill>
        </w:rPr>
        <w:t>施工合同约定承包范围内所有施工内容</w:t>
      </w:r>
      <w:r>
        <w:rPr>
          <w:rFonts w:ascii="宋体" w:hAnsi="宋体"/>
          <w:color w:val="000000" w:themeColor="text1"/>
          <w:szCs w:val="21"/>
          <w:highlight w:val="none"/>
          <w14:textFill>
            <w14:solidFill>
              <w14:schemeClr w14:val="tx1"/>
            </w14:solidFill>
          </w14:textFill>
        </w:rPr>
        <w:t>。</w:t>
      </w:r>
    </w:p>
    <w:p w14:paraId="19EA2EA3">
      <w:pPr>
        <w:spacing w:line="360" w:lineRule="auto"/>
        <w:rPr>
          <w:rFonts w:ascii="宋体" w:hAnsi="宋体"/>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　　</w:t>
      </w:r>
      <w:r>
        <w:rPr>
          <w:rFonts w:ascii="宋体" w:hAnsi="宋体"/>
          <w:color w:val="000000" w:themeColor="text1"/>
          <w:szCs w:val="21"/>
          <w:highlight w:val="none"/>
          <w14:textFill>
            <w14:solidFill>
              <w14:schemeClr w14:val="tx1"/>
            </w14:solidFill>
          </w14:textFill>
        </w:rPr>
        <w:t>二、质量保修期</w:t>
      </w:r>
    </w:p>
    <w:p w14:paraId="5D808040">
      <w:pPr>
        <w:pStyle w:val="22"/>
        <w:rPr>
          <w:rFonts w:hint="default" w:cs="Arial"/>
          <w:color w:val="000000" w:themeColor="text1"/>
          <w:sz w:val="21"/>
          <w:szCs w:val="21"/>
          <w:highlight w:val="none"/>
          <w14:textFill>
            <w14:solidFill>
              <w14:schemeClr w14:val="tx1"/>
            </w14:solidFill>
          </w14:textFill>
        </w:rPr>
      </w:pPr>
      <w:r>
        <w:rPr>
          <w:rStyle w:val="86"/>
          <w:rFonts w:hint="eastAsia" w:cs="Arial"/>
          <w:color w:val="000000" w:themeColor="text1"/>
          <w:sz w:val="21"/>
          <w:szCs w:val="21"/>
          <w:highlight w:val="none"/>
          <w14:textFill>
            <w14:solidFill>
              <w14:schemeClr w14:val="tx1"/>
            </w14:solidFill>
          </w14:textFill>
        </w:rPr>
        <w:t>根据《建设工程质量管理条例》及有关规定，工程的质量保修期如下：</w:t>
      </w:r>
    </w:p>
    <w:p w14:paraId="41E68BB1">
      <w:pPr>
        <w:pStyle w:val="22"/>
        <w:rPr>
          <w:rFonts w:hint="default" w:cs="Arial"/>
          <w:color w:val="000000" w:themeColor="text1"/>
          <w:sz w:val="21"/>
          <w:szCs w:val="21"/>
          <w:highlight w:val="none"/>
          <w14:textFill>
            <w14:solidFill>
              <w14:schemeClr w14:val="tx1"/>
            </w14:solidFill>
          </w14:textFill>
        </w:rPr>
      </w:pPr>
      <w:r>
        <w:rPr>
          <w:rStyle w:val="86"/>
          <w:rFonts w:hint="eastAsia" w:cs="Arial"/>
          <w:color w:val="000000" w:themeColor="text1"/>
          <w:sz w:val="21"/>
          <w:szCs w:val="21"/>
          <w:highlight w:val="none"/>
          <w14:textFill>
            <w14:solidFill>
              <w14:schemeClr w14:val="tx1"/>
            </w14:solidFill>
          </w14:textFill>
        </w:rPr>
        <w:t>1．地基基础工程和主体结构工程为设计文件规定的工程合理使用年限；</w:t>
      </w:r>
    </w:p>
    <w:p w14:paraId="27A2F513">
      <w:pPr>
        <w:pStyle w:val="22"/>
        <w:rPr>
          <w:rFonts w:hint="default" w:cs="Arial"/>
          <w:color w:val="000000" w:themeColor="text1"/>
          <w:sz w:val="21"/>
          <w:szCs w:val="21"/>
          <w:highlight w:val="none"/>
          <w14:textFill>
            <w14:solidFill>
              <w14:schemeClr w14:val="tx1"/>
            </w14:solidFill>
          </w14:textFill>
        </w:rPr>
      </w:pPr>
      <w:r>
        <w:rPr>
          <w:rStyle w:val="86"/>
          <w:rFonts w:hint="eastAsia" w:cs="Arial"/>
          <w:color w:val="000000" w:themeColor="text1"/>
          <w:sz w:val="21"/>
          <w:szCs w:val="21"/>
          <w:highlight w:val="none"/>
          <w14:textFill>
            <w14:solidFill>
              <w14:schemeClr w14:val="tx1"/>
            </w14:solidFill>
          </w14:textFill>
        </w:rPr>
        <w:t>2．屋面防水工程、有防水要求的卫生间、房间和外墙面的防渗为</w:t>
      </w:r>
      <w:r>
        <w:rPr>
          <w:rStyle w:val="87"/>
          <w:rFonts w:hint="eastAsia" w:ascii="宋体" w:hAnsi="宋体" w:cs="Arial"/>
          <w:color w:val="000000" w:themeColor="text1"/>
          <w:sz w:val="21"/>
          <w:szCs w:val="21"/>
          <w:highlight w:val="none"/>
          <w14:textFill>
            <w14:solidFill>
              <w14:schemeClr w14:val="tx1"/>
            </w14:solidFill>
          </w14:textFill>
        </w:rPr>
        <w:t xml:space="preserve">  5   </w:t>
      </w:r>
      <w:r>
        <w:rPr>
          <w:rStyle w:val="86"/>
          <w:rFonts w:hint="eastAsia" w:cs="Arial"/>
          <w:color w:val="000000" w:themeColor="text1"/>
          <w:sz w:val="21"/>
          <w:szCs w:val="21"/>
          <w:highlight w:val="none"/>
          <w14:textFill>
            <w14:solidFill>
              <w14:schemeClr w14:val="tx1"/>
            </w14:solidFill>
          </w14:textFill>
        </w:rPr>
        <w:t>年；</w:t>
      </w:r>
    </w:p>
    <w:p w14:paraId="4DD49AC0">
      <w:pPr>
        <w:pStyle w:val="22"/>
        <w:rPr>
          <w:rFonts w:hint="default" w:cs="Arial"/>
          <w:color w:val="000000" w:themeColor="text1"/>
          <w:sz w:val="21"/>
          <w:szCs w:val="21"/>
          <w:highlight w:val="none"/>
          <w14:textFill>
            <w14:solidFill>
              <w14:schemeClr w14:val="tx1"/>
            </w14:solidFill>
          </w14:textFill>
        </w:rPr>
      </w:pPr>
      <w:r>
        <w:rPr>
          <w:rStyle w:val="86"/>
          <w:rFonts w:hint="eastAsia" w:cs="Arial"/>
          <w:color w:val="000000" w:themeColor="text1"/>
          <w:sz w:val="21"/>
          <w:szCs w:val="21"/>
          <w:highlight w:val="none"/>
          <w14:textFill>
            <w14:solidFill>
              <w14:schemeClr w14:val="tx1"/>
            </w14:solidFill>
          </w14:textFill>
        </w:rPr>
        <w:t>3．装修工程为</w:t>
      </w:r>
      <w:r>
        <w:rPr>
          <w:rStyle w:val="87"/>
          <w:rFonts w:hint="eastAsia" w:ascii="宋体" w:hAnsi="宋体" w:cs="Arial"/>
          <w:color w:val="000000" w:themeColor="text1"/>
          <w:sz w:val="21"/>
          <w:szCs w:val="21"/>
          <w:highlight w:val="none"/>
          <w14:textFill>
            <w14:solidFill>
              <w14:schemeClr w14:val="tx1"/>
            </w14:solidFill>
          </w14:textFill>
        </w:rPr>
        <w:t xml:space="preserve">   2  </w:t>
      </w:r>
      <w:r>
        <w:rPr>
          <w:rStyle w:val="86"/>
          <w:rFonts w:hint="eastAsia" w:cs="Arial"/>
          <w:color w:val="000000" w:themeColor="text1"/>
          <w:sz w:val="21"/>
          <w:szCs w:val="21"/>
          <w:highlight w:val="none"/>
          <w14:textFill>
            <w14:solidFill>
              <w14:schemeClr w14:val="tx1"/>
            </w14:solidFill>
          </w14:textFill>
        </w:rPr>
        <w:t>年；</w:t>
      </w:r>
    </w:p>
    <w:p w14:paraId="214D0D1D">
      <w:pPr>
        <w:pStyle w:val="22"/>
        <w:rPr>
          <w:rFonts w:hint="default" w:cs="Arial"/>
          <w:color w:val="000000" w:themeColor="text1"/>
          <w:sz w:val="21"/>
          <w:szCs w:val="21"/>
          <w:highlight w:val="none"/>
          <w14:textFill>
            <w14:solidFill>
              <w14:schemeClr w14:val="tx1"/>
            </w14:solidFill>
          </w14:textFill>
        </w:rPr>
      </w:pPr>
      <w:r>
        <w:rPr>
          <w:rStyle w:val="86"/>
          <w:rFonts w:hint="eastAsia" w:cs="Arial"/>
          <w:color w:val="000000" w:themeColor="text1"/>
          <w:sz w:val="21"/>
          <w:szCs w:val="21"/>
          <w:highlight w:val="none"/>
          <w14:textFill>
            <w14:solidFill>
              <w14:schemeClr w14:val="tx1"/>
            </w14:solidFill>
          </w14:textFill>
        </w:rPr>
        <w:t>4．电气管线、给排水管道、设备安装工程为</w:t>
      </w:r>
      <w:r>
        <w:rPr>
          <w:rStyle w:val="87"/>
          <w:rFonts w:hint="eastAsia" w:ascii="宋体" w:hAnsi="宋体" w:cs="Arial"/>
          <w:color w:val="000000" w:themeColor="text1"/>
          <w:sz w:val="21"/>
          <w:szCs w:val="21"/>
          <w:highlight w:val="none"/>
          <w14:textFill>
            <w14:solidFill>
              <w14:schemeClr w14:val="tx1"/>
            </w14:solidFill>
          </w14:textFill>
        </w:rPr>
        <w:t xml:space="preserve">  2   </w:t>
      </w:r>
      <w:r>
        <w:rPr>
          <w:rStyle w:val="86"/>
          <w:rFonts w:hint="eastAsia" w:cs="Arial"/>
          <w:color w:val="000000" w:themeColor="text1"/>
          <w:sz w:val="21"/>
          <w:szCs w:val="21"/>
          <w:highlight w:val="none"/>
          <w14:textFill>
            <w14:solidFill>
              <w14:schemeClr w14:val="tx1"/>
            </w14:solidFill>
          </w14:textFill>
        </w:rPr>
        <w:t>年；</w:t>
      </w:r>
    </w:p>
    <w:p w14:paraId="1797CC17">
      <w:pPr>
        <w:pStyle w:val="22"/>
        <w:rPr>
          <w:rFonts w:hint="default" w:cs="Arial"/>
          <w:color w:val="000000" w:themeColor="text1"/>
          <w:sz w:val="21"/>
          <w:szCs w:val="21"/>
          <w:highlight w:val="none"/>
          <w14:textFill>
            <w14:solidFill>
              <w14:schemeClr w14:val="tx1"/>
            </w14:solidFill>
          </w14:textFill>
        </w:rPr>
      </w:pPr>
      <w:r>
        <w:rPr>
          <w:rStyle w:val="86"/>
          <w:rFonts w:hint="eastAsia" w:cs="Arial"/>
          <w:color w:val="000000" w:themeColor="text1"/>
          <w:sz w:val="21"/>
          <w:szCs w:val="21"/>
          <w:highlight w:val="none"/>
          <w14:textFill>
            <w14:solidFill>
              <w14:schemeClr w14:val="tx1"/>
            </w14:solidFill>
          </w14:textFill>
        </w:rPr>
        <w:t>5．供热与供冷系统为</w:t>
      </w:r>
      <w:r>
        <w:rPr>
          <w:rStyle w:val="87"/>
          <w:rFonts w:hint="eastAsia" w:ascii="宋体" w:hAnsi="宋体" w:cs="Arial"/>
          <w:color w:val="000000" w:themeColor="text1"/>
          <w:sz w:val="21"/>
          <w:szCs w:val="21"/>
          <w:highlight w:val="none"/>
          <w14:textFill>
            <w14:solidFill>
              <w14:schemeClr w14:val="tx1"/>
            </w14:solidFill>
          </w14:textFill>
        </w:rPr>
        <w:t xml:space="preserve">    2  </w:t>
      </w:r>
      <w:r>
        <w:rPr>
          <w:rStyle w:val="86"/>
          <w:rFonts w:hint="eastAsia" w:cs="Arial"/>
          <w:color w:val="000000" w:themeColor="text1"/>
          <w:sz w:val="21"/>
          <w:szCs w:val="21"/>
          <w:highlight w:val="none"/>
          <w14:textFill>
            <w14:solidFill>
              <w14:schemeClr w14:val="tx1"/>
            </w14:solidFill>
          </w14:textFill>
        </w:rPr>
        <w:t>个采暖期、供冷期；</w:t>
      </w:r>
    </w:p>
    <w:p w14:paraId="2C2667D4">
      <w:pPr>
        <w:pStyle w:val="22"/>
        <w:rPr>
          <w:rFonts w:hint="default" w:cs="Arial"/>
          <w:color w:val="000000" w:themeColor="text1"/>
          <w:sz w:val="21"/>
          <w:szCs w:val="21"/>
          <w:highlight w:val="none"/>
          <w14:textFill>
            <w14:solidFill>
              <w14:schemeClr w14:val="tx1"/>
            </w14:solidFill>
          </w14:textFill>
        </w:rPr>
      </w:pPr>
      <w:r>
        <w:rPr>
          <w:rStyle w:val="86"/>
          <w:rFonts w:hint="eastAsia" w:cs="Arial"/>
          <w:color w:val="000000" w:themeColor="text1"/>
          <w:sz w:val="21"/>
          <w:szCs w:val="21"/>
          <w:highlight w:val="none"/>
          <w14:textFill>
            <w14:solidFill>
              <w14:schemeClr w14:val="tx1"/>
            </w14:solidFill>
          </w14:textFill>
        </w:rPr>
        <w:t>6．住宅小区内的给排水设施、道路等配套工程为</w:t>
      </w:r>
      <w:r>
        <w:rPr>
          <w:rStyle w:val="87"/>
          <w:rFonts w:hint="eastAsia" w:ascii="宋体" w:hAnsi="宋体" w:cs="Arial"/>
          <w:color w:val="000000" w:themeColor="text1"/>
          <w:sz w:val="21"/>
          <w:szCs w:val="21"/>
          <w:highlight w:val="none"/>
          <w14:textFill>
            <w14:solidFill>
              <w14:schemeClr w14:val="tx1"/>
            </w14:solidFill>
          </w14:textFill>
        </w:rPr>
        <w:t xml:space="preserve">    2   </w:t>
      </w:r>
      <w:r>
        <w:rPr>
          <w:rStyle w:val="86"/>
          <w:rFonts w:hint="eastAsia" w:cs="Arial"/>
          <w:color w:val="000000" w:themeColor="text1"/>
          <w:sz w:val="21"/>
          <w:szCs w:val="21"/>
          <w:highlight w:val="none"/>
          <w14:textFill>
            <w14:solidFill>
              <w14:schemeClr w14:val="tx1"/>
            </w14:solidFill>
          </w14:textFill>
        </w:rPr>
        <w:t>年；</w:t>
      </w:r>
    </w:p>
    <w:p w14:paraId="2C4F5A5E">
      <w:pPr>
        <w:autoSpaceDE w:val="0"/>
        <w:autoSpaceDN w:val="0"/>
        <w:adjustRightInd w:val="0"/>
        <w:spacing w:line="360" w:lineRule="auto"/>
        <w:ind w:left="-359" w:leftChars="-171" w:right="-178" w:rightChars="-85" w:firstLine="420" w:firstLineChars="200"/>
        <w:rPr>
          <w:rFonts w:ascii="宋体" w:hAnsi="宋体" w:cs="宋体"/>
          <w:bCs/>
          <w:color w:val="000000" w:themeColor="text1"/>
          <w:szCs w:val="21"/>
          <w:highlight w:val="none"/>
          <w:u w:val="single"/>
          <w14:textFill>
            <w14:solidFill>
              <w14:schemeClr w14:val="tx1"/>
            </w14:solidFill>
          </w14:textFill>
        </w:rPr>
      </w:pPr>
      <w:r>
        <w:rPr>
          <w:rStyle w:val="86"/>
          <w:rFonts w:hint="eastAsia" w:cs="Arial"/>
          <w:color w:val="000000" w:themeColor="text1"/>
          <w:szCs w:val="21"/>
          <w:highlight w:val="none"/>
          <w14:textFill>
            <w14:solidFill>
              <w14:schemeClr w14:val="tx1"/>
            </w14:solidFill>
          </w14:textFill>
        </w:rPr>
        <w:t>7．其他项目保修期限约定如下</w:t>
      </w:r>
      <w:r>
        <w:rPr>
          <w:rStyle w:val="86"/>
          <w:rFonts w:hint="eastAsia" w:cs="Arial"/>
          <w:color w:val="000000" w:themeColor="text1"/>
          <w:szCs w:val="21"/>
          <w:highlight w:val="none"/>
          <w:u w:val="single"/>
          <w14:textFill>
            <w14:solidFill>
              <w14:schemeClr w14:val="tx1"/>
            </w14:solidFill>
          </w14:textFill>
        </w:rPr>
        <w:t>：7.1、</w:t>
      </w:r>
      <w:r>
        <w:rPr>
          <w:rFonts w:hint="eastAsia" w:ascii="宋体" w:hAnsi="宋体" w:cs="宋体"/>
          <w:bCs/>
          <w:color w:val="000000" w:themeColor="text1"/>
          <w:szCs w:val="21"/>
          <w:highlight w:val="none"/>
          <w:u w:val="single"/>
          <w14:textFill>
            <w14:solidFill>
              <w14:schemeClr w14:val="tx1"/>
            </w14:solidFill>
          </w14:textFill>
        </w:rPr>
        <w:t>本项目质量保证期为   年，自验收合格起计算。</w:t>
      </w:r>
    </w:p>
    <w:p w14:paraId="0D98BA6E">
      <w:pPr>
        <w:autoSpaceDE w:val="0"/>
        <w:autoSpaceDN w:val="0"/>
        <w:adjustRightInd w:val="0"/>
        <w:spacing w:line="360" w:lineRule="auto"/>
        <w:ind w:left="-359" w:leftChars="-171" w:right="-178" w:rightChars="-85" w:firstLine="420" w:firstLineChars="200"/>
        <w:rPr>
          <w:rFonts w:ascii="宋体" w:hAnsi="宋体" w:cs="宋体"/>
          <w:bCs/>
          <w:color w:val="000000" w:themeColor="text1"/>
          <w:szCs w:val="21"/>
          <w:highlight w:val="none"/>
          <w:u w:val="single"/>
          <w14:textFill>
            <w14:solidFill>
              <w14:schemeClr w14:val="tx1"/>
            </w14:solidFill>
          </w14:textFill>
        </w:rPr>
      </w:pPr>
      <w:r>
        <w:rPr>
          <w:rFonts w:hint="eastAsia" w:ascii="宋体" w:hAnsi="宋体" w:cs="宋体"/>
          <w:bCs/>
          <w:color w:val="000000" w:themeColor="text1"/>
          <w:szCs w:val="21"/>
          <w:highlight w:val="none"/>
          <w:u w:val="single"/>
          <w14:textFill>
            <w14:solidFill>
              <w14:schemeClr w14:val="tx1"/>
            </w14:solidFill>
          </w14:textFill>
        </w:rPr>
        <w:t>7.2 在质保期内，承包人在接发包人通知后，   小时内响应，省内的在   小时内，省外的在  小时内，赶到甲方现场，免费予以排除故障、修复或更换零部件,还应支付因更换所发生的运输、保险、安装、检测等有关的全部费用。</w:t>
      </w:r>
    </w:p>
    <w:p w14:paraId="288BFF8E">
      <w:pPr>
        <w:autoSpaceDE w:val="0"/>
        <w:autoSpaceDN w:val="0"/>
        <w:adjustRightInd w:val="0"/>
        <w:spacing w:line="360" w:lineRule="auto"/>
        <w:ind w:left="-359" w:leftChars="-171" w:right="-178" w:rightChars="-85" w:firstLine="420" w:firstLineChars="200"/>
        <w:rPr>
          <w:rFonts w:ascii="宋体" w:hAnsi="宋体" w:cs="宋体"/>
          <w:bCs/>
          <w:color w:val="000000" w:themeColor="text1"/>
          <w:szCs w:val="21"/>
          <w:highlight w:val="none"/>
          <w:u w:val="single"/>
          <w14:textFill>
            <w14:solidFill>
              <w14:schemeClr w14:val="tx1"/>
            </w14:solidFill>
          </w14:textFill>
        </w:rPr>
      </w:pPr>
      <w:r>
        <w:rPr>
          <w:rFonts w:hint="eastAsia" w:ascii="宋体" w:hAnsi="宋体" w:cs="宋体"/>
          <w:bCs/>
          <w:color w:val="000000" w:themeColor="text1"/>
          <w:szCs w:val="21"/>
          <w:highlight w:val="none"/>
          <w:u w:val="single"/>
          <w14:textFill>
            <w14:solidFill>
              <w14:schemeClr w14:val="tx1"/>
            </w14:solidFill>
          </w14:textFill>
        </w:rPr>
        <w:t>7.3质保期满后，如出现问题，承包人在接发包人通知后，仍应在上述时间内响应、派人赶到现场，帮助排除故障、修复或更换，需购买零部件时，酌情收取成本费。</w:t>
      </w:r>
    </w:p>
    <w:p w14:paraId="39BCF8A1">
      <w:pPr>
        <w:autoSpaceDE w:val="0"/>
        <w:autoSpaceDN w:val="0"/>
        <w:adjustRightInd w:val="0"/>
        <w:spacing w:line="360" w:lineRule="auto"/>
        <w:ind w:left="-359" w:leftChars="-171" w:right="-178" w:rightChars="-85"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u w:val="single"/>
          <w14:textFill>
            <w14:solidFill>
              <w14:schemeClr w14:val="tx1"/>
            </w14:solidFill>
          </w14:textFill>
        </w:rPr>
        <w:t>7.4</w:t>
      </w:r>
      <w:r>
        <w:rPr>
          <w:rFonts w:hint="eastAsia" w:ascii="宋体" w:hAnsi="宋体"/>
          <w:color w:val="000000" w:themeColor="text1"/>
          <w:szCs w:val="21"/>
          <w:highlight w:val="none"/>
          <w:u w:val="single"/>
          <w:lang w:val="en-US" w:eastAsia="zh-CN"/>
          <w14:textFill>
            <w14:solidFill>
              <w14:schemeClr w14:val="tx1"/>
            </w14:solidFill>
          </w14:textFill>
        </w:rPr>
        <w:t>本项质保期2年（其中电器设备质保期不少于6年），</w:t>
      </w:r>
      <w:r>
        <w:rPr>
          <w:rFonts w:hint="eastAsia" w:ascii="宋体" w:hAnsi="宋体"/>
          <w:color w:val="000000" w:themeColor="text1"/>
          <w:szCs w:val="21"/>
          <w:highlight w:val="none"/>
          <w:u w:val="single"/>
          <w14:textFill>
            <w14:solidFill>
              <w14:schemeClr w14:val="tx1"/>
            </w14:solidFill>
          </w14:textFill>
        </w:rPr>
        <w:t>其他工程的质量保修期根据分包合同中的相应质量保修条款执行，若有冲突以最长质量保修年限为准。除上述规定外，应符合中华人民共和国建设部80号令《房屋建筑工程质量保修办法》关于保修期的规定。若国家、江苏地区，对上述具体工程的保修期有新的规定时，按新规定执行。</w:t>
      </w:r>
    </w:p>
    <w:p w14:paraId="116AC264">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质量保修期自工程竣工验收合格之日起计算。</w:t>
      </w:r>
    </w:p>
    <w:p w14:paraId="7A89B83F">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三、缺陷责任期</w:t>
      </w:r>
    </w:p>
    <w:p w14:paraId="708C2478">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工程缺陷责任期为</w:t>
      </w:r>
      <w:r>
        <w:rPr>
          <w:rFonts w:hint="eastAsia" w:ascii="宋体" w:hAnsi="宋体"/>
          <w:color w:val="000000" w:themeColor="text1"/>
          <w:szCs w:val="21"/>
          <w:highlight w:val="none"/>
          <w:u w:val="single"/>
          <w14:textFill>
            <w14:solidFill>
              <w14:schemeClr w14:val="tx1"/>
            </w14:solidFill>
          </w14:textFill>
        </w:rPr>
        <w:t>24</w:t>
      </w:r>
      <w:r>
        <w:rPr>
          <w:rFonts w:ascii="宋体" w:hAnsi="宋体"/>
          <w:color w:val="000000" w:themeColor="text1"/>
          <w:szCs w:val="21"/>
          <w:highlight w:val="none"/>
          <w14:textFill>
            <w14:solidFill>
              <w14:schemeClr w14:val="tx1"/>
            </w14:solidFill>
          </w14:textFill>
        </w:rPr>
        <w:t>个月，缺陷责任期自工程竣工验收合格之日起计算。单位工程先于全部工程进行验收，单位工程缺陷责任期自单位工程验收合格之日起算。</w:t>
      </w:r>
    </w:p>
    <w:p w14:paraId="1586EB5B">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    四、质量保修责任</w:t>
      </w:r>
    </w:p>
    <w:p w14:paraId="49817590">
      <w:pPr>
        <w:spacing w:line="360" w:lineRule="auto"/>
        <w:ind w:left="105" w:leftChars="50" w:firstLine="430" w:firstLineChars="205"/>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w:t>
      </w:r>
      <w:r>
        <w:rPr>
          <w:rFonts w:ascii="宋体" w:hAnsi="宋体"/>
          <w:color w:val="000000" w:themeColor="text1"/>
          <w:szCs w:val="21"/>
          <w:highlight w:val="none"/>
          <w14:textFill>
            <w14:solidFill>
              <w14:schemeClr w14:val="tx1"/>
            </w14:solidFill>
          </w14:textFill>
        </w:rPr>
        <w:t>属于保修范围、内容的项目，承包人应当在接到保修通知之日起7天内派人保修。承包人不在约定期限内派人保修的，发包人可以委托他人修理。</w:t>
      </w:r>
    </w:p>
    <w:p w14:paraId="28FCD697">
      <w:pPr>
        <w:spacing w:line="360" w:lineRule="auto"/>
        <w:ind w:left="105" w:leftChars="50" w:firstLine="430" w:firstLineChars="205"/>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w:t>
      </w:r>
      <w:r>
        <w:rPr>
          <w:rFonts w:ascii="宋体" w:hAnsi="宋体"/>
          <w:color w:val="000000" w:themeColor="text1"/>
          <w:szCs w:val="21"/>
          <w:highlight w:val="none"/>
          <w14:textFill>
            <w14:solidFill>
              <w14:schemeClr w14:val="tx1"/>
            </w14:solidFill>
          </w14:textFill>
        </w:rPr>
        <w:t>发生紧急事故需抢修的，承包人在接到事故通知后，应当立即到达事故现场抢修。</w:t>
      </w:r>
    </w:p>
    <w:p w14:paraId="3E0B2AA2">
      <w:pPr>
        <w:spacing w:line="360" w:lineRule="auto"/>
        <w:ind w:left="105" w:leftChars="50" w:firstLine="430" w:firstLineChars="205"/>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w:t>
      </w:r>
      <w:r>
        <w:rPr>
          <w:rFonts w:ascii="宋体" w:hAnsi="宋体"/>
          <w:color w:val="000000" w:themeColor="text1"/>
          <w:szCs w:val="21"/>
          <w:highlight w:val="none"/>
          <w14:textFill>
            <w14:solidFill>
              <w14:schemeClr w14:val="tx1"/>
            </w14:solidFill>
          </w14:textFill>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369EE951">
      <w:pPr>
        <w:spacing w:line="360" w:lineRule="auto"/>
        <w:ind w:left="420" w:leftChars="200" w:firstLine="105" w:firstLineChars="5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w:t>
      </w:r>
      <w:r>
        <w:rPr>
          <w:rFonts w:ascii="宋体" w:hAnsi="宋体"/>
          <w:color w:val="000000" w:themeColor="text1"/>
          <w:szCs w:val="21"/>
          <w:highlight w:val="none"/>
          <w14:textFill>
            <w14:solidFill>
              <w14:schemeClr w14:val="tx1"/>
            </w14:solidFill>
          </w14:textFill>
        </w:rPr>
        <w:t>质量保修完成后，由发包人组织验收。</w:t>
      </w:r>
    </w:p>
    <w:p w14:paraId="02AA2549">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五、保修费用</w:t>
      </w:r>
    </w:p>
    <w:p w14:paraId="2F881172">
      <w:pPr>
        <w:spacing w:line="360" w:lineRule="auto"/>
        <w:ind w:firstLine="42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保修费用由造成质量缺陷的责任方承担。</w:t>
      </w:r>
    </w:p>
    <w:p w14:paraId="12DFA93B">
      <w:pPr>
        <w:spacing w:line="360" w:lineRule="auto"/>
        <w:ind w:firstLine="420"/>
        <w:rPr>
          <w:rFonts w:ascii="宋体" w:hAnsi="宋体"/>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t>六</w:t>
      </w:r>
      <w:r>
        <w:rPr>
          <w:rFonts w:ascii="宋体" w:hAnsi="宋体"/>
          <w:color w:val="000000" w:themeColor="text1"/>
          <w:szCs w:val="21"/>
          <w:highlight w:val="none"/>
          <w14:textFill>
            <w14:solidFill>
              <w14:schemeClr w14:val="tx1"/>
            </w14:solidFill>
          </w14:textFill>
        </w:rPr>
        <w:t>、双方约定的其他工程质量保修事项：</w:t>
      </w:r>
      <w:r>
        <w:rPr>
          <w:rFonts w:hint="eastAsia" w:ascii="宋体" w:hAnsi="宋体"/>
          <w:color w:val="000000" w:themeColor="text1"/>
          <w:szCs w:val="21"/>
          <w:highlight w:val="none"/>
          <w:u w:val="single"/>
          <w14:textFill>
            <w14:solidFill>
              <w14:schemeClr w14:val="tx1"/>
            </w14:solidFill>
          </w14:textFill>
        </w:rPr>
        <w:t>/</w:t>
      </w:r>
      <w:r>
        <w:rPr>
          <w:rFonts w:ascii="宋体" w:hAnsi="宋体"/>
          <w:color w:val="000000" w:themeColor="text1"/>
          <w:szCs w:val="21"/>
          <w:highlight w:val="none"/>
          <w14:textFill>
            <w14:solidFill>
              <w14:schemeClr w14:val="tx1"/>
            </w14:solidFill>
          </w14:textFill>
        </w:rPr>
        <w:t>。</w:t>
      </w:r>
    </w:p>
    <w:p w14:paraId="1C77302B">
      <w:pPr>
        <w:spacing w:line="360" w:lineRule="auto"/>
        <w:ind w:firstLine="399" w:firstLineChars="19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工程质量保修书由发包人、承包人在工程竣工验收前共同签署，作为施工合同附件，其有效期限至保修期满。</w:t>
      </w:r>
    </w:p>
    <w:p w14:paraId="40CE8183">
      <w:pPr>
        <w:spacing w:line="360" w:lineRule="auto"/>
        <w:ind w:firstLine="420"/>
        <w:rPr>
          <w:rFonts w:ascii="宋体" w:hAnsi="宋体"/>
          <w:color w:val="000000" w:themeColor="text1"/>
          <w:szCs w:val="21"/>
          <w:highlight w:val="none"/>
          <w14:textFill>
            <w14:solidFill>
              <w14:schemeClr w14:val="tx1"/>
            </w14:solidFill>
          </w14:textFill>
        </w:rPr>
      </w:pPr>
    </w:p>
    <w:p w14:paraId="30E9171D">
      <w:pPr>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发包人(盖章)：</w:t>
      </w:r>
      <w:r>
        <w:rPr>
          <w:rFonts w:hint="eastAsia" w:ascii="宋体" w:hAnsi="宋体" w:cs="宋体"/>
          <w:color w:val="000000" w:themeColor="text1"/>
          <w:szCs w:val="21"/>
          <w:highlight w:val="none"/>
          <w:u w:val="single"/>
          <w14:textFill>
            <w14:solidFill>
              <w14:schemeClr w14:val="tx1"/>
            </w14:solidFill>
          </w14:textFill>
        </w:rPr>
        <w:t xml:space="preserve">           </w:t>
      </w:r>
      <w:r>
        <w:rPr>
          <w:rFonts w:hint="eastAsia" w:ascii="宋体" w:hAnsi="宋体" w:cs="宋体"/>
          <w:color w:val="000000" w:themeColor="text1"/>
          <w:szCs w:val="21"/>
          <w:highlight w:val="none"/>
          <w14:textFill>
            <w14:solidFill>
              <w14:schemeClr w14:val="tx1"/>
            </w14:solidFill>
          </w14:textFill>
        </w:rPr>
        <w:t xml:space="preserve">   承包人(公章)：</w:t>
      </w:r>
      <w:r>
        <w:rPr>
          <w:rFonts w:hint="eastAsia" w:ascii="宋体" w:hAnsi="宋体" w:cs="宋体"/>
          <w:color w:val="000000" w:themeColor="text1"/>
          <w:szCs w:val="21"/>
          <w:highlight w:val="none"/>
          <w:u w:val="single"/>
          <w14:textFill>
            <w14:solidFill>
              <w14:schemeClr w14:val="tx1"/>
            </w14:solidFill>
          </w14:textFill>
        </w:rPr>
        <w:t xml:space="preserve">                         </w:t>
      </w:r>
    </w:p>
    <w:p w14:paraId="6952B6E9">
      <w:pPr>
        <w:spacing w:line="360" w:lineRule="auto"/>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地  址：</w:t>
      </w:r>
      <w:r>
        <w:rPr>
          <w:rFonts w:hint="eastAsia" w:ascii="宋体" w:hAnsi="宋体" w:cs="宋体"/>
          <w:color w:val="000000" w:themeColor="text1"/>
          <w:szCs w:val="21"/>
          <w:highlight w:val="none"/>
          <w:u w:val="single"/>
          <w14:textFill>
            <w14:solidFill>
              <w14:schemeClr w14:val="tx1"/>
            </w14:solidFill>
          </w14:textFill>
        </w:rPr>
        <w:t xml:space="preserve">         </w:t>
      </w:r>
      <w:r>
        <w:rPr>
          <w:rFonts w:hint="eastAsia" w:ascii="宋体" w:hAnsi="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地  址：</w:t>
      </w:r>
      <w:r>
        <w:rPr>
          <w:rFonts w:hint="eastAsia" w:ascii="宋体" w:hAnsi="宋体" w:cs="宋体"/>
          <w:color w:val="000000" w:themeColor="text1"/>
          <w:sz w:val="24"/>
          <w:szCs w:val="24"/>
          <w:highlight w:val="none"/>
          <w:u w:val="single"/>
          <w14:textFill>
            <w14:solidFill>
              <w14:schemeClr w14:val="tx1"/>
            </w14:solidFill>
          </w14:textFill>
        </w:rPr>
        <w:t xml:space="preserve">                          </w:t>
      </w:r>
    </w:p>
    <w:p w14:paraId="04629640">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法定代表人(签字)：</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法定代表人(签字)：</w:t>
      </w:r>
      <w:r>
        <w:rPr>
          <w:rFonts w:hint="eastAsia" w:ascii="宋体" w:hAnsi="宋体" w:cs="宋体"/>
          <w:color w:val="000000" w:themeColor="text1"/>
          <w:sz w:val="24"/>
          <w:szCs w:val="24"/>
          <w:highlight w:val="none"/>
          <w:u w:val="single"/>
          <w14:textFill>
            <w14:solidFill>
              <w14:schemeClr w14:val="tx1"/>
            </w14:solidFill>
          </w14:textFill>
        </w:rPr>
        <w:t xml:space="preserve">                 </w:t>
      </w:r>
    </w:p>
    <w:p w14:paraId="7C42AC8D">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委托代理人(签字)：</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委托代理人(签字)：</w:t>
      </w:r>
      <w:r>
        <w:rPr>
          <w:rFonts w:hint="eastAsia" w:ascii="宋体" w:hAnsi="宋体" w:cs="宋体"/>
          <w:color w:val="000000" w:themeColor="text1"/>
          <w:sz w:val="24"/>
          <w:szCs w:val="24"/>
          <w:highlight w:val="none"/>
          <w:u w:val="single"/>
          <w14:textFill>
            <w14:solidFill>
              <w14:schemeClr w14:val="tx1"/>
            </w14:solidFill>
          </w14:textFill>
        </w:rPr>
        <w:t xml:space="preserve">                 </w:t>
      </w:r>
    </w:p>
    <w:p w14:paraId="25625F09">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电  话：</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电  话：</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              </w:t>
      </w:r>
    </w:p>
    <w:p w14:paraId="75B63038">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传  真：</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传  真：</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w:t>
      </w:r>
    </w:p>
    <w:p w14:paraId="429C3B22">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开户银行：</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开户银行：</w:t>
      </w:r>
      <w:r>
        <w:rPr>
          <w:rFonts w:hint="eastAsia" w:ascii="宋体" w:hAnsi="宋体" w:cs="宋体"/>
          <w:color w:val="000000" w:themeColor="text1"/>
          <w:sz w:val="24"/>
          <w:szCs w:val="24"/>
          <w:highlight w:val="none"/>
          <w:u w:val="single"/>
          <w14:textFill>
            <w14:solidFill>
              <w14:schemeClr w14:val="tx1"/>
            </w14:solidFill>
          </w14:textFill>
        </w:rPr>
        <w:t xml:space="preserve">                 </w:t>
      </w:r>
    </w:p>
    <w:p w14:paraId="4C4D6C6B">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账  号：</w:t>
      </w:r>
      <w:r>
        <w:rPr>
          <w:rFonts w:hint="eastAsia" w:ascii="宋体" w:hAnsi="宋体" w:cs="宋体"/>
          <w:color w:val="000000" w:themeColor="text1"/>
          <w:sz w:val="24"/>
          <w:szCs w:val="24"/>
          <w:highlight w:val="none"/>
          <w:u w:val="single"/>
          <w14:textFill>
            <w14:solidFill>
              <w14:schemeClr w14:val="tx1"/>
            </w14:solidFill>
          </w14:textFill>
        </w:rPr>
        <w:t xml:space="preserve">       </w:t>
      </w:r>
      <w:r>
        <w:rPr>
          <w:rFonts w:hint="eastAsia" w:ascii="宋体" w:hAnsi="宋体" w:cs="宋体"/>
          <w:color w:val="000000" w:themeColor="text1"/>
          <w:sz w:val="24"/>
          <w:szCs w:val="24"/>
          <w:highlight w:val="none"/>
          <w14:textFill>
            <w14:solidFill>
              <w14:schemeClr w14:val="tx1"/>
            </w14:solidFill>
          </w14:textFill>
        </w:rPr>
        <w:t xml:space="preserve">   账 号：</w:t>
      </w:r>
      <w:r>
        <w:rPr>
          <w:rFonts w:hint="eastAsia" w:ascii="宋体" w:hAnsi="宋体" w:cs="宋体"/>
          <w:color w:val="000000" w:themeColor="text1"/>
          <w:sz w:val="24"/>
          <w:szCs w:val="24"/>
          <w:highlight w:val="none"/>
          <w:u w:val="single"/>
          <w14:textFill>
            <w14:solidFill>
              <w14:schemeClr w14:val="tx1"/>
            </w14:solidFill>
          </w14:textFill>
        </w:rPr>
        <w:t xml:space="preserve">                       </w:t>
      </w:r>
    </w:p>
    <w:p w14:paraId="0AA44069">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邮政编码：</w:t>
      </w:r>
      <w:r>
        <w:rPr>
          <w:rFonts w:hint="eastAsia" w:ascii="宋体" w:hAnsi="宋体" w:cs="宋体"/>
          <w:color w:val="000000" w:themeColor="text1"/>
          <w:sz w:val="24"/>
          <w:szCs w:val="24"/>
          <w:highlight w:val="none"/>
          <w:u w:val="single"/>
          <w14:textFill>
            <w14:solidFill>
              <w14:schemeClr w14:val="tx1"/>
            </w14:solidFill>
          </w14:textFill>
        </w:rPr>
        <w:t xml:space="preserve">     </w:t>
      </w:r>
      <w:r>
        <w:rPr>
          <w:rFonts w:hint="eastAsia" w:ascii="宋体" w:hAnsi="宋体" w:cs="宋体"/>
          <w:color w:val="000000" w:themeColor="text1"/>
          <w:sz w:val="24"/>
          <w:szCs w:val="24"/>
          <w:highlight w:val="none"/>
          <w14:textFill>
            <w14:solidFill>
              <w14:schemeClr w14:val="tx1"/>
            </w14:solidFill>
          </w14:textFill>
        </w:rPr>
        <w:t xml:space="preserve">  邮政编码：</w:t>
      </w:r>
      <w:r>
        <w:rPr>
          <w:rFonts w:hint="eastAsia" w:ascii="宋体" w:hAnsi="宋体" w:cs="宋体"/>
          <w:color w:val="000000" w:themeColor="text1"/>
          <w:sz w:val="24"/>
          <w:szCs w:val="24"/>
          <w:highlight w:val="none"/>
          <w:u w:val="single"/>
          <w14:textFill>
            <w14:solidFill>
              <w14:schemeClr w14:val="tx1"/>
            </w14:solidFill>
          </w14:textFill>
        </w:rPr>
        <w:t></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              </w:t>
      </w:r>
    </w:p>
    <w:p w14:paraId="0331A57A">
      <w:pPr>
        <w:spacing w:line="360" w:lineRule="auto"/>
        <w:rPr>
          <w:rFonts w:ascii="宋体" w:hAnsi="宋体"/>
          <w:color w:val="000000" w:themeColor="text1"/>
          <w:szCs w:val="21"/>
          <w:highlight w:val="none"/>
          <w14:textFill>
            <w14:solidFill>
              <w14:schemeClr w14:val="tx1"/>
            </w14:solidFill>
          </w14:textFill>
        </w:rPr>
      </w:pPr>
      <w:r>
        <w:rPr>
          <w:rFonts w:ascii="华文中宋" w:hAnsi="华文中宋" w:eastAsia="华文中宋"/>
          <w:b/>
          <w:color w:val="000000" w:themeColor="text1"/>
          <w:sz w:val="24"/>
          <w:szCs w:val="24"/>
          <w:highlight w:val="none"/>
          <w14:textFill>
            <w14:solidFill>
              <w14:schemeClr w14:val="tx1"/>
            </w14:solidFill>
          </w14:textFill>
        </w:rPr>
        <w:br w:type="page"/>
      </w:r>
      <w:r>
        <w:rPr>
          <w:rFonts w:ascii="宋体" w:hAnsi="宋体"/>
          <w:color w:val="000000" w:themeColor="text1"/>
          <w:szCs w:val="21"/>
          <w:highlight w:val="none"/>
          <w14:textFill>
            <w14:solidFill>
              <w14:schemeClr w14:val="tx1"/>
            </w14:solidFill>
          </w14:textFill>
        </w:rPr>
        <w:t>附件</w:t>
      </w:r>
      <w:r>
        <w:rPr>
          <w:rFonts w:hint="eastAsia" w:ascii="宋体" w:hAnsi="宋体"/>
          <w:color w:val="000000" w:themeColor="text1"/>
          <w:szCs w:val="21"/>
          <w:highlight w:val="none"/>
          <w:lang w:val="en-US" w:eastAsia="zh-CN"/>
          <w14:textFill>
            <w14:solidFill>
              <w14:schemeClr w14:val="tx1"/>
            </w14:solidFill>
          </w14:textFill>
        </w:rPr>
        <w:t>3</w:t>
      </w:r>
      <w:r>
        <w:rPr>
          <w:rFonts w:ascii="宋体" w:hAnsi="宋体"/>
          <w:color w:val="000000" w:themeColor="text1"/>
          <w:szCs w:val="21"/>
          <w:highlight w:val="none"/>
          <w14:textFill>
            <w14:solidFill>
              <w14:schemeClr w14:val="tx1"/>
            </w14:solidFill>
          </w14:textFill>
        </w:rPr>
        <w:t>：</w:t>
      </w:r>
    </w:p>
    <w:p w14:paraId="102E56B9">
      <w:pPr>
        <w:spacing w:before="156" w:beforeLines="50" w:after="156" w:afterLines="50" w:line="360" w:lineRule="auto"/>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主要建设工程文件目录</w:t>
      </w:r>
    </w:p>
    <w:tbl>
      <w:tblPr>
        <w:tblStyle w:val="25"/>
        <w:tblW w:w="903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953"/>
        <w:gridCol w:w="1276"/>
        <w:gridCol w:w="1450"/>
        <w:gridCol w:w="1243"/>
        <w:gridCol w:w="1450"/>
        <w:gridCol w:w="1667"/>
      </w:tblGrid>
      <w:tr w14:paraId="103C31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953" w:type="dxa"/>
            <w:tcBorders>
              <w:top w:val="single" w:color="auto" w:sz="12" w:space="0"/>
              <w:bottom w:val="double" w:color="auto" w:sz="6" w:space="0"/>
            </w:tcBorders>
            <w:vAlign w:val="center"/>
          </w:tcPr>
          <w:p w14:paraId="501B0ED8">
            <w:pPr>
              <w:pStyle w:val="9"/>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文件名称</w:t>
            </w:r>
          </w:p>
        </w:tc>
        <w:tc>
          <w:tcPr>
            <w:tcW w:w="1276" w:type="dxa"/>
            <w:tcBorders>
              <w:top w:val="single" w:color="auto" w:sz="12" w:space="0"/>
              <w:bottom w:val="double" w:color="auto" w:sz="6" w:space="0"/>
            </w:tcBorders>
            <w:vAlign w:val="center"/>
          </w:tcPr>
          <w:p w14:paraId="04A7EE2A">
            <w:pPr>
              <w:pStyle w:val="9"/>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套数</w:t>
            </w:r>
          </w:p>
        </w:tc>
        <w:tc>
          <w:tcPr>
            <w:tcW w:w="1450" w:type="dxa"/>
            <w:tcBorders>
              <w:top w:val="single" w:color="auto" w:sz="12" w:space="0"/>
              <w:bottom w:val="double" w:color="auto" w:sz="6" w:space="0"/>
            </w:tcBorders>
            <w:vAlign w:val="center"/>
          </w:tcPr>
          <w:p w14:paraId="5635D7A5">
            <w:pPr>
              <w:pStyle w:val="9"/>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费用</w:t>
            </w:r>
            <w:r>
              <w:rPr>
                <w:rFonts w:hint="eastAsia" w:ascii="宋体" w:hAnsi="宋体"/>
                <w:color w:val="000000" w:themeColor="text1"/>
                <w:szCs w:val="21"/>
                <w:highlight w:val="none"/>
                <w14:textFill>
                  <w14:solidFill>
                    <w14:schemeClr w14:val="tx1"/>
                  </w14:solidFill>
                </w14:textFill>
              </w:rPr>
              <w:t>（元）</w:t>
            </w:r>
          </w:p>
        </w:tc>
        <w:tc>
          <w:tcPr>
            <w:tcW w:w="1243" w:type="dxa"/>
            <w:tcBorders>
              <w:top w:val="single" w:color="auto" w:sz="12" w:space="0"/>
              <w:bottom w:val="double" w:color="auto" w:sz="6" w:space="0"/>
            </w:tcBorders>
            <w:vAlign w:val="center"/>
          </w:tcPr>
          <w:p w14:paraId="6E26F17A">
            <w:pPr>
              <w:pStyle w:val="9"/>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质量</w:t>
            </w:r>
          </w:p>
        </w:tc>
        <w:tc>
          <w:tcPr>
            <w:tcW w:w="1450" w:type="dxa"/>
            <w:tcBorders>
              <w:top w:val="single" w:color="auto" w:sz="12" w:space="0"/>
              <w:bottom w:val="double" w:color="auto" w:sz="6" w:space="0"/>
            </w:tcBorders>
          </w:tcPr>
          <w:p w14:paraId="1532D561">
            <w:pPr>
              <w:spacing w:line="360" w:lineRule="auto"/>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移交时间</w:t>
            </w:r>
          </w:p>
        </w:tc>
        <w:tc>
          <w:tcPr>
            <w:tcW w:w="1667" w:type="dxa"/>
            <w:tcBorders>
              <w:top w:val="single" w:color="auto" w:sz="12" w:space="0"/>
              <w:bottom w:val="double" w:color="auto" w:sz="6" w:space="0"/>
            </w:tcBorders>
          </w:tcPr>
          <w:p w14:paraId="58C7F384">
            <w:pPr>
              <w:spacing w:line="360" w:lineRule="auto"/>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责任人</w:t>
            </w:r>
          </w:p>
        </w:tc>
      </w:tr>
      <w:tr w14:paraId="0D6994E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double" w:color="auto" w:sz="6" w:space="0"/>
              <w:bottom w:val="single" w:color="auto" w:sz="6" w:space="0"/>
            </w:tcBorders>
            <w:vAlign w:val="center"/>
          </w:tcPr>
          <w:p w14:paraId="74D74C30">
            <w:pPr>
              <w:pStyle w:val="9"/>
              <w:keepNext/>
              <w:spacing w:line="360" w:lineRule="auto"/>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项目批文</w:t>
            </w:r>
          </w:p>
        </w:tc>
        <w:tc>
          <w:tcPr>
            <w:tcW w:w="1276" w:type="dxa"/>
            <w:tcBorders>
              <w:top w:val="double" w:color="auto" w:sz="6" w:space="0"/>
              <w:bottom w:val="single" w:color="auto" w:sz="6" w:space="0"/>
            </w:tcBorders>
            <w:vAlign w:val="center"/>
          </w:tcPr>
          <w:p w14:paraId="35359800">
            <w:pPr>
              <w:pStyle w:val="9"/>
              <w:keepNext/>
              <w:spacing w:line="360" w:lineRule="auto"/>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w:t>
            </w:r>
          </w:p>
        </w:tc>
        <w:tc>
          <w:tcPr>
            <w:tcW w:w="1450" w:type="dxa"/>
            <w:tcBorders>
              <w:top w:val="double" w:color="auto" w:sz="6" w:space="0"/>
              <w:bottom w:val="single" w:color="auto" w:sz="6" w:space="0"/>
            </w:tcBorders>
            <w:vAlign w:val="center"/>
          </w:tcPr>
          <w:p w14:paraId="6E35316E">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43" w:type="dxa"/>
            <w:tcBorders>
              <w:top w:val="double" w:color="auto" w:sz="6" w:space="0"/>
              <w:bottom w:val="single" w:color="auto" w:sz="6" w:space="0"/>
            </w:tcBorders>
            <w:vAlign w:val="center"/>
          </w:tcPr>
          <w:p w14:paraId="34B03893">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50" w:type="dxa"/>
            <w:tcBorders>
              <w:top w:val="double" w:color="auto" w:sz="6" w:space="0"/>
              <w:bottom w:val="single" w:color="auto" w:sz="6" w:space="0"/>
            </w:tcBorders>
            <w:vAlign w:val="center"/>
          </w:tcPr>
          <w:p w14:paraId="131F7D07">
            <w:pPr>
              <w:pStyle w:val="9"/>
              <w:keepNext/>
              <w:spacing w:line="360" w:lineRule="auto"/>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开工前</w:t>
            </w:r>
          </w:p>
        </w:tc>
        <w:tc>
          <w:tcPr>
            <w:tcW w:w="1667" w:type="dxa"/>
            <w:tcBorders>
              <w:top w:val="double" w:color="auto" w:sz="6" w:space="0"/>
              <w:bottom w:val="single" w:color="auto" w:sz="6" w:space="0"/>
            </w:tcBorders>
            <w:vAlign w:val="center"/>
          </w:tcPr>
          <w:p w14:paraId="470CB41C">
            <w:pPr>
              <w:pStyle w:val="9"/>
              <w:keepNext/>
              <w:spacing w:line="360" w:lineRule="auto"/>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发包人</w:t>
            </w:r>
          </w:p>
        </w:tc>
      </w:tr>
      <w:tr w14:paraId="49D13B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Borders>
              <w:top w:val="nil"/>
            </w:tcBorders>
            <w:vAlign w:val="center"/>
          </w:tcPr>
          <w:p w14:paraId="0CA75934">
            <w:pPr>
              <w:pStyle w:val="9"/>
              <w:keepNext/>
              <w:spacing w:line="360" w:lineRule="auto"/>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图纸</w:t>
            </w:r>
          </w:p>
        </w:tc>
        <w:tc>
          <w:tcPr>
            <w:tcW w:w="1276" w:type="dxa"/>
            <w:tcBorders>
              <w:top w:val="nil"/>
            </w:tcBorders>
            <w:vAlign w:val="center"/>
          </w:tcPr>
          <w:p w14:paraId="3DDA1C6B">
            <w:pPr>
              <w:pStyle w:val="9"/>
              <w:keepNext/>
              <w:spacing w:line="360" w:lineRule="auto"/>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w:t>
            </w:r>
          </w:p>
        </w:tc>
        <w:tc>
          <w:tcPr>
            <w:tcW w:w="1450" w:type="dxa"/>
            <w:tcBorders>
              <w:top w:val="nil"/>
            </w:tcBorders>
            <w:vAlign w:val="center"/>
          </w:tcPr>
          <w:p w14:paraId="5672208C">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43" w:type="dxa"/>
            <w:tcBorders>
              <w:top w:val="nil"/>
            </w:tcBorders>
            <w:vAlign w:val="center"/>
          </w:tcPr>
          <w:p w14:paraId="731C5BDC">
            <w:pPr>
              <w:pStyle w:val="9"/>
              <w:keepNext/>
              <w:spacing w:line="360" w:lineRule="auto"/>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符合使用要求</w:t>
            </w:r>
          </w:p>
        </w:tc>
        <w:tc>
          <w:tcPr>
            <w:tcW w:w="1450" w:type="dxa"/>
            <w:tcBorders>
              <w:top w:val="nil"/>
            </w:tcBorders>
            <w:vAlign w:val="center"/>
          </w:tcPr>
          <w:p w14:paraId="42A284BD">
            <w:pPr>
              <w:pStyle w:val="9"/>
              <w:keepNext/>
              <w:spacing w:line="360" w:lineRule="auto"/>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开工前</w:t>
            </w:r>
          </w:p>
        </w:tc>
        <w:tc>
          <w:tcPr>
            <w:tcW w:w="1667" w:type="dxa"/>
            <w:tcBorders>
              <w:top w:val="nil"/>
            </w:tcBorders>
            <w:vAlign w:val="center"/>
          </w:tcPr>
          <w:p w14:paraId="27EACC7F">
            <w:pPr>
              <w:pStyle w:val="9"/>
              <w:keepNext/>
              <w:spacing w:line="360" w:lineRule="auto"/>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发包人</w:t>
            </w:r>
          </w:p>
        </w:tc>
      </w:tr>
      <w:tr w14:paraId="75BA18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1E2AD6DE">
            <w:pPr>
              <w:pStyle w:val="9"/>
              <w:keepNext/>
              <w:spacing w:line="360" w:lineRule="auto"/>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技术文件</w:t>
            </w:r>
          </w:p>
        </w:tc>
        <w:tc>
          <w:tcPr>
            <w:tcW w:w="1276" w:type="dxa"/>
            <w:vAlign w:val="center"/>
          </w:tcPr>
          <w:p w14:paraId="1983B67D">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50" w:type="dxa"/>
            <w:vAlign w:val="center"/>
          </w:tcPr>
          <w:p w14:paraId="23182FDD">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43" w:type="dxa"/>
            <w:vAlign w:val="center"/>
          </w:tcPr>
          <w:p w14:paraId="1C825A89">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50" w:type="dxa"/>
            <w:vAlign w:val="center"/>
          </w:tcPr>
          <w:p w14:paraId="64B687C7">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667" w:type="dxa"/>
            <w:vAlign w:val="center"/>
          </w:tcPr>
          <w:p w14:paraId="5D04FDD4">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r>
      <w:tr w14:paraId="233786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22998CB9">
            <w:pPr>
              <w:pStyle w:val="9"/>
              <w:keepNext/>
              <w:spacing w:line="360" w:lineRule="auto"/>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合同</w:t>
            </w:r>
          </w:p>
        </w:tc>
        <w:tc>
          <w:tcPr>
            <w:tcW w:w="1276" w:type="dxa"/>
            <w:vAlign w:val="center"/>
          </w:tcPr>
          <w:p w14:paraId="20596B96">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50" w:type="dxa"/>
            <w:vAlign w:val="center"/>
          </w:tcPr>
          <w:p w14:paraId="35091A48">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43" w:type="dxa"/>
            <w:vAlign w:val="center"/>
          </w:tcPr>
          <w:p w14:paraId="68BF7FAC">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50" w:type="dxa"/>
            <w:vAlign w:val="center"/>
          </w:tcPr>
          <w:p w14:paraId="0B6875BD">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667" w:type="dxa"/>
            <w:vAlign w:val="center"/>
          </w:tcPr>
          <w:p w14:paraId="31A09113">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r>
      <w:tr w14:paraId="33E5CB4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2BCF214A">
            <w:pPr>
              <w:pStyle w:val="9"/>
              <w:keepNext/>
              <w:spacing w:line="360" w:lineRule="auto"/>
              <w:ind w:left="63" w:right="63"/>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p>
        </w:tc>
        <w:tc>
          <w:tcPr>
            <w:tcW w:w="1276" w:type="dxa"/>
            <w:vAlign w:val="center"/>
          </w:tcPr>
          <w:p w14:paraId="68ECD1C0">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50" w:type="dxa"/>
            <w:vAlign w:val="center"/>
          </w:tcPr>
          <w:p w14:paraId="16D7C908">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43" w:type="dxa"/>
            <w:vAlign w:val="center"/>
          </w:tcPr>
          <w:p w14:paraId="4AB38C11">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50" w:type="dxa"/>
            <w:vAlign w:val="center"/>
          </w:tcPr>
          <w:p w14:paraId="07621DB0">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667" w:type="dxa"/>
            <w:vAlign w:val="center"/>
          </w:tcPr>
          <w:p w14:paraId="78024832">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r>
      <w:tr w14:paraId="70BB04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769C5F8F">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76" w:type="dxa"/>
            <w:vAlign w:val="center"/>
          </w:tcPr>
          <w:p w14:paraId="6224FFE8">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50" w:type="dxa"/>
            <w:vAlign w:val="center"/>
          </w:tcPr>
          <w:p w14:paraId="3787379B">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43" w:type="dxa"/>
            <w:vAlign w:val="center"/>
          </w:tcPr>
          <w:p w14:paraId="46EDF068">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50" w:type="dxa"/>
            <w:vAlign w:val="center"/>
          </w:tcPr>
          <w:p w14:paraId="7C962A0E">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667" w:type="dxa"/>
            <w:vAlign w:val="center"/>
          </w:tcPr>
          <w:p w14:paraId="439C6C84">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r>
      <w:tr w14:paraId="378AFB6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70D56099">
            <w:pPr>
              <w:spacing w:line="360" w:lineRule="auto"/>
              <w:rPr>
                <w:rFonts w:ascii="宋体" w:hAnsi="宋体"/>
                <w:color w:val="000000" w:themeColor="text1"/>
                <w:szCs w:val="21"/>
                <w:highlight w:val="none"/>
                <w14:textFill>
                  <w14:solidFill>
                    <w14:schemeClr w14:val="tx1"/>
                  </w14:solidFill>
                </w14:textFill>
              </w:rPr>
            </w:pPr>
          </w:p>
        </w:tc>
        <w:tc>
          <w:tcPr>
            <w:tcW w:w="1276" w:type="dxa"/>
          </w:tcPr>
          <w:p w14:paraId="48045876">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21343283">
            <w:pPr>
              <w:spacing w:line="360" w:lineRule="auto"/>
              <w:rPr>
                <w:rFonts w:ascii="宋体" w:hAnsi="宋体"/>
                <w:color w:val="000000" w:themeColor="text1"/>
                <w:szCs w:val="21"/>
                <w:highlight w:val="none"/>
                <w14:textFill>
                  <w14:solidFill>
                    <w14:schemeClr w14:val="tx1"/>
                  </w14:solidFill>
                </w14:textFill>
              </w:rPr>
            </w:pPr>
          </w:p>
        </w:tc>
        <w:tc>
          <w:tcPr>
            <w:tcW w:w="1243" w:type="dxa"/>
          </w:tcPr>
          <w:p w14:paraId="69AF7B61">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2403BFA8">
            <w:pPr>
              <w:spacing w:line="360" w:lineRule="auto"/>
              <w:rPr>
                <w:rFonts w:ascii="宋体" w:hAnsi="宋体"/>
                <w:color w:val="000000" w:themeColor="text1"/>
                <w:szCs w:val="21"/>
                <w:highlight w:val="none"/>
                <w14:textFill>
                  <w14:solidFill>
                    <w14:schemeClr w14:val="tx1"/>
                  </w14:solidFill>
                </w14:textFill>
              </w:rPr>
            </w:pPr>
          </w:p>
        </w:tc>
        <w:tc>
          <w:tcPr>
            <w:tcW w:w="1667" w:type="dxa"/>
          </w:tcPr>
          <w:p w14:paraId="088BA6C3">
            <w:pPr>
              <w:spacing w:line="360" w:lineRule="auto"/>
              <w:rPr>
                <w:rFonts w:ascii="宋体" w:hAnsi="宋体"/>
                <w:color w:val="000000" w:themeColor="text1"/>
                <w:szCs w:val="21"/>
                <w:highlight w:val="none"/>
                <w14:textFill>
                  <w14:solidFill>
                    <w14:schemeClr w14:val="tx1"/>
                  </w14:solidFill>
                </w14:textFill>
              </w:rPr>
            </w:pPr>
          </w:p>
        </w:tc>
      </w:tr>
      <w:tr w14:paraId="0654649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vAlign w:val="center"/>
          </w:tcPr>
          <w:p w14:paraId="53EA0E09">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76" w:type="dxa"/>
            <w:vAlign w:val="center"/>
          </w:tcPr>
          <w:p w14:paraId="6D12BD94">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50" w:type="dxa"/>
            <w:vAlign w:val="center"/>
          </w:tcPr>
          <w:p w14:paraId="042A86EC">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43" w:type="dxa"/>
            <w:vAlign w:val="center"/>
          </w:tcPr>
          <w:p w14:paraId="6DC6AD70">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50" w:type="dxa"/>
            <w:vAlign w:val="center"/>
          </w:tcPr>
          <w:p w14:paraId="2DB4D017">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667" w:type="dxa"/>
            <w:vAlign w:val="center"/>
          </w:tcPr>
          <w:p w14:paraId="028AD91F">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r>
      <w:tr w14:paraId="5D1014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45CE4A6F">
            <w:pPr>
              <w:spacing w:line="360" w:lineRule="auto"/>
              <w:rPr>
                <w:rFonts w:ascii="宋体" w:hAnsi="宋体"/>
                <w:color w:val="000000" w:themeColor="text1"/>
                <w:szCs w:val="21"/>
                <w:highlight w:val="none"/>
                <w14:textFill>
                  <w14:solidFill>
                    <w14:schemeClr w14:val="tx1"/>
                  </w14:solidFill>
                </w14:textFill>
              </w:rPr>
            </w:pPr>
          </w:p>
        </w:tc>
        <w:tc>
          <w:tcPr>
            <w:tcW w:w="1276" w:type="dxa"/>
          </w:tcPr>
          <w:p w14:paraId="31E2E02D">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3006266E">
            <w:pPr>
              <w:spacing w:line="360" w:lineRule="auto"/>
              <w:rPr>
                <w:rFonts w:ascii="宋体" w:hAnsi="宋体"/>
                <w:color w:val="000000" w:themeColor="text1"/>
                <w:szCs w:val="21"/>
                <w:highlight w:val="none"/>
                <w14:textFill>
                  <w14:solidFill>
                    <w14:schemeClr w14:val="tx1"/>
                  </w14:solidFill>
                </w14:textFill>
              </w:rPr>
            </w:pPr>
          </w:p>
        </w:tc>
        <w:tc>
          <w:tcPr>
            <w:tcW w:w="1243" w:type="dxa"/>
          </w:tcPr>
          <w:p w14:paraId="1D2680FB">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5EA3A764">
            <w:pPr>
              <w:spacing w:line="360" w:lineRule="auto"/>
              <w:rPr>
                <w:rFonts w:ascii="宋体" w:hAnsi="宋体"/>
                <w:color w:val="000000" w:themeColor="text1"/>
                <w:szCs w:val="21"/>
                <w:highlight w:val="none"/>
                <w14:textFill>
                  <w14:solidFill>
                    <w14:schemeClr w14:val="tx1"/>
                  </w14:solidFill>
                </w14:textFill>
              </w:rPr>
            </w:pPr>
          </w:p>
        </w:tc>
        <w:tc>
          <w:tcPr>
            <w:tcW w:w="1667" w:type="dxa"/>
          </w:tcPr>
          <w:p w14:paraId="02188C5F">
            <w:pPr>
              <w:spacing w:line="360" w:lineRule="auto"/>
              <w:rPr>
                <w:rFonts w:ascii="宋体" w:hAnsi="宋体"/>
                <w:color w:val="000000" w:themeColor="text1"/>
                <w:szCs w:val="21"/>
                <w:highlight w:val="none"/>
                <w14:textFill>
                  <w14:solidFill>
                    <w14:schemeClr w14:val="tx1"/>
                  </w14:solidFill>
                </w14:textFill>
              </w:rPr>
            </w:pPr>
          </w:p>
        </w:tc>
      </w:tr>
      <w:tr w14:paraId="3C8E25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5E7516B6">
            <w:pPr>
              <w:spacing w:line="360" w:lineRule="auto"/>
              <w:rPr>
                <w:rFonts w:ascii="宋体" w:hAnsi="宋体"/>
                <w:color w:val="000000" w:themeColor="text1"/>
                <w:szCs w:val="21"/>
                <w:highlight w:val="none"/>
                <w14:textFill>
                  <w14:solidFill>
                    <w14:schemeClr w14:val="tx1"/>
                  </w14:solidFill>
                </w14:textFill>
              </w:rPr>
            </w:pPr>
          </w:p>
        </w:tc>
        <w:tc>
          <w:tcPr>
            <w:tcW w:w="1276" w:type="dxa"/>
          </w:tcPr>
          <w:p w14:paraId="07CB23B9">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4D1E66BF">
            <w:pPr>
              <w:spacing w:line="360" w:lineRule="auto"/>
              <w:rPr>
                <w:rFonts w:ascii="宋体" w:hAnsi="宋体"/>
                <w:color w:val="000000" w:themeColor="text1"/>
                <w:szCs w:val="21"/>
                <w:highlight w:val="none"/>
                <w14:textFill>
                  <w14:solidFill>
                    <w14:schemeClr w14:val="tx1"/>
                  </w14:solidFill>
                </w14:textFill>
              </w:rPr>
            </w:pPr>
          </w:p>
        </w:tc>
        <w:tc>
          <w:tcPr>
            <w:tcW w:w="1243" w:type="dxa"/>
          </w:tcPr>
          <w:p w14:paraId="60141909">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53443CB6">
            <w:pPr>
              <w:spacing w:line="360" w:lineRule="auto"/>
              <w:rPr>
                <w:rFonts w:ascii="宋体" w:hAnsi="宋体"/>
                <w:color w:val="000000" w:themeColor="text1"/>
                <w:szCs w:val="21"/>
                <w:highlight w:val="none"/>
                <w14:textFill>
                  <w14:solidFill>
                    <w14:schemeClr w14:val="tx1"/>
                  </w14:solidFill>
                </w14:textFill>
              </w:rPr>
            </w:pPr>
          </w:p>
        </w:tc>
        <w:tc>
          <w:tcPr>
            <w:tcW w:w="1667" w:type="dxa"/>
          </w:tcPr>
          <w:p w14:paraId="3B6CFD0E">
            <w:pPr>
              <w:spacing w:line="360" w:lineRule="auto"/>
              <w:rPr>
                <w:rFonts w:ascii="宋体" w:hAnsi="宋体"/>
                <w:color w:val="000000" w:themeColor="text1"/>
                <w:szCs w:val="21"/>
                <w:highlight w:val="none"/>
                <w14:textFill>
                  <w14:solidFill>
                    <w14:schemeClr w14:val="tx1"/>
                  </w14:solidFill>
                </w14:textFill>
              </w:rPr>
            </w:pPr>
          </w:p>
        </w:tc>
      </w:tr>
      <w:tr w14:paraId="1B3A763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2053CBCF">
            <w:pPr>
              <w:spacing w:line="360" w:lineRule="auto"/>
              <w:rPr>
                <w:rFonts w:ascii="宋体" w:hAnsi="宋体"/>
                <w:color w:val="000000" w:themeColor="text1"/>
                <w:szCs w:val="21"/>
                <w:highlight w:val="none"/>
                <w14:textFill>
                  <w14:solidFill>
                    <w14:schemeClr w14:val="tx1"/>
                  </w14:solidFill>
                </w14:textFill>
              </w:rPr>
            </w:pPr>
          </w:p>
        </w:tc>
        <w:tc>
          <w:tcPr>
            <w:tcW w:w="1276" w:type="dxa"/>
          </w:tcPr>
          <w:p w14:paraId="00C90083">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150D0D51">
            <w:pPr>
              <w:spacing w:line="360" w:lineRule="auto"/>
              <w:rPr>
                <w:rFonts w:ascii="宋体" w:hAnsi="宋体"/>
                <w:color w:val="000000" w:themeColor="text1"/>
                <w:szCs w:val="21"/>
                <w:highlight w:val="none"/>
                <w14:textFill>
                  <w14:solidFill>
                    <w14:schemeClr w14:val="tx1"/>
                  </w14:solidFill>
                </w14:textFill>
              </w:rPr>
            </w:pPr>
          </w:p>
        </w:tc>
        <w:tc>
          <w:tcPr>
            <w:tcW w:w="1243" w:type="dxa"/>
          </w:tcPr>
          <w:p w14:paraId="05080FA2">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1FA93DF0">
            <w:pPr>
              <w:spacing w:line="360" w:lineRule="auto"/>
              <w:rPr>
                <w:rFonts w:ascii="宋体" w:hAnsi="宋体"/>
                <w:color w:val="000000" w:themeColor="text1"/>
                <w:szCs w:val="21"/>
                <w:highlight w:val="none"/>
                <w14:textFill>
                  <w14:solidFill>
                    <w14:schemeClr w14:val="tx1"/>
                  </w14:solidFill>
                </w14:textFill>
              </w:rPr>
            </w:pPr>
          </w:p>
        </w:tc>
        <w:tc>
          <w:tcPr>
            <w:tcW w:w="1667" w:type="dxa"/>
          </w:tcPr>
          <w:p w14:paraId="18A952D1">
            <w:pPr>
              <w:spacing w:line="360" w:lineRule="auto"/>
              <w:rPr>
                <w:rFonts w:ascii="宋体" w:hAnsi="宋体"/>
                <w:color w:val="000000" w:themeColor="text1"/>
                <w:szCs w:val="21"/>
                <w:highlight w:val="none"/>
                <w14:textFill>
                  <w14:solidFill>
                    <w14:schemeClr w14:val="tx1"/>
                  </w14:solidFill>
                </w14:textFill>
              </w:rPr>
            </w:pPr>
          </w:p>
        </w:tc>
      </w:tr>
      <w:tr w14:paraId="46A0B56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66BF0384">
            <w:pPr>
              <w:spacing w:line="360" w:lineRule="auto"/>
              <w:rPr>
                <w:rFonts w:ascii="宋体" w:hAnsi="宋体"/>
                <w:color w:val="000000" w:themeColor="text1"/>
                <w:szCs w:val="21"/>
                <w:highlight w:val="none"/>
                <w14:textFill>
                  <w14:solidFill>
                    <w14:schemeClr w14:val="tx1"/>
                  </w14:solidFill>
                </w14:textFill>
              </w:rPr>
            </w:pPr>
          </w:p>
        </w:tc>
        <w:tc>
          <w:tcPr>
            <w:tcW w:w="1276" w:type="dxa"/>
          </w:tcPr>
          <w:p w14:paraId="3263D2AA">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0159E99C">
            <w:pPr>
              <w:spacing w:line="360" w:lineRule="auto"/>
              <w:rPr>
                <w:rFonts w:ascii="宋体" w:hAnsi="宋体"/>
                <w:color w:val="000000" w:themeColor="text1"/>
                <w:szCs w:val="21"/>
                <w:highlight w:val="none"/>
                <w14:textFill>
                  <w14:solidFill>
                    <w14:schemeClr w14:val="tx1"/>
                  </w14:solidFill>
                </w14:textFill>
              </w:rPr>
            </w:pPr>
          </w:p>
        </w:tc>
        <w:tc>
          <w:tcPr>
            <w:tcW w:w="1243" w:type="dxa"/>
          </w:tcPr>
          <w:p w14:paraId="488AAD1A">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6B4B0ED2">
            <w:pPr>
              <w:spacing w:line="360" w:lineRule="auto"/>
              <w:rPr>
                <w:rFonts w:ascii="宋体" w:hAnsi="宋体"/>
                <w:color w:val="000000" w:themeColor="text1"/>
                <w:szCs w:val="21"/>
                <w:highlight w:val="none"/>
                <w14:textFill>
                  <w14:solidFill>
                    <w14:schemeClr w14:val="tx1"/>
                  </w14:solidFill>
                </w14:textFill>
              </w:rPr>
            </w:pPr>
          </w:p>
        </w:tc>
        <w:tc>
          <w:tcPr>
            <w:tcW w:w="1667" w:type="dxa"/>
          </w:tcPr>
          <w:p w14:paraId="19D5B26A">
            <w:pPr>
              <w:spacing w:line="360" w:lineRule="auto"/>
              <w:rPr>
                <w:rFonts w:ascii="宋体" w:hAnsi="宋体"/>
                <w:color w:val="000000" w:themeColor="text1"/>
                <w:szCs w:val="21"/>
                <w:highlight w:val="none"/>
                <w14:textFill>
                  <w14:solidFill>
                    <w14:schemeClr w14:val="tx1"/>
                  </w14:solidFill>
                </w14:textFill>
              </w:rPr>
            </w:pPr>
          </w:p>
        </w:tc>
      </w:tr>
      <w:tr w14:paraId="221BDA9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18C749BE">
            <w:pPr>
              <w:spacing w:line="360" w:lineRule="auto"/>
              <w:rPr>
                <w:rFonts w:ascii="宋体" w:hAnsi="宋体"/>
                <w:color w:val="000000" w:themeColor="text1"/>
                <w:szCs w:val="21"/>
                <w:highlight w:val="none"/>
                <w14:textFill>
                  <w14:solidFill>
                    <w14:schemeClr w14:val="tx1"/>
                  </w14:solidFill>
                </w14:textFill>
              </w:rPr>
            </w:pPr>
          </w:p>
        </w:tc>
        <w:tc>
          <w:tcPr>
            <w:tcW w:w="1276" w:type="dxa"/>
          </w:tcPr>
          <w:p w14:paraId="517BDF0D">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0BE726BE">
            <w:pPr>
              <w:spacing w:line="360" w:lineRule="auto"/>
              <w:rPr>
                <w:rFonts w:ascii="宋体" w:hAnsi="宋体"/>
                <w:color w:val="000000" w:themeColor="text1"/>
                <w:szCs w:val="21"/>
                <w:highlight w:val="none"/>
                <w14:textFill>
                  <w14:solidFill>
                    <w14:schemeClr w14:val="tx1"/>
                  </w14:solidFill>
                </w14:textFill>
              </w:rPr>
            </w:pPr>
          </w:p>
        </w:tc>
        <w:tc>
          <w:tcPr>
            <w:tcW w:w="1243" w:type="dxa"/>
          </w:tcPr>
          <w:p w14:paraId="622BC960">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1C0AC34C">
            <w:pPr>
              <w:spacing w:line="360" w:lineRule="auto"/>
              <w:rPr>
                <w:rFonts w:ascii="宋体" w:hAnsi="宋体"/>
                <w:color w:val="000000" w:themeColor="text1"/>
                <w:szCs w:val="21"/>
                <w:highlight w:val="none"/>
                <w14:textFill>
                  <w14:solidFill>
                    <w14:schemeClr w14:val="tx1"/>
                  </w14:solidFill>
                </w14:textFill>
              </w:rPr>
            </w:pPr>
          </w:p>
        </w:tc>
        <w:tc>
          <w:tcPr>
            <w:tcW w:w="1667" w:type="dxa"/>
          </w:tcPr>
          <w:p w14:paraId="69D2FB28">
            <w:pPr>
              <w:spacing w:line="360" w:lineRule="auto"/>
              <w:rPr>
                <w:rFonts w:ascii="宋体" w:hAnsi="宋体"/>
                <w:color w:val="000000" w:themeColor="text1"/>
                <w:szCs w:val="21"/>
                <w:highlight w:val="none"/>
                <w14:textFill>
                  <w14:solidFill>
                    <w14:schemeClr w14:val="tx1"/>
                  </w14:solidFill>
                </w14:textFill>
              </w:rPr>
            </w:pPr>
          </w:p>
        </w:tc>
      </w:tr>
      <w:tr w14:paraId="2A7B340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953" w:type="dxa"/>
          </w:tcPr>
          <w:p w14:paraId="4BA3A994">
            <w:pPr>
              <w:spacing w:line="360" w:lineRule="auto"/>
              <w:rPr>
                <w:rFonts w:ascii="宋体" w:hAnsi="宋体"/>
                <w:color w:val="000000" w:themeColor="text1"/>
                <w:szCs w:val="21"/>
                <w:highlight w:val="none"/>
                <w14:textFill>
                  <w14:solidFill>
                    <w14:schemeClr w14:val="tx1"/>
                  </w14:solidFill>
                </w14:textFill>
              </w:rPr>
            </w:pPr>
          </w:p>
        </w:tc>
        <w:tc>
          <w:tcPr>
            <w:tcW w:w="1276" w:type="dxa"/>
          </w:tcPr>
          <w:p w14:paraId="4BD6A2B3">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298BBB02">
            <w:pPr>
              <w:spacing w:line="360" w:lineRule="auto"/>
              <w:rPr>
                <w:rFonts w:ascii="宋体" w:hAnsi="宋体"/>
                <w:color w:val="000000" w:themeColor="text1"/>
                <w:szCs w:val="21"/>
                <w:highlight w:val="none"/>
                <w14:textFill>
                  <w14:solidFill>
                    <w14:schemeClr w14:val="tx1"/>
                  </w14:solidFill>
                </w14:textFill>
              </w:rPr>
            </w:pPr>
          </w:p>
        </w:tc>
        <w:tc>
          <w:tcPr>
            <w:tcW w:w="1243" w:type="dxa"/>
          </w:tcPr>
          <w:p w14:paraId="01FE9333">
            <w:pPr>
              <w:spacing w:line="360" w:lineRule="auto"/>
              <w:rPr>
                <w:rFonts w:ascii="宋体" w:hAnsi="宋体"/>
                <w:color w:val="000000" w:themeColor="text1"/>
                <w:szCs w:val="21"/>
                <w:highlight w:val="none"/>
                <w14:textFill>
                  <w14:solidFill>
                    <w14:schemeClr w14:val="tx1"/>
                  </w14:solidFill>
                </w14:textFill>
              </w:rPr>
            </w:pPr>
          </w:p>
        </w:tc>
        <w:tc>
          <w:tcPr>
            <w:tcW w:w="1450" w:type="dxa"/>
          </w:tcPr>
          <w:p w14:paraId="72E938D9">
            <w:pPr>
              <w:spacing w:line="360" w:lineRule="auto"/>
              <w:rPr>
                <w:rFonts w:ascii="宋体" w:hAnsi="宋体"/>
                <w:color w:val="000000" w:themeColor="text1"/>
                <w:szCs w:val="21"/>
                <w:highlight w:val="none"/>
                <w14:textFill>
                  <w14:solidFill>
                    <w14:schemeClr w14:val="tx1"/>
                  </w14:solidFill>
                </w14:textFill>
              </w:rPr>
            </w:pPr>
          </w:p>
        </w:tc>
        <w:tc>
          <w:tcPr>
            <w:tcW w:w="1667" w:type="dxa"/>
          </w:tcPr>
          <w:p w14:paraId="6F1F583C">
            <w:pPr>
              <w:spacing w:line="360" w:lineRule="auto"/>
              <w:rPr>
                <w:rFonts w:ascii="宋体" w:hAnsi="宋体"/>
                <w:color w:val="000000" w:themeColor="text1"/>
                <w:szCs w:val="21"/>
                <w:highlight w:val="none"/>
                <w14:textFill>
                  <w14:solidFill>
                    <w14:schemeClr w14:val="tx1"/>
                  </w14:solidFill>
                </w14:textFill>
              </w:rPr>
            </w:pPr>
          </w:p>
        </w:tc>
      </w:tr>
    </w:tbl>
    <w:p w14:paraId="71B421C6">
      <w:pPr>
        <w:spacing w:line="360" w:lineRule="auto"/>
        <w:rPr>
          <w:rFonts w:ascii="华文中宋" w:hAnsi="华文中宋" w:eastAsia="华文中宋"/>
          <w:color w:val="000000" w:themeColor="text1"/>
          <w:sz w:val="24"/>
          <w:szCs w:val="24"/>
          <w:highlight w:val="none"/>
          <w14:textFill>
            <w14:solidFill>
              <w14:schemeClr w14:val="tx1"/>
            </w14:solidFill>
          </w14:textFill>
        </w:rPr>
      </w:pPr>
    </w:p>
    <w:p w14:paraId="506E8752">
      <w:pPr>
        <w:spacing w:line="360" w:lineRule="auto"/>
        <w:rPr>
          <w:rFonts w:ascii="宋体" w:hAnsi="宋体"/>
          <w:color w:val="000000" w:themeColor="text1"/>
          <w:szCs w:val="21"/>
          <w:highlight w:val="none"/>
          <w14:textFill>
            <w14:solidFill>
              <w14:schemeClr w14:val="tx1"/>
            </w14:solidFill>
          </w14:textFill>
        </w:rPr>
      </w:pPr>
      <w:r>
        <w:rPr>
          <w:rFonts w:ascii="华文中宋" w:hAnsi="华文中宋" w:eastAsia="华文中宋"/>
          <w:color w:val="000000" w:themeColor="text1"/>
          <w:sz w:val="24"/>
          <w:szCs w:val="24"/>
          <w:highlight w:val="none"/>
          <w14:textFill>
            <w14:solidFill>
              <w14:schemeClr w14:val="tx1"/>
            </w14:solidFill>
          </w14:textFill>
        </w:rPr>
        <w:br w:type="page"/>
      </w:r>
      <w:r>
        <w:rPr>
          <w:rFonts w:ascii="宋体" w:hAnsi="宋体"/>
          <w:color w:val="000000" w:themeColor="text1"/>
          <w:szCs w:val="21"/>
          <w:highlight w:val="none"/>
          <w14:textFill>
            <w14:solidFill>
              <w14:schemeClr w14:val="tx1"/>
            </w14:solidFill>
          </w14:textFill>
        </w:rPr>
        <w:t>附</w:t>
      </w:r>
      <w:bookmarkStart w:id="625" w:name="_Toc296346728"/>
      <w:bookmarkStart w:id="626" w:name="_Toc296503227"/>
      <w:bookmarkStart w:id="627" w:name="_Toc296891055"/>
      <w:bookmarkStart w:id="628" w:name="_Toc296347226"/>
      <w:bookmarkStart w:id="629" w:name="_Toc267261698"/>
      <w:bookmarkStart w:id="630" w:name="_Toc296944566"/>
      <w:bookmarkStart w:id="631" w:name="_Toc296891267"/>
      <w:r>
        <w:rPr>
          <w:rFonts w:ascii="宋体" w:hAnsi="宋体"/>
          <w:color w:val="000000" w:themeColor="text1"/>
          <w:szCs w:val="21"/>
          <w:highlight w:val="none"/>
          <w14:textFill>
            <w14:solidFill>
              <w14:schemeClr w14:val="tx1"/>
            </w14:solidFill>
          </w14:textFill>
        </w:rPr>
        <w:t>件</w:t>
      </w:r>
      <w:r>
        <w:rPr>
          <w:rFonts w:hint="eastAsia" w:ascii="宋体" w:hAnsi="宋体"/>
          <w:color w:val="000000" w:themeColor="text1"/>
          <w:szCs w:val="21"/>
          <w:highlight w:val="none"/>
          <w:lang w:val="en-US" w:eastAsia="zh-CN"/>
          <w14:textFill>
            <w14:solidFill>
              <w14:schemeClr w14:val="tx1"/>
            </w14:solidFill>
          </w14:textFill>
        </w:rPr>
        <w:t>4</w:t>
      </w:r>
      <w:r>
        <w:rPr>
          <w:rFonts w:ascii="宋体" w:hAnsi="宋体"/>
          <w:color w:val="000000" w:themeColor="text1"/>
          <w:szCs w:val="21"/>
          <w:highlight w:val="none"/>
          <w14:textFill>
            <w14:solidFill>
              <w14:schemeClr w14:val="tx1"/>
            </w14:solidFill>
          </w14:textFill>
        </w:rPr>
        <w:t>：</w:t>
      </w:r>
    </w:p>
    <w:bookmarkEnd w:id="625"/>
    <w:bookmarkEnd w:id="626"/>
    <w:bookmarkEnd w:id="627"/>
    <w:bookmarkEnd w:id="628"/>
    <w:bookmarkEnd w:id="629"/>
    <w:bookmarkEnd w:id="630"/>
    <w:bookmarkEnd w:id="631"/>
    <w:p w14:paraId="118096FC">
      <w:pPr>
        <w:spacing w:before="156" w:beforeLines="50" w:after="156" w:afterLines="50" w:line="360" w:lineRule="auto"/>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承包人用于本工程施工的机械设备表</w:t>
      </w:r>
    </w:p>
    <w:tbl>
      <w:tblPr>
        <w:tblStyle w:val="25"/>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162"/>
        <w:gridCol w:w="1418"/>
        <w:gridCol w:w="850"/>
        <w:gridCol w:w="1058"/>
        <w:gridCol w:w="880"/>
        <w:gridCol w:w="1020"/>
        <w:gridCol w:w="1480"/>
        <w:gridCol w:w="1020"/>
        <w:gridCol w:w="921"/>
      </w:tblGrid>
      <w:tr w14:paraId="3AAFE1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1162" w:type="dxa"/>
            <w:tcBorders>
              <w:top w:val="single" w:color="auto" w:sz="12" w:space="0"/>
              <w:bottom w:val="double" w:color="auto" w:sz="6" w:space="0"/>
            </w:tcBorders>
            <w:vAlign w:val="center"/>
          </w:tcPr>
          <w:p w14:paraId="78D1EBE1">
            <w:pPr>
              <w:pStyle w:val="9"/>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序号</w:t>
            </w:r>
          </w:p>
        </w:tc>
        <w:tc>
          <w:tcPr>
            <w:tcW w:w="1418" w:type="dxa"/>
            <w:tcBorders>
              <w:top w:val="single" w:color="auto" w:sz="12" w:space="0"/>
              <w:bottom w:val="double" w:color="auto" w:sz="6" w:space="0"/>
            </w:tcBorders>
            <w:vAlign w:val="center"/>
          </w:tcPr>
          <w:p w14:paraId="307FDC9C">
            <w:pPr>
              <w:pStyle w:val="9"/>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机械或设备名称</w:t>
            </w:r>
          </w:p>
        </w:tc>
        <w:tc>
          <w:tcPr>
            <w:tcW w:w="850" w:type="dxa"/>
            <w:tcBorders>
              <w:top w:val="single" w:color="auto" w:sz="12" w:space="0"/>
              <w:bottom w:val="double" w:color="auto" w:sz="6" w:space="0"/>
            </w:tcBorders>
            <w:vAlign w:val="center"/>
          </w:tcPr>
          <w:p w14:paraId="7714BDAE">
            <w:pPr>
              <w:pStyle w:val="9"/>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规格型号</w:t>
            </w:r>
          </w:p>
        </w:tc>
        <w:tc>
          <w:tcPr>
            <w:tcW w:w="1058" w:type="dxa"/>
            <w:tcBorders>
              <w:top w:val="single" w:color="auto" w:sz="12" w:space="0"/>
              <w:bottom w:val="double" w:color="auto" w:sz="6" w:space="0"/>
            </w:tcBorders>
            <w:vAlign w:val="center"/>
          </w:tcPr>
          <w:p w14:paraId="7C015781">
            <w:pPr>
              <w:pStyle w:val="9"/>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数量</w:t>
            </w:r>
          </w:p>
        </w:tc>
        <w:tc>
          <w:tcPr>
            <w:tcW w:w="880" w:type="dxa"/>
            <w:tcBorders>
              <w:top w:val="single" w:color="auto" w:sz="12" w:space="0"/>
              <w:bottom w:val="double" w:color="auto" w:sz="6" w:space="0"/>
            </w:tcBorders>
            <w:vAlign w:val="center"/>
          </w:tcPr>
          <w:p w14:paraId="0FE667BB">
            <w:pPr>
              <w:pStyle w:val="9"/>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产地</w:t>
            </w:r>
          </w:p>
        </w:tc>
        <w:tc>
          <w:tcPr>
            <w:tcW w:w="1020" w:type="dxa"/>
            <w:tcBorders>
              <w:top w:val="single" w:color="auto" w:sz="12" w:space="0"/>
              <w:bottom w:val="double" w:color="auto" w:sz="6" w:space="0"/>
            </w:tcBorders>
            <w:vAlign w:val="center"/>
          </w:tcPr>
          <w:p w14:paraId="309546CF">
            <w:pPr>
              <w:pStyle w:val="9"/>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制造年份</w:t>
            </w:r>
          </w:p>
        </w:tc>
        <w:tc>
          <w:tcPr>
            <w:tcW w:w="1480" w:type="dxa"/>
            <w:tcBorders>
              <w:top w:val="single" w:color="auto" w:sz="12" w:space="0"/>
              <w:bottom w:val="double" w:color="auto" w:sz="6" w:space="0"/>
            </w:tcBorders>
            <w:vAlign w:val="center"/>
          </w:tcPr>
          <w:p w14:paraId="007CD1E9">
            <w:pPr>
              <w:pStyle w:val="9"/>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额定功率(kW)</w:t>
            </w:r>
          </w:p>
        </w:tc>
        <w:tc>
          <w:tcPr>
            <w:tcW w:w="1020" w:type="dxa"/>
            <w:tcBorders>
              <w:top w:val="single" w:color="auto" w:sz="12" w:space="0"/>
              <w:bottom w:val="double" w:color="auto" w:sz="6" w:space="0"/>
            </w:tcBorders>
            <w:vAlign w:val="center"/>
          </w:tcPr>
          <w:p w14:paraId="3B08092F">
            <w:pPr>
              <w:pStyle w:val="9"/>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生产能力</w:t>
            </w:r>
          </w:p>
        </w:tc>
        <w:tc>
          <w:tcPr>
            <w:tcW w:w="921" w:type="dxa"/>
            <w:tcBorders>
              <w:top w:val="single" w:color="auto" w:sz="12" w:space="0"/>
              <w:bottom w:val="double" w:color="auto" w:sz="6" w:space="0"/>
            </w:tcBorders>
            <w:vAlign w:val="center"/>
          </w:tcPr>
          <w:p w14:paraId="1E78456A">
            <w:pPr>
              <w:pStyle w:val="9"/>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备注</w:t>
            </w:r>
          </w:p>
        </w:tc>
      </w:tr>
      <w:tr w14:paraId="6899E2A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double" w:color="auto" w:sz="6" w:space="0"/>
              <w:bottom w:val="single" w:color="auto" w:sz="6" w:space="0"/>
            </w:tcBorders>
            <w:vAlign w:val="center"/>
          </w:tcPr>
          <w:p w14:paraId="356BA6D6">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18" w:type="dxa"/>
            <w:tcBorders>
              <w:top w:val="double" w:color="auto" w:sz="6" w:space="0"/>
              <w:bottom w:val="single" w:color="auto" w:sz="6" w:space="0"/>
            </w:tcBorders>
            <w:vAlign w:val="center"/>
          </w:tcPr>
          <w:p w14:paraId="6B266499">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50" w:type="dxa"/>
            <w:tcBorders>
              <w:top w:val="double" w:color="auto" w:sz="6" w:space="0"/>
              <w:bottom w:val="single" w:color="auto" w:sz="6" w:space="0"/>
            </w:tcBorders>
            <w:vAlign w:val="center"/>
          </w:tcPr>
          <w:p w14:paraId="68F772BD">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58" w:type="dxa"/>
            <w:tcBorders>
              <w:top w:val="double" w:color="auto" w:sz="6" w:space="0"/>
              <w:bottom w:val="single" w:color="auto" w:sz="6" w:space="0"/>
            </w:tcBorders>
            <w:vAlign w:val="center"/>
          </w:tcPr>
          <w:p w14:paraId="213DC849">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80" w:type="dxa"/>
            <w:tcBorders>
              <w:top w:val="double" w:color="auto" w:sz="6" w:space="0"/>
              <w:bottom w:val="single" w:color="auto" w:sz="6" w:space="0"/>
            </w:tcBorders>
            <w:vAlign w:val="center"/>
          </w:tcPr>
          <w:p w14:paraId="49FEA2F6">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tcBorders>
              <w:top w:val="double" w:color="auto" w:sz="6" w:space="0"/>
              <w:bottom w:val="single" w:color="auto" w:sz="6" w:space="0"/>
            </w:tcBorders>
            <w:vAlign w:val="center"/>
          </w:tcPr>
          <w:p w14:paraId="5ACB1683">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80" w:type="dxa"/>
            <w:tcBorders>
              <w:top w:val="double" w:color="auto" w:sz="6" w:space="0"/>
              <w:bottom w:val="single" w:color="auto" w:sz="6" w:space="0"/>
            </w:tcBorders>
            <w:vAlign w:val="center"/>
          </w:tcPr>
          <w:p w14:paraId="651D6468">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tcBorders>
              <w:top w:val="double" w:color="auto" w:sz="6" w:space="0"/>
              <w:bottom w:val="single" w:color="auto" w:sz="6" w:space="0"/>
            </w:tcBorders>
            <w:vAlign w:val="center"/>
          </w:tcPr>
          <w:p w14:paraId="2204892D">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921" w:type="dxa"/>
            <w:tcBorders>
              <w:top w:val="double" w:color="auto" w:sz="6" w:space="0"/>
              <w:bottom w:val="single" w:color="auto" w:sz="6" w:space="0"/>
            </w:tcBorders>
            <w:vAlign w:val="center"/>
          </w:tcPr>
          <w:p w14:paraId="6534D17C">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r>
      <w:tr w14:paraId="38D1D48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Borders>
              <w:top w:val="nil"/>
            </w:tcBorders>
            <w:vAlign w:val="center"/>
          </w:tcPr>
          <w:p w14:paraId="3B23F7F7">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18" w:type="dxa"/>
            <w:tcBorders>
              <w:top w:val="nil"/>
            </w:tcBorders>
            <w:vAlign w:val="center"/>
          </w:tcPr>
          <w:p w14:paraId="2C950373">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50" w:type="dxa"/>
            <w:tcBorders>
              <w:top w:val="nil"/>
            </w:tcBorders>
            <w:vAlign w:val="center"/>
          </w:tcPr>
          <w:p w14:paraId="1BEC65D0">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58" w:type="dxa"/>
            <w:tcBorders>
              <w:top w:val="nil"/>
            </w:tcBorders>
            <w:vAlign w:val="center"/>
          </w:tcPr>
          <w:p w14:paraId="7BE68047">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80" w:type="dxa"/>
            <w:tcBorders>
              <w:top w:val="nil"/>
            </w:tcBorders>
            <w:vAlign w:val="center"/>
          </w:tcPr>
          <w:p w14:paraId="24136B43">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tcBorders>
              <w:top w:val="nil"/>
            </w:tcBorders>
            <w:vAlign w:val="center"/>
          </w:tcPr>
          <w:p w14:paraId="1125631C">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80" w:type="dxa"/>
            <w:tcBorders>
              <w:top w:val="nil"/>
            </w:tcBorders>
            <w:vAlign w:val="center"/>
          </w:tcPr>
          <w:p w14:paraId="4CF42FE3">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tcBorders>
              <w:top w:val="nil"/>
            </w:tcBorders>
            <w:vAlign w:val="center"/>
          </w:tcPr>
          <w:p w14:paraId="744EF4C9">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921" w:type="dxa"/>
            <w:tcBorders>
              <w:top w:val="nil"/>
            </w:tcBorders>
            <w:vAlign w:val="center"/>
          </w:tcPr>
          <w:p w14:paraId="684362E8">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r>
      <w:tr w14:paraId="4B8E45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28B224F8">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18" w:type="dxa"/>
            <w:vAlign w:val="center"/>
          </w:tcPr>
          <w:p w14:paraId="074729BE">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50" w:type="dxa"/>
            <w:vAlign w:val="center"/>
          </w:tcPr>
          <w:p w14:paraId="57A9EB1F">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58" w:type="dxa"/>
            <w:vAlign w:val="center"/>
          </w:tcPr>
          <w:p w14:paraId="75793332">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80" w:type="dxa"/>
            <w:vAlign w:val="center"/>
          </w:tcPr>
          <w:p w14:paraId="228B5FF2">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vAlign w:val="center"/>
          </w:tcPr>
          <w:p w14:paraId="1E07078B">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80" w:type="dxa"/>
            <w:vAlign w:val="center"/>
          </w:tcPr>
          <w:p w14:paraId="5537AE8C">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vAlign w:val="center"/>
          </w:tcPr>
          <w:p w14:paraId="0C6A674B">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921" w:type="dxa"/>
            <w:vAlign w:val="center"/>
          </w:tcPr>
          <w:p w14:paraId="55151120">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r>
      <w:tr w14:paraId="04DD667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162244DA">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18" w:type="dxa"/>
            <w:vAlign w:val="center"/>
          </w:tcPr>
          <w:p w14:paraId="32955D2E">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50" w:type="dxa"/>
            <w:vAlign w:val="center"/>
          </w:tcPr>
          <w:p w14:paraId="32C6893F">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58" w:type="dxa"/>
            <w:vAlign w:val="center"/>
          </w:tcPr>
          <w:p w14:paraId="6502B408">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80" w:type="dxa"/>
            <w:vAlign w:val="center"/>
          </w:tcPr>
          <w:p w14:paraId="40FB19B2">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vAlign w:val="center"/>
          </w:tcPr>
          <w:p w14:paraId="2D690A86">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80" w:type="dxa"/>
            <w:vAlign w:val="center"/>
          </w:tcPr>
          <w:p w14:paraId="36A93563">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vAlign w:val="center"/>
          </w:tcPr>
          <w:p w14:paraId="3FB8230E">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921" w:type="dxa"/>
            <w:vAlign w:val="center"/>
          </w:tcPr>
          <w:p w14:paraId="20EF64C6">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r>
      <w:tr w14:paraId="549A6C1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44C620CC">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18" w:type="dxa"/>
            <w:vAlign w:val="center"/>
          </w:tcPr>
          <w:p w14:paraId="619311BC">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50" w:type="dxa"/>
            <w:vAlign w:val="center"/>
          </w:tcPr>
          <w:p w14:paraId="441A533D">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58" w:type="dxa"/>
            <w:vAlign w:val="center"/>
          </w:tcPr>
          <w:p w14:paraId="1EC4D99B">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80" w:type="dxa"/>
            <w:vAlign w:val="center"/>
          </w:tcPr>
          <w:p w14:paraId="31A710CD">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vAlign w:val="center"/>
          </w:tcPr>
          <w:p w14:paraId="105EE745">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80" w:type="dxa"/>
            <w:vAlign w:val="center"/>
          </w:tcPr>
          <w:p w14:paraId="1A033B81">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vAlign w:val="center"/>
          </w:tcPr>
          <w:p w14:paraId="5C0393D6">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921" w:type="dxa"/>
            <w:vAlign w:val="center"/>
          </w:tcPr>
          <w:p w14:paraId="1B735E7D">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r>
      <w:tr w14:paraId="213E954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2A2D9EE3">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18" w:type="dxa"/>
            <w:vAlign w:val="center"/>
          </w:tcPr>
          <w:p w14:paraId="765BA7BB">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50" w:type="dxa"/>
            <w:vAlign w:val="center"/>
          </w:tcPr>
          <w:p w14:paraId="06E0D0BD">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58" w:type="dxa"/>
            <w:vAlign w:val="center"/>
          </w:tcPr>
          <w:p w14:paraId="73C735D8">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80" w:type="dxa"/>
            <w:vAlign w:val="center"/>
          </w:tcPr>
          <w:p w14:paraId="1DA14E03">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vAlign w:val="center"/>
          </w:tcPr>
          <w:p w14:paraId="410A0715">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80" w:type="dxa"/>
            <w:vAlign w:val="center"/>
          </w:tcPr>
          <w:p w14:paraId="484F07E7">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vAlign w:val="center"/>
          </w:tcPr>
          <w:p w14:paraId="2F41FA5C">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921" w:type="dxa"/>
            <w:vAlign w:val="center"/>
          </w:tcPr>
          <w:p w14:paraId="38D0E070">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r>
      <w:tr w14:paraId="23E048B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53C7EDFC">
            <w:pPr>
              <w:spacing w:line="360" w:lineRule="auto"/>
              <w:rPr>
                <w:rFonts w:ascii="宋体" w:hAnsi="宋体"/>
                <w:color w:val="000000" w:themeColor="text1"/>
                <w:szCs w:val="21"/>
                <w:highlight w:val="none"/>
                <w14:textFill>
                  <w14:solidFill>
                    <w14:schemeClr w14:val="tx1"/>
                  </w14:solidFill>
                </w14:textFill>
              </w:rPr>
            </w:pPr>
          </w:p>
        </w:tc>
        <w:tc>
          <w:tcPr>
            <w:tcW w:w="1418" w:type="dxa"/>
          </w:tcPr>
          <w:p w14:paraId="0734C62A">
            <w:pPr>
              <w:spacing w:line="360" w:lineRule="auto"/>
              <w:rPr>
                <w:rFonts w:ascii="宋体" w:hAnsi="宋体"/>
                <w:color w:val="000000" w:themeColor="text1"/>
                <w:szCs w:val="21"/>
                <w:highlight w:val="none"/>
                <w14:textFill>
                  <w14:solidFill>
                    <w14:schemeClr w14:val="tx1"/>
                  </w14:solidFill>
                </w14:textFill>
              </w:rPr>
            </w:pPr>
          </w:p>
        </w:tc>
        <w:tc>
          <w:tcPr>
            <w:tcW w:w="850" w:type="dxa"/>
          </w:tcPr>
          <w:p w14:paraId="3F8880E8">
            <w:pPr>
              <w:spacing w:line="360" w:lineRule="auto"/>
              <w:rPr>
                <w:rFonts w:ascii="宋体" w:hAnsi="宋体"/>
                <w:color w:val="000000" w:themeColor="text1"/>
                <w:szCs w:val="21"/>
                <w:highlight w:val="none"/>
                <w14:textFill>
                  <w14:solidFill>
                    <w14:schemeClr w14:val="tx1"/>
                  </w14:solidFill>
                </w14:textFill>
              </w:rPr>
            </w:pPr>
          </w:p>
        </w:tc>
        <w:tc>
          <w:tcPr>
            <w:tcW w:w="1058" w:type="dxa"/>
          </w:tcPr>
          <w:p w14:paraId="4CF5FC56">
            <w:pPr>
              <w:spacing w:line="360" w:lineRule="auto"/>
              <w:rPr>
                <w:rFonts w:ascii="宋体" w:hAnsi="宋体"/>
                <w:color w:val="000000" w:themeColor="text1"/>
                <w:szCs w:val="21"/>
                <w:highlight w:val="none"/>
                <w14:textFill>
                  <w14:solidFill>
                    <w14:schemeClr w14:val="tx1"/>
                  </w14:solidFill>
                </w14:textFill>
              </w:rPr>
            </w:pPr>
          </w:p>
        </w:tc>
        <w:tc>
          <w:tcPr>
            <w:tcW w:w="880" w:type="dxa"/>
          </w:tcPr>
          <w:p w14:paraId="5B998DCA">
            <w:pPr>
              <w:spacing w:line="360" w:lineRule="auto"/>
              <w:rPr>
                <w:rFonts w:ascii="宋体" w:hAnsi="宋体"/>
                <w:color w:val="000000" w:themeColor="text1"/>
                <w:szCs w:val="21"/>
                <w:highlight w:val="none"/>
                <w14:textFill>
                  <w14:solidFill>
                    <w14:schemeClr w14:val="tx1"/>
                  </w14:solidFill>
                </w14:textFill>
              </w:rPr>
            </w:pPr>
          </w:p>
        </w:tc>
        <w:tc>
          <w:tcPr>
            <w:tcW w:w="1020" w:type="dxa"/>
          </w:tcPr>
          <w:p w14:paraId="39DE2EE2">
            <w:pPr>
              <w:spacing w:line="360" w:lineRule="auto"/>
              <w:rPr>
                <w:rFonts w:ascii="宋体" w:hAnsi="宋体"/>
                <w:color w:val="000000" w:themeColor="text1"/>
                <w:szCs w:val="21"/>
                <w:highlight w:val="none"/>
                <w14:textFill>
                  <w14:solidFill>
                    <w14:schemeClr w14:val="tx1"/>
                  </w14:solidFill>
                </w14:textFill>
              </w:rPr>
            </w:pPr>
          </w:p>
        </w:tc>
        <w:tc>
          <w:tcPr>
            <w:tcW w:w="1480" w:type="dxa"/>
          </w:tcPr>
          <w:p w14:paraId="467D439C">
            <w:pPr>
              <w:spacing w:line="360" w:lineRule="auto"/>
              <w:rPr>
                <w:rFonts w:ascii="宋体" w:hAnsi="宋体"/>
                <w:color w:val="000000" w:themeColor="text1"/>
                <w:szCs w:val="21"/>
                <w:highlight w:val="none"/>
                <w14:textFill>
                  <w14:solidFill>
                    <w14:schemeClr w14:val="tx1"/>
                  </w14:solidFill>
                </w14:textFill>
              </w:rPr>
            </w:pPr>
          </w:p>
        </w:tc>
        <w:tc>
          <w:tcPr>
            <w:tcW w:w="1020" w:type="dxa"/>
          </w:tcPr>
          <w:p w14:paraId="7ED792D6">
            <w:pPr>
              <w:spacing w:line="360" w:lineRule="auto"/>
              <w:rPr>
                <w:rFonts w:ascii="宋体" w:hAnsi="宋体"/>
                <w:color w:val="000000" w:themeColor="text1"/>
                <w:szCs w:val="21"/>
                <w:highlight w:val="none"/>
                <w14:textFill>
                  <w14:solidFill>
                    <w14:schemeClr w14:val="tx1"/>
                  </w14:solidFill>
                </w14:textFill>
              </w:rPr>
            </w:pPr>
          </w:p>
        </w:tc>
        <w:tc>
          <w:tcPr>
            <w:tcW w:w="921" w:type="dxa"/>
          </w:tcPr>
          <w:p w14:paraId="52DD3FB0">
            <w:pPr>
              <w:spacing w:line="360" w:lineRule="auto"/>
              <w:rPr>
                <w:rFonts w:ascii="宋体" w:hAnsi="宋体"/>
                <w:color w:val="000000" w:themeColor="text1"/>
                <w:szCs w:val="21"/>
                <w:highlight w:val="none"/>
                <w14:textFill>
                  <w14:solidFill>
                    <w14:schemeClr w14:val="tx1"/>
                  </w14:solidFill>
                </w14:textFill>
              </w:rPr>
            </w:pPr>
          </w:p>
        </w:tc>
      </w:tr>
      <w:tr w14:paraId="6A04EA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vAlign w:val="center"/>
          </w:tcPr>
          <w:p w14:paraId="3036C54C">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18" w:type="dxa"/>
            <w:vAlign w:val="center"/>
          </w:tcPr>
          <w:p w14:paraId="2672A4F3">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50" w:type="dxa"/>
            <w:vAlign w:val="center"/>
          </w:tcPr>
          <w:p w14:paraId="42D33DB4">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58" w:type="dxa"/>
            <w:vAlign w:val="center"/>
          </w:tcPr>
          <w:p w14:paraId="268F9CF7">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880" w:type="dxa"/>
            <w:vAlign w:val="center"/>
          </w:tcPr>
          <w:p w14:paraId="11EB1E5D">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vAlign w:val="center"/>
          </w:tcPr>
          <w:p w14:paraId="0D4ACE39">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480" w:type="dxa"/>
            <w:vAlign w:val="center"/>
          </w:tcPr>
          <w:p w14:paraId="4383E236">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020" w:type="dxa"/>
            <w:vAlign w:val="center"/>
          </w:tcPr>
          <w:p w14:paraId="6A567FDB">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921" w:type="dxa"/>
            <w:vAlign w:val="center"/>
          </w:tcPr>
          <w:p w14:paraId="31D07362">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r>
      <w:tr w14:paraId="7D3829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3329D075">
            <w:pPr>
              <w:spacing w:line="360" w:lineRule="auto"/>
              <w:rPr>
                <w:rFonts w:ascii="宋体" w:hAnsi="宋体"/>
                <w:color w:val="000000" w:themeColor="text1"/>
                <w:szCs w:val="21"/>
                <w:highlight w:val="none"/>
                <w14:textFill>
                  <w14:solidFill>
                    <w14:schemeClr w14:val="tx1"/>
                  </w14:solidFill>
                </w14:textFill>
              </w:rPr>
            </w:pPr>
          </w:p>
        </w:tc>
        <w:tc>
          <w:tcPr>
            <w:tcW w:w="1418" w:type="dxa"/>
          </w:tcPr>
          <w:p w14:paraId="6A104B79">
            <w:pPr>
              <w:spacing w:line="360" w:lineRule="auto"/>
              <w:rPr>
                <w:rFonts w:ascii="宋体" w:hAnsi="宋体"/>
                <w:color w:val="000000" w:themeColor="text1"/>
                <w:szCs w:val="21"/>
                <w:highlight w:val="none"/>
                <w14:textFill>
                  <w14:solidFill>
                    <w14:schemeClr w14:val="tx1"/>
                  </w14:solidFill>
                </w14:textFill>
              </w:rPr>
            </w:pPr>
          </w:p>
        </w:tc>
        <w:tc>
          <w:tcPr>
            <w:tcW w:w="850" w:type="dxa"/>
          </w:tcPr>
          <w:p w14:paraId="26128C36">
            <w:pPr>
              <w:spacing w:line="360" w:lineRule="auto"/>
              <w:rPr>
                <w:rFonts w:ascii="宋体" w:hAnsi="宋体"/>
                <w:color w:val="000000" w:themeColor="text1"/>
                <w:szCs w:val="21"/>
                <w:highlight w:val="none"/>
                <w14:textFill>
                  <w14:solidFill>
                    <w14:schemeClr w14:val="tx1"/>
                  </w14:solidFill>
                </w14:textFill>
              </w:rPr>
            </w:pPr>
          </w:p>
        </w:tc>
        <w:tc>
          <w:tcPr>
            <w:tcW w:w="1058" w:type="dxa"/>
          </w:tcPr>
          <w:p w14:paraId="79E293F5">
            <w:pPr>
              <w:spacing w:line="360" w:lineRule="auto"/>
              <w:rPr>
                <w:rFonts w:ascii="宋体" w:hAnsi="宋体"/>
                <w:color w:val="000000" w:themeColor="text1"/>
                <w:szCs w:val="21"/>
                <w:highlight w:val="none"/>
                <w14:textFill>
                  <w14:solidFill>
                    <w14:schemeClr w14:val="tx1"/>
                  </w14:solidFill>
                </w14:textFill>
              </w:rPr>
            </w:pPr>
          </w:p>
        </w:tc>
        <w:tc>
          <w:tcPr>
            <w:tcW w:w="880" w:type="dxa"/>
          </w:tcPr>
          <w:p w14:paraId="3F074DCF">
            <w:pPr>
              <w:spacing w:line="360" w:lineRule="auto"/>
              <w:rPr>
                <w:rFonts w:ascii="宋体" w:hAnsi="宋体"/>
                <w:color w:val="000000" w:themeColor="text1"/>
                <w:szCs w:val="21"/>
                <w:highlight w:val="none"/>
                <w14:textFill>
                  <w14:solidFill>
                    <w14:schemeClr w14:val="tx1"/>
                  </w14:solidFill>
                </w14:textFill>
              </w:rPr>
            </w:pPr>
          </w:p>
        </w:tc>
        <w:tc>
          <w:tcPr>
            <w:tcW w:w="1020" w:type="dxa"/>
          </w:tcPr>
          <w:p w14:paraId="4FBEA4E9">
            <w:pPr>
              <w:spacing w:line="360" w:lineRule="auto"/>
              <w:rPr>
                <w:rFonts w:ascii="宋体" w:hAnsi="宋体"/>
                <w:color w:val="000000" w:themeColor="text1"/>
                <w:szCs w:val="21"/>
                <w:highlight w:val="none"/>
                <w14:textFill>
                  <w14:solidFill>
                    <w14:schemeClr w14:val="tx1"/>
                  </w14:solidFill>
                </w14:textFill>
              </w:rPr>
            </w:pPr>
          </w:p>
        </w:tc>
        <w:tc>
          <w:tcPr>
            <w:tcW w:w="1480" w:type="dxa"/>
          </w:tcPr>
          <w:p w14:paraId="5E3D8B1B">
            <w:pPr>
              <w:spacing w:line="360" w:lineRule="auto"/>
              <w:rPr>
                <w:rFonts w:ascii="宋体" w:hAnsi="宋体"/>
                <w:color w:val="000000" w:themeColor="text1"/>
                <w:szCs w:val="21"/>
                <w:highlight w:val="none"/>
                <w14:textFill>
                  <w14:solidFill>
                    <w14:schemeClr w14:val="tx1"/>
                  </w14:solidFill>
                </w14:textFill>
              </w:rPr>
            </w:pPr>
          </w:p>
        </w:tc>
        <w:tc>
          <w:tcPr>
            <w:tcW w:w="1020" w:type="dxa"/>
          </w:tcPr>
          <w:p w14:paraId="6A82DD8A">
            <w:pPr>
              <w:spacing w:line="360" w:lineRule="auto"/>
              <w:rPr>
                <w:rFonts w:ascii="宋体" w:hAnsi="宋体"/>
                <w:color w:val="000000" w:themeColor="text1"/>
                <w:szCs w:val="21"/>
                <w:highlight w:val="none"/>
                <w14:textFill>
                  <w14:solidFill>
                    <w14:schemeClr w14:val="tx1"/>
                  </w14:solidFill>
                </w14:textFill>
              </w:rPr>
            </w:pPr>
          </w:p>
        </w:tc>
        <w:tc>
          <w:tcPr>
            <w:tcW w:w="921" w:type="dxa"/>
          </w:tcPr>
          <w:p w14:paraId="7BF1552B">
            <w:pPr>
              <w:spacing w:line="360" w:lineRule="auto"/>
              <w:rPr>
                <w:rFonts w:ascii="宋体" w:hAnsi="宋体"/>
                <w:color w:val="000000" w:themeColor="text1"/>
                <w:szCs w:val="21"/>
                <w:highlight w:val="none"/>
                <w14:textFill>
                  <w14:solidFill>
                    <w14:schemeClr w14:val="tx1"/>
                  </w14:solidFill>
                </w14:textFill>
              </w:rPr>
            </w:pPr>
          </w:p>
        </w:tc>
      </w:tr>
      <w:tr w14:paraId="7E2BA32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199A39E6">
            <w:pPr>
              <w:spacing w:line="360" w:lineRule="auto"/>
              <w:rPr>
                <w:rFonts w:ascii="宋体" w:hAnsi="宋体"/>
                <w:color w:val="000000" w:themeColor="text1"/>
                <w:szCs w:val="21"/>
                <w:highlight w:val="none"/>
                <w14:textFill>
                  <w14:solidFill>
                    <w14:schemeClr w14:val="tx1"/>
                  </w14:solidFill>
                </w14:textFill>
              </w:rPr>
            </w:pPr>
          </w:p>
        </w:tc>
        <w:tc>
          <w:tcPr>
            <w:tcW w:w="1418" w:type="dxa"/>
          </w:tcPr>
          <w:p w14:paraId="4748B263">
            <w:pPr>
              <w:spacing w:line="360" w:lineRule="auto"/>
              <w:rPr>
                <w:rFonts w:ascii="宋体" w:hAnsi="宋体"/>
                <w:color w:val="000000" w:themeColor="text1"/>
                <w:szCs w:val="21"/>
                <w:highlight w:val="none"/>
                <w14:textFill>
                  <w14:solidFill>
                    <w14:schemeClr w14:val="tx1"/>
                  </w14:solidFill>
                </w14:textFill>
              </w:rPr>
            </w:pPr>
          </w:p>
        </w:tc>
        <w:tc>
          <w:tcPr>
            <w:tcW w:w="850" w:type="dxa"/>
          </w:tcPr>
          <w:p w14:paraId="3C094373">
            <w:pPr>
              <w:spacing w:line="360" w:lineRule="auto"/>
              <w:rPr>
                <w:rFonts w:ascii="宋体" w:hAnsi="宋体"/>
                <w:color w:val="000000" w:themeColor="text1"/>
                <w:szCs w:val="21"/>
                <w:highlight w:val="none"/>
                <w14:textFill>
                  <w14:solidFill>
                    <w14:schemeClr w14:val="tx1"/>
                  </w14:solidFill>
                </w14:textFill>
              </w:rPr>
            </w:pPr>
          </w:p>
        </w:tc>
        <w:tc>
          <w:tcPr>
            <w:tcW w:w="1058" w:type="dxa"/>
          </w:tcPr>
          <w:p w14:paraId="211E8EF5">
            <w:pPr>
              <w:spacing w:line="360" w:lineRule="auto"/>
              <w:rPr>
                <w:rFonts w:ascii="宋体" w:hAnsi="宋体"/>
                <w:color w:val="000000" w:themeColor="text1"/>
                <w:szCs w:val="21"/>
                <w:highlight w:val="none"/>
                <w14:textFill>
                  <w14:solidFill>
                    <w14:schemeClr w14:val="tx1"/>
                  </w14:solidFill>
                </w14:textFill>
              </w:rPr>
            </w:pPr>
          </w:p>
        </w:tc>
        <w:tc>
          <w:tcPr>
            <w:tcW w:w="880" w:type="dxa"/>
          </w:tcPr>
          <w:p w14:paraId="20897E30">
            <w:pPr>
              <w:spacing w:line="360" w:lineRule="auto"/>
              <w:rPr>
                <w:rFonts w:ascii="宋体" w:hAnsi="宋体"/>
                <w:color w:val="000000" w:themeColor="text1"/>
                <w:szCs w:val="21"/>
                <w:highlight w:val="none"/>
                <w14:textFill>
                  <w14:solidFill>
                    <w14:schemeClr w14:val="tx1"/>
                  </w14:solidFill>
                </w14:textFill>
              </w:rPr>
            </w:pPr>
          </w:p>
        </w:tc>
        <w:tc>
          <w:tcPr>
            <w:tcW w:w="1020" w:type="dxa"/>
          </w:tcPr>
          <w:p w14:paraId="271278EA">
            <w:pPr>
              <w:spacing w:line="360" w:lineRule="auto"/>
              <w:rPr>
                <w:rFonts w:ascii="宋体" w:hAnsi="宋体"/>
                <w:color w:val="000000" w:themeColor="text1"/>
                <w:szCs w:val="21"/>
                <w:highlight w:val="none"/>
                <w14:textFill>
                  <w14:solidFill>
                    <w14:schemeClr w14:val="tx1"/>
                  </w14:solidFill>
                </w14:textFill>
              </w:rPr>
            </w:pPr>
          </w:p>
        </w:tc>
        <w:tc>
          <w:tcPr>
            <w:tcW w:w="1480" w:type="dxa"/>
          </w:tcPr>
          <w:p w14:paraId="67CA4FD3">
            <w:pPr>
              <w:spacing w:line="360" w:lineRule="auto"/>
              <w:rPr>
                <w:rFonts w:ascii="宋体" w:hAnsi="宋体"/>
                <w:color w:val="000000" w:themeColor="text1"/>
                <w:szCs w:val="21"/>
                <w:highlight w:val="none"/>
                <w14:textFill>
                  <w14:solidFill>
                    <w14:schemeClr w14:val="tx1"/>
                  </w14:solidFill>
                </w14:textFill>
              </w:rPr>
            </w:pPr>
          </w:p>
        </w:tc>
        <w:tc>
          <w:tcPr>
            <w:tcW w:w="1020" w:type="dxa"/>
          </w:tcPr>
          <w:p w14:paraId="06132845">
            <w:pPr>
              <w:spacing w:line="360" w:lineRule="auto"/>
              <w:rPr>
                <w:rFonts w:ascii="宋体" w:hAnsi="宋体"/>
                <w:color w:val="000000" w:themeColor="text1"/>
                <w:szCs w:val="21"/>
                <w:highlight w:val="none"/>
                <w14:textFill>
                  <w14:solidFill>
                    <w14:schemeClr w14:val="tx1"/>
                  </w14:solidFill>
                </w14:textFill>
              </w:rPr>
            </w:pPr>
          </w:p>
        </w:tc>
        <w:tc>
          <w:tcPr>
            <w:tcW w:w="921" w:type="dxa"/>
          </w:tcPr>
          <w:p w14:paraId="006D10D5">
            <w:pPr>
              <w:spacing w:line="360" w:lineRule="auto"/>
              <w:rPr>
                <w:rFonts w:ascii="宋体" w:hAnsi="宋体"/>
                <w:color w:val="000000" w:themeColor="text1"/>
                <w:szCs w:val="21"/>
                <w:highlight w:val="none"/>
                <w14:textFill>
                  <w14:solidFill>
                    <w14:schemeClr w14:val="tx1"/>
                  </w14:solidFill>
                </w14:textFill>
              </w:rPr>
            </w:pPr>
          </w:p>
        </w:tc>
      </w:tr>
      <w:tr w14:paraId="7C8D888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49032076">
            <w:pPr>
              <w:spacing w:line="360" w:lineRule="auto"/>
              <w:rPr>
                <w:rFonts w:ascii="宋体" w:hAnsi="宋体"/>
                <w:color w:val="000000" w:themeColor="text1"/>
                <w:szCs w:val="21"/>
                <w:highlight w:val="none"/>
                <w14:textFill>
                  <w14:solidFill>
                    <w14:schemeClr w14:val="tx1"/>
                  </w14:solidFill>
                </w14:textFill>
              </w:rPr>
            </w:pPr>
          </w:p>
        </w:tc>
        <w:tc>
          <w:tcPr>
            <w:tcW w:w="1418" w:type="dxa"/>
          </w:tcPr>
          <w:p w14:paraId="0883572F">
            <w:pPr>
              <w:spacing w:line="360" w:lineRule="auto"/>
              <w:rPr>
                <w:rFonts w:ascii="宋体" w:hAnsi="宋体"/>
                <w:color w:val="000000" w:themeColor="text1"/>
                <w:szCs w:val="21"/>
                <w:highlight w:val="none"/>
                <w14:textFill>
                  <w14:solidFill>
                    <w14:schemeClr w14:val="tx1"/>
                  </w14:solidFill>
                </w14:textFill>
              </w:rPr>
            </w:pPr>
          </w:p>
        </w:tc>
        <w:tc>
          <w:tcPr>
            <w:tcW w:w="850" w:type="dxa"/>
          </w:tcPr>
          <w:p w14:paraId="6E0DFF56">
            <w:pPr>
              <w:spacing w:line="360" w:lineRule="auto"/>
              <w:rPr>
                <w:rFonts w:ascii="宋体" w:hAnsi="宋体"/>
                <w:color w:val="000000" w:themeColor="text1"/>
                <w:szCs w:val="21"/>
                <w:highlight w:val="none"/>
                <w14:textFill>
                  <w14:solidFill>
                    <w14:schemeClr w14:val="tx1"/>
                  </w14:solidFill>
                </w14:textFill>
              </w:rPr>
            </w:pPr>
          </w:p>
        </w:tc>
        <w:tc>
          <w:tcPr>
            <w:tcW w:w="1058" w:type="dxa"/>
          </w:tcPr>
          <w:p w14:paraId="6D96F920">
            <w:pPr>
              <w:spacing w:line="360" w:lineRule="auto"/>
              <w:rPr>
                <w:rFonts w:ascii="宋体" w:hAnsi="宋体"/>
                <w:color w:val="000000" w:themeColor="text1"/>
                <w:szCs w:val="21"/>
                <w:highlight w:val="none"/>
                <w14:textFill>
                  <w14:solidFill>
                    <w14:schemeClr w14:val="tx1"/>
                  </w14:solidFill>
                </w14:textFill>
              </w:rPr>
            </w:pPr>
          </w:p>
        </w:tc>
        <w:tc>
          <w:tcPr>
            <w:tcW w:w="880" w:type="dxa"/>
          </w:tcPr>
          <w:p w14:paraId="15B34B7C">
            <w:pPr>
              <w:spacing w:line="360" w:lineRule="auto"/>
              <w:rPr>
                <w:rFonts w:ascii="宋体" w:hAnsi="宋体"/>
                <w:color w:val="000000" w:themeColor="text1"/>
                <w:szCs w:val="21"/>
                <w:highlight w:val="none"/>
                <w14:textFill>
                  <w14:solidFill>
                    <w14:schemeClr w14:val="tx1"/>
                  </w14:solidFill>
                </w14:textFill>
              </w:rPr>
            </w:pPr>
          </w:p>
        </w:tc>
        <w:tc>
          <w:tcPr>
            <w:tcW w:w="1020" w:type="dxa"/>
          </w:tcPr>
          <w:p w14:paraId="5EA5D52B">
            <w:pPr>
              <w:spacing w:line="360" w:lineRule="auto"/>
              <w:rPr>
                <w:rFonts w:ascii="宋体" w:hAnsi="宋体"/>
                <w:color w:val="000000" w:themeColor="text1"/>
                <w:szCs w:val="21"/>
                <w:highlight w:val="none"/>
                <w14:textFill>
                  <w14:solidFill>
                    <w14:schemeClr w14:val="tx1"/>
                  </w14:solidFill>
                </w14:textFill>
              </w:rPr>
            </w:pPr>
          </w:p>
        </w:tc>
        <w:tc>
          <w:tcPr>
            <w:tcW w:w="1480" w:type="dxa"/>
          </w:tcPr>
          <w:p w14:paraId="7EF314F8">
            <w:pPr>
              <w:spacing w:line="360" w:lineRule="auto"/>
              <w:rPr>
                <w:rFonts w:ascii="宋体" w:hAnsi="宋体"/>
                <w:color w:val="000000" w:themeColor="text1"/>
                <w:szCs w:val="21"/>
                <w:highlight w:val="none"/>
                <w14:textFill>
                  <w14:solidFill>
                    <w14:schemeClr w14:val="tx1"/>
                  </w14:solidFill>
                </w14:textFill>
              </w:rPr>
            </w:pPr>
          </w:p>
        </w:tc>
        <w:tc>
          <w:tcPr>
            <w:tcW w:w="1020" w:type="dxa"/>
          </w:tcPr>
          <w:p w14:paraId="7DDF9145">
            <w:pPr>
              <w:spacing w:line="360" w:lineRule="auto"/>
              <w:rPr>
                <w:rFonts w:ascii="宋体" w:hAnsi="宋体"/>
                <w:color w:val="000000" w:themeColor="text1"/>
                <w:szCs w:val="21"/>
                <w:highlight w:val="none"/>
                <w14:textFill>
                  <w14:solidFill>
                    <w14:schemeClr w14:val="tx1"/>
                  </w14:solidFill>
                </w14:textFill>
              </w:rPr>
            </w:pPr>
          </w:p>
        </w:tc>
        <w:tc>
          <w:tcPr>
            <w:tcW w:w="921" w:type="dxa"/>
          </w:tcPr>
          <w:p w14:paraId="1ACB2EDE">
            <w:pPr>
              <w:spacing w:line="360" w:lineRule="auto"/>
              <w:rPr>
                <w:rFonts w:ascii="宋体" w:hAnsi="宋体"/>
                <w:color w:val="000000" w:themeColor="text1"/>
                <w:szCs w:val="21"/>
                <w:highlight w:val="none"/>
                <w14:textFill>
                  <w14:solidFill>
                    <w14:schemeClr w14:val="tx1"/>
                  </w14:solidFill>
                </w14:textFill>
              </w:rPr>
            </w:pPr>
          </w:p>
        </w:tc>
      </w:tr>
      <w:tr w14:paraId="54F48ED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3F414CBC">
            <w:pPr>
              <w:spacing w:line="360" w:lineRule="auto"/>
              <w:rPr>
                <w:rFonts w:ascii="宋体" w:hAnsi="宋体"/>
                <w:color w:val="000000" w:themeColor="text1"/>
                <w:szCs w:val="21"/>
                <w:highlight w:val="none"/>
                <w14:textFill>
                  <w14:solidFill>
                    <w14:schemeClr w14:val="tx1"/>
                  </w14:solidFill>
                </w14:textFill>
              </w:rPr>
            </w:pPr>
          </w:p>
        </w:tc>
        <w:tc>
          <w:tcPr>
            <w:tcW w:w="1418" w:type="dxa"/>
          </w:tcPr>
          <w:p w14:paraId="4E3879E3">
            <w:pPr>
              <w:spacing w:line="360" w:lineRule="auto"/>
              <w:rPr>
                <w:rFonts w:ascii="宋体" w:hAnsi="宋体"/>
                <w:color w:val="000000" w:themeColor="text1"/>
                <w:szCs w:val="21"/>
                <w:highlight w:val="none"/>
                <w14:textFill>
                  <w14:solidFill>
                    <w14:schemeClr w14:val="tx1"/>
                  </w14:solidFill>
                </w14:textFill>
              </w:rPr>
            </w:pPr>
          </w:p>
        </w:tc>
        <w:tc>
          <w:tcPr>
            <w:tcW w:w="850" w:type="dxa"/>
          </w:tcPr>
          <w:p w14:paraId="1E445CAC">
            <w:pPr>
              <w:spacing w:line="360" w:lineRule="auto"/>
              <w:rPr>
                <w:rFonts w:ascii="宋体" w:hAnsi="宋体"/>
                <w:color w:val="000000" w:themeColor="text1"/>
                <w:szCs w:val="21"/>
                <w:highlight w:val="none"/>
                <w14:textFill>
                  <w14:solidFill>
                    <w14:schemeClr w14:val="tx1"/>
                  </w14:solidFill>
                </w14:textFill>
              </w:rPr>
            </w:pPr>
          </w:p>
        </w:tc>
        <w:tc>
          <w:tcPr>
            <w:tcW w:w="1058" w:type="dxa"/>
          </w:tcPr>
          <w:p w14:paraId="2FC48284">
            <w:pPr>
              <w:spacing w:line="360" w:lineRule="auto"/>
              <w:rPr>
                <w:rFonts w:ascii="宋体" w:hAnsi="宋体"/>
                <w:color w:val="000000" w:themeColor="text1"/>
                <w:szCs w:val="21"/>
                <w:highlight w:val="none"/>
                <w14:textFill>
                  <w14:solidFill>
                    <w14:schemeClr w14:val="tx1"/>
                  </w14:solidFill>
                </w14:textFill>
              </w:rPr>
            </w:pPr>
          </w:p>
        </w:tc>
        <w:tc>
          <w:tcPr>
            <w:tcW w:w="880" w:type="dxa"/>
          </w:tcPr>
          <w:p w14:paraId="49771526">
            <w:pPr>
              <w:spacing w:line="360" w:lineRule="auto"/>
              <w:rPr>
                <w:rFonts w:ascii="宋体" w:hAnsi="宋体"/>
                <w:color w:val="000000" w:themeColor="text1"/>
                <w:szCs w:val="21"/>
                <w:highlight w:val="none"/>
                <w14:textFill>
                  <w14:solidFill>
                    <w14:schemeClr w14:val="tx1"/>
                  </w14:solidFill>
                </w14:textFill>
              </w:rPr>
            </w:pPr>
          </w:p>
        </w:tc>
        <w:tc>
          <w:tcPr>
            <w:tcW w:w="1020" w:type="dxa"/>
          </w:tcPr>
          <w:p w14:paraId="1E59AE49">
            <w:pPr>
              <w:spacing w:line="360" w:lineRule="auto"/>
              <w:rPr>
                <w:rFonts w:ascii="宋体" w:hAnsi="宋体"/>
                <w:color w:val="000000" w:themeColor="text1"/>
                <w:szCs w:val="21"/>
                <w:highlight w:val="none"/>
                <w14:textFill>
                  <w14:solidFill>
                    <w14:schemeClr w14:val="tx1"/>
                  </w14:solidFill>
                </w14:textFill>
              </w:rPr>
            </w:pPr>
          </w:p>
        </w:tc>
        <w:tc>
          <w:tcPr>
            <w:tcW w:w="1480" w:type="dxa"/>
          </w:tcPr>
          <w:p w14:paraId="76EBB345">
            <w:pPr>
              <w:spacing w:line="360" w:lineRule="auto"/>
              <w:rPr>
                <w:rFonts w:ascii="宋体" w:hAnsi="宋体"/>
                <w:color w:val="000000" w:themeColor="text1"/>
                <w:szCs w:val="21"/>
                <w:highlight w:val="none"/>
                <w14:textFill>
                  <w14:solidFill>
                    <w14:schemeClr w14:val="tx1"/>
                  </w14:solidFill>
                </w14:textFill>
              </w:rPr>
            </w:pPr>
          </w:p>
        </w:tc>
        <w:tc>
          <w:tcPr>
            <w:tcW w:w="1020" w:type="dxa"/>
          </w:tcPr>
          <w:p w14:paraId="5F2E42B3">
            <w:pPr>
              <w:spacing w:line="360" w:lineRule="auto"/>
              <w:rPr>
                <w:rFonts w:ascii="宋体" w:hAnsi="宋体"/>
                <w:color w:val="000000" w:themeColor="text1"/>
                <w:szCs w:val="21"/>
                <w:highlight w:val="none"/>
                <w14:textFill>
                  <w14:solidFill>
                    <w14:schemeClr w14:val="tx1"/>
                  </w14:solidFill>
                </w14:textFill>
              </w:rPr>
            </w:pPr>
          </w:p>
        </w:tc>
        <w:tc>
          <w:tcPr>
            <w:tcW w:w="921" w:type="dxa"/>
          </w:tcPr>
          <w:p w14:paraId="028901EF">
            <w:pPr>
              <w:spacing w:line="360" w:lineRule="auto"/>
              <w:rPr>
                <w:rFonts w:ascii="宋体" w:hAnsi="宋体"/>
                <w:color w:val="000000" w:themeColor="text1"/>
                <w:szCs w:val="21"/>
                <w:highlight w:val="none"/>
                <w14:textFill>
                  <w14:solidFill>
                    <w14:schemeClr w14:val="tx1"/>
                  </w14:solidFill>
                </w14:textFill>
              </w:rPr>
            </w:pPr>
          </w:p>
        </w:tc>
      </w:tr>
      <w:tr w14:paraId="647B099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1162" w:type="dxa"/>
          </w:tcPr>
          <w:p w14:paraId="4020FE24">
            <w:pPr>
              <w:spacing w:line="360" w:lineRule="auto"/>
              <w:rPr>
                <w:rFonts w:ascii="宋体" w:hAnsi="宋体"/>
                <w:color w:val="000000" w:themeColor="text1"/>
                <w:szCs w:val="21"/>
                <w:highlight w:val="none"/>
                <w14:textFill>
                  <w14:solidFill>
                    <w14:schemeClr w14:val="tx1"/>
                  </w14:solidFill>
                </w14:textFill>
              </w:rPr>
            </w:pPr>
          </w:p>
        </w:tc>
        <w:tc>
          <w:tcPr>
            <w:tcW w:w="1418" w:type="dxa"/>
          </w:tcPr>
          <w:p w14:paraId="27D663EF">
            <w:pPr>
              <w:spacing w:line="360" w:lineRule="auto"/>
              <w:rPr>
                <w:rFonts w:ascii="宋体" w:hAnsi="宋体"/>
                <w:color w:val="000000" w:themeColor="text1"/>
                <w:szCs w:val="21"/>
                <w:highlight w:val="none"/>
                <w14:textFill>
                  <w14:solidFill>
                    <w14:schemeClr w14:val="tx1"/>
                  </w14:solidFill>
                </w14:textFill>
              </w:rPr>
            </w:pPr>
          </w:p>
        </w:tc>
        <w:tc>
          <w:tcPr>
            <w:tcW w:w="850" w:type="dxa"/>
          </w:tcPr>
          <w:p w14:paraId="62369F4E">
            <w:pPr>
              <w:spacing w:line="360" w:lineRule="auto"/>
              <w:rPr>
                <w:rFonts w:ascii="宋体" w:hAnsi="宋体"/>
                <w:color w:val="000000" w:themeColor="text1"/>
                <w:szCs w:val="21"/>
                <w:highlight w:val="none"/>
                <w14:textFill>
                  <w14:solidFill>
                    <w14:schemeClr w14:val="tx1"/>
                  </w14:solidFill>
                </w14:textFill>
              </w:rPr>
            </w:pPr>
          </w:p>
        </w:tc>
        <w:tc>
          <w:tcPr>
            <w:tcW w:w="1058" w:type="dxa"/>
          </w:tcPr>
          <w:p w14:paraId="43CF0B36">
            <w:pPr>
              <w:spacing w:line="360" w:lineRule="auto"/>
              <w:rPr>
                <w:rFonts w:ascii="宋体" w:hAnsi="宋体"/>
                <w:color w:val="000000" w:themeColor="text1"/>
                <w:szCs w:val="21"/>
                <w:highlight w:val="none"/>
                <w14:textFill>
                  <w14:solidFill>
                    <w14:schemeClr w14:val="tx1"/>
                  </w14:solidFill>
                </w14:textFill>
              </w:rPr>
            </w:pPr>
          </w:p>
        </w:tc>
        <w:tc>
          <w:tcPr>
            <w:tcW w:w="880" w:type="dxa"/>
          </w:tcPr>
          <w:p w14:paraId="65C3AA6E">
            <w:pPr>
              <w:spacing w:line="360" w:lineRule="auto"/>
              <w:rPr>
                <w:rFonts w:ascii="宋体" w:hAnsi="宋体"/>
                <w:color w:val="000000" w:themeColor="text1"/>
                <w:szCs w:val="21"/>
                <w:highlight w:val="none"/>
                <w14:textFill>
                  <w14:solidFill>
                    <w14:schemeClr w14:val="tx1"/>
                  </w14:solidFill>
                </w14:textFill>
              </w:rPr>
            </w:pPr>
          </w:p>
        </w:tc>
        <w:tc>
          <w:tcPr>
            <w:tcW w:w="1020" w:type="dxa"/>
          </w:tcPr>
          <w:p w14:paraId="0D633021">
            <w:pPr>
              <w:spacing w:line="360" w:lineRule="auto"/>
              <w:rPr>
                <w:rFonts w:ascii="宋体" w:hAnsi="宋体"/>
                <w:color w:val="000000" w:themeColor="text1"/>
                <w:szCs w:val="21"/>
                <w:highlight w:val="none"/>
                <w14:textFill>
                  <w14:solidFill>
                    <w14:schemeClr w14:val="tx1"/>
                  </w14:solidFill>
                </w14:textFill>
              </w:rPr>
            </w:pPr>
          </w:p>
        </w:tc>
        <w:tc>
          <w:tcPr>
            <w:tcW w:w="1480" w:type="dxa"/>
          </w:tcPr>
          <w:p w14:paraId="33691FB2">
            <w:pPr>
              <w:spacing w:line="360" w:lineRule="auto"/>
              <w:rPr>
                <w:rFonts w:ascii="宋体" w:hAnsi="宋体"/>
                <w:color w:val="000000" w:themeColor="text1"/>
                <w:szCs w:val="21"/>
                <w:highlight w:val="none"/>
                <w14:textFill>
                  <w14:solidFill>
                    <w14:schemeClr w14:val="tx1"/>
                  </w14:solidFill>
                </w14:textFill>
              </w:rPr>
            </w:pPr>
          </w:p>
        </w:tc>
        <w:tc>
          <w:tcPr>
            <w:tcW w:w="1020" w:type="dxa"/>
          </w:tcPr>
          <w:p w14:paraId="4F65E2EB">
            <w:pPr>
              <w:spacing w:line="360" w:lineRule="auto"/>
              <w:rPr>
                <w:rFonts w:ascii="宋体" w:hAnsi="宋体"/>
                <w:color w:val="000000" w:themeColor="text1"/>
                <w:szCs w:val="21"/>
                <w:highlight w:val="none"/>
                <w14:textFill>
                  <w14:solidFill>
                    <w14:schemeClr w14:val="tx1"/>
                  </w14:solidFill>
                </w14:textFill>
              </w:rPr>
            </w:pPr>
          </w:p>
        </w:tc>
        <w:tc>
          <w:tcPr>
            <w:tcW w:w="921" w:type="dxa"/>
          </w:tcPr>
          <w:p w14:paraId="03D78444">
            <w:pPr>
              <w:spacing w:line="360" w:lineRule="auto"/>
              <w:rPr>
                <w:rFonts w:ascii="宋体" w:hAnsi="宋体"/>
                <w:color w:val="000000" w:themeColor="text1"/>
                <w:szCs w:val="21"/>
                <w:highlight w:val="none"/>
                <w14:textFill>
                  <w14:solidFill>
                    <w14:schemeClr w14:val="tx1"/>
                  </w14:solidFill>
                </w14:textFill>
              </w:rPr>
            </w:pPr>
          </w:p>
        </w:tc>
      </w:tr>
    </w:tbl>
    <w:p w14:paraId="70CAE40F">
      <w:pPr>
        <w:spacing w:line="360" w:lineRule="auto"/>
        <w:rPr>
          <w:rFonts w:ascii="宋体" w:hAnsi="宋体"/>
          <w:color w:val="000000" w:themeColor="text1"/>
          <w:szCs w:val="21"/>
          <w:highlight w:val="none"/>
          <w14:textFill>
            <w14:solidFill>
              <w14:schemeClr w14:val="tx1"/>
            </w14:solidFill>
          </w14:textFill>
        </w:rPr>
      </w:pPr>
    </w:p>
    <w:p w14:paraId="1149E6A6">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br w:type="page"/>
      </w:r>
    </w:p>
    <w:p w14:paraId="470779E2">
      <w:pPr>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附</w:t>
      </w:r>
      <w:bookmarkStart w:id="632" w:name="_Toc296891268"/>
      <w:bookmarkStart w:id="633" w:name="_Toc296503228"/>
      <w:bookmarkStart w:id="634" w:name="_Toc296944567"/>
      <w:bookmarkStart w:id="635" w:name="_Toc296346729"/>
      <w:bookmarkStart w:id="636" w:name="_Toc296891056"/>
      <w:bookmarkStart w:id="637" w:name="_Toc296347227"/>
      <w:bookmarkStart w:id="638" w:name="_Toc267261699"/>
      <w:r>
        <w:rPr>
          <w:rFonts w:ascii="宋体" w:hAnsi="宋体"/>
          <w:color w:val="000000" w:themeColor="text1"/>
          <w:szCs w:val="21"/>
          <w:highlight w:val="none"/>
          <w14:textFill>
            <w14:solidFill>
              <w14:schemeClr w14:val="tx1"/>
            </w14:solidFill>
          </w14:textFill>
        </w:rPr>
        <w:t>件</w:t>
      </w:r>
      <w:r>
        <w:rPr>
          <w:rFonts w:hint="eastAsia" w:ascii="宋体" w:hAnsi="宋体"/>
          <w:color w:val="000000" w:themeColor="text1"/>
          <w:szCs w:val="21"/>
          <w:highlight w:val="none"/>
          <w:lang w:val="en-US" w:eastAsia="zh-CN"/>
          <w14:textFill>
            <w14:solidFill>
              <w14:schemeClr w14:val="tx1"/>
            </w14:solidFill>
          </w14:textFill>
        </w:rPr>
        <w:t>5</w:t>
      </w:r>
      <w:r>
        <w:rPr>
          <w:rFonts w:ascii="宋体" w:hAnsi="宋体"/>
          <w:color w:val="000000" w:themeColor="text1"/>
          <w:szCs w:val="21"/>
          <w:highlight w:val="none"/>
          <w14:textFill>
            <w14:solidFill>
              <w14:schemeClr w14:val="tx1"/>
            </w14:solidFill>
          </w14:textFill>
        </w:rPr>
        <w:t>：</w:t>
      </w:r>
      <w:bookmarkEnd w:id="632"/>
      <w:bookmarkEnd w:id="633"/>
      <w:bookmarkEnd w:id="634"/>
      <w:bookmarkEnd w:id="635"/>
      <w:bookmarkEnd w:id="636"/>
      <w:bookmarkEnd w:id="637"/>
      <w:bookmarkEnd w:id="638"/>
      <w:r>
        <w:rPr>
          <w:rFonts w:ascii="宋体" w:hAnsi="宋体"/>
          <w:color w:val="000000" w:themeColor="text1"/>
          <w:szCs w:val="21"/>
          <w:highlight w:val="none"/>
          <w14:textFill>
            <w14:solidFill>
              <w14:schemeClr w14:val="tx1"/>
            </w14:solidFill>
          </w14:textFill>
        </w:rPr>
        <w:t>承包人主要施工管理人员表</w:t>
      </w:r>
    </w:p>
    <w:tbl>
      <w:tblPr>
        <w:tblStyle w:val="25"/>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2028"/>
        <w:gridCol w:w="1261"/>
        <w:gridCol w:w="1134"/>
        <w:gridCol w:w="1134"/>
        <w:gridCol w:w="4252"/>
      </w:tblGrid>
      <w:tr w14:paraId="69C6F4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tcBorders>
              <w:top w:val="single" w:color="auto" w:sz="12" w:space="0"/>
              <w:bottom w:val="double" w:color="auto" w:sz="6" w:space="0"/>
            </w:tcBorders>
            <w:vAlign w:val="center"/>
          </w:tcPr>
          <w:p w14:paraId="17EC6381">
            <w:pPr>
              <w:pStyle w:val="9"/>
              <w:keepNext/>
              <w:spacing w:line="360" w:lineRule="auto"/>
              <w:ind w:left="62" w:right="62"/>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名    称</w:t>
            </w:r>
          </w:p>
        </w:tc>
        <w:tc>
          <w:tcPr>
            <w:tcW w:w="1261" w:type="dxa"/>
            <w:tcBorders>
              <w:top w:val="single" w:color="auto" w:sz="12" w:space="0"/>
              <w:bottom w:val="double" w:color="auto" w:sz="6" w:space="0"/>
            </w:tcBorders>
            <w:vAlign w:val="center"/>
          </w:tcPr>
          <w:p w14:paraId="202CD6FC">
            <w:pPr>
              <w:pStyle w:val="9"/>
              <w:keepNext/>
              <w:spacing w:line="360" w:lineRule="auto"/>
              <w:ind w:left="62" w:right="62"/>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姓名</w:t>
            </w:r>
          </w:p>
        </w:tc>
        <w:tc>
          <w:tcPr>
            <w:tcW w:w="1134" w:type="dxa"/>
            <w:tcBorders>
              <w:top w:val="single" w:color="auto" w:sz="12" w:space="0"/>
              <w:bottom w:val="double" w:color="auto" w:sz="6" w:space="0"/>
            </w:tcBorders>
            <w:vAlign w:val="center"/>
          </w:tcPr>
          <w:p w14:paraId="50D9A60A">
            <w:pPr>
              <w:pStyle w:val="9"/>
              <w:keepNext/>
              <w:spacing w:line="360" w:lineRule="auto"/>
              <w:ind w:left="62" w:right="62"/>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职务</w:t>
            </w:r>
          </w:p>
        </w:tc>
        <w:tc>
          <w:tcPr>
            <w:tcW w:w="1134" w:type="dxa"/>
            <w:tcBorders>
              <w:top w:val="single" w:color="auto" w:sz="12" w:space="0"/>
              <w:bottom w:val="double" w:color="auto" w:sz="6" w:space="0"/>
            </w:tcBorders>
            <w:vAlign w:val="center"/>
          </w:tcPr>
          <w:p w14:paraId="4D2C9F55">
            <w:pPr>
              <w:pStyle w:val="9"/>
              <w:keepNext/>
              <w:spacing w:line="360" w:lineRule="auto"/>
              <w:ind w:left="62" w:right="62"/>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职称</w:t>
            </w:r>
          </w:p>
        </w:tc>
        <w:tc>
          <w:tcPr>
            <w:tcW w:w="4252" w:type="dxa"/>
            <w:tcBorders>
              <w:top w:val="single" w:color="auto" w:sz="12" w:space="0"/>
              <w:bottom w:val="double" w:color="auto" w:sz="6" w:space="0"/>
            </w:tcBorders>
            <w:vAlign w:val="center"/>
          </w:tcPr>
          <w:p w14:paraId="0403DCFE">
            <w:pPr>
              <w:pStyle w:val="9"/>
              <w:keepNext/>
              <w:spacing w:line="360" w:lineRule="auto"/>
              <w:ind w:left="62" w:right="62"/>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主要资历、经验及承担过的项目</w:t>
            </w:r>
          </w:p>
        </w:tc>
      </w:tr>
      <w:tr w14:paraId="77D090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double" w:color="auto" w:sz="6" w:space="0"/>
              <w:bottom w:val="single" w:color="auto" w:sz="6" w:space="0"/>
            </w:tcBorders>
            <w:vAlign w:val="center"/>
          </w:tcPr>
          <w:p w14:paraId="50B27AEA">
            <w:pPr>
              <w:pStyle w:val="9"/>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一、总部人员</w:t>
            </w:r>
          </w:p>
        </w:tc>
      </w:tr>
      <w:tr w14:paraId="7093D05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tcBorders>
              <w:top w:val="nil"/>
              <w:bottom w:val="nil"/>
            </w:tcBorders>
            <w:vAlign w:val="center"/>
          </w:tcPr>
          <w:p w14:paraId="082376F5">
            <w:pPr>
              <w:pStyle w:val="9"/>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项目主管</w:t>
            </w:r>
          </w:p>
        </w:tc>
        <w:tc>
          <w:tcPr>
            <w:tcW w:w="1261" w:type="dxa"/>
            <w:tcBorders>
              <w:top w:val="nil"/>
            </w:tcBorders>
            <w:vAlign w:val="center"/>
          </w:tcPr>
          <w:p w14:paraId="10D36616">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tcBorders>
              <w:top w:val="nil"/>
            </w:tcBorders>
            <w:vAlign w:val="center"/>
          </w:tcPr>
          <w:p w14:paraId="17EAC371">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tcBorders>
              <w:top w:val="nil"/>
            </w:tcBorders>
            <w:vAlign w:val="center"/>
          </w:tcPr>
          <w:p w14:paraId="1615669C">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tcBorders>
              <w:top w:val="nil"/>
            </w:tcBorders>
            <w:vAlign w:val="center"/>
          </w:tcPr>
          <w:p w14:paraId="0463C6F3">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r>
      <w:tr w14:paraId="0C00B9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tcBorders>
              <w:top w:val="single" w:color="auto" w:sz="6" w:space="0"/>
              <w:bottom w:val="nil"/>
            </w:tcBorders>
            <w:vAlign w:val="center"/>
          </w:tcPr>
          <w:p w14:paraId="366B9ECF">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61" w:type="dxa"/>
            <w:vAlign w:val="center"/>
          </w:tcPr>
          <w:p w14:paraId="336E4526">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0C924688">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07906FF1">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40523C92">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r>
      <w:tr w14:paraId="7A2F67A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tcBorders>
              <w:top w:val="nil"/>
              <w:bottom w:val="nil"/>
            </w:tcBorders>
            <w:vAlign w:val="center"/>
          </w:tcPr>
          <w:p w14:paraId="70EE7768">
            <w:pPr>
              <w:pStyle w:val="9"/>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其他人员</w:t>
            </w:r>
          </w:p>
        </w:tc>
        <w:tc>
          <w:tcPr>
            <w:tcW w:w="1261" w:type="dxa"/>
            <w:vAlign w:val="center"/>
          </w:tcPr>
          <w:p w14:paraId="628D7166">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5041736A">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15CE232E">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0DCF2755">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r>
      <w:tr w14:paraId="2C37C0C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tcBorders>
              <w:top w:val="nil"/>
              <w:bottom w:val="nil"/>
            </w:tcBorders>
            <w:vAlign w:val="center"/>
          </w:tcPr>
          <w:p w14:paraId="438FE5A3">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61" w:type="dxa"/>
            <w:vAlign w:val="center"/>
          </w:tcPr>
          <w:p w14:paraId="5278C25A">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1F3214D2">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01B40B77">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3D253731">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r>
      <w:tr w14:paraId="68B30C9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9809" w:type="dxa"/>
            <w:gridSpan w:val="5"/>
            <w:tcBorders>
              <w:top w:val="single" w:color="auto" w:sz="6" w:space="0"/>
              <w:bottom w:val="single" w:color="auto" w:sz="6" w:space="0"/>
            </w:tcBorders>
            <w:vAlign w:val="center"/>
          </w:tcPr>
          <w:p w14:paraId="1F1975DB">
            <w:pPr>
              <w:pStyle w:val="9"/>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二、现场人员</w:t>
            </w:r>
          </w:p>
        </w:tc>
      </w:tr>
      <w:tr w14:paraId="7AC2A9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tcBorders>
              <w:top w:val="single" w:color="auto" w:sz="6" w:space="0"/>
              <w:bottom w:val="single" w:color="auto" w:sz="6" w:space="0"/>
            </w:tcBorders>
            <w:vAlign w:val="center"/>
          </w:tcPr>
          <w:p w14:paraId="3CD061C5">
            <w:pPr>
              <w:pStyle w:val="9"/>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项目经理</w:t>
            </w:r>
          </w:p>
        </w:tc>
        <w:tc>
          <w:tcPr>
            <w:tcW w:w="1261" w:type="dxa"/>
            <w:vAlign w:val="center"/>
          </w:tcPr>
          <w:p w14:paraId="0B5F0C9D">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282A5BE5">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7AA038C9">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26412A24">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r>
      <w:tr w14:paraId="47338B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tcBorders>
              <w:top w:val="single" w:color="auto" w:sz="6" w:space="0"/>
              <w:bottom w:val="single" w:color="auto" w:sz="6" w:space="0"/>
            </w:tcBorders>
            <w:vAlign w:val="center"/>
          </w:tcPr>
          <w:p w14:paraId="424426DC">
            <w:pPr>
              <w:pStyle w:val="9"/>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项目副经理</w:t>
            </w:r>
          </w:p>
        </w:tc>
        <w:tc>
          <w:tcPr>
            <w:tcW w:w="1261" w:type="dxa"/>
            <w:vAlign w:val="center"/>
          </w:tcPr>
          <w:p w14:paraId="24E54BD7">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3CE73C5F">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47F3904B">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2CA2AF86">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r>
      <w:tr w14:paraId="5A01B3B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tcBorders>
              <w:top w:val="single" w:color="auto" w:sz="6" w:space="0"/>
              <w:bottom w:val="single" w:color="auto" w:sz="6" w:space="0"/>
            </w:tcBorders>
            <w:vAlign w:val="center"/>
          </w:tcPr>
          <w:p w14:paraId="109360DD">
            <w:pPr>
              <w:pStyle w:val="9"/>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技术负责人</w:t>
            </w:r>
          </w:p>
        </w:tc>
        <w:tc>
          <w:tcPr>
            <w:tcW w:w="1261" w:type="dxa"/>
            <w:vAlign w:val="center"/>
          </w:tcPr>
          <w:p w14:paraId="30E525B1">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061BF826">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200C7DF3">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38C648DC">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r>
      <w:tr w14:paraId="37C136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tcBorders>
              <w:top w:val="single" w:color="auto" w:sz="6" w:space="0"/>
              <w:bottom w:val="single" w:color="auto" w:sz="6" w:space="0"/>
            </w:tcBorders>
            <w:vAlign w:val="center"/>
          </w:tcPr>
          <w:p w14:paraId="13ED0760">
            <w:pPr>
              <w:pStyle w:val="9"/>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造价管理</w:t>
            </w:r>
          </w:p>
        </w:tc>
        <w:tc>
          <w:tcPr>
            <w:tcW w:w="1261" w:type="dxa"/>
            <w:vAlign w:val="center"/>
          </w:tcPr>
          <w:p w14:paraId="318C8A54">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41325E24">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1F122052">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2B414267">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r>
      <w:tr w14:paraId="4DDBB3D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tcBorders>
              <w:top w:val="single" w:color="auto" w:sz="6" w:space="0"/>
              <w:bottom w:val="single" w:color="auto" w:sz="6" w:space="0"/>
            </w:tcBorders>
            <w:vAlign w:val="center"/>
          </w:tcPr>
          <w:p w14:paraId="2FFB0A9D">
            <w:pPr>
              <w:pStyle w:val="9"/>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质量管理</w:t>
            </w:r>
          </w:p>
        </w:tc>
        <w:tc>
          <w:tcPr>
            <w:tcW w:w="1261" w:type="dxa"/>
            <w:vAlign w:val="center"/>
          </w:tcPr>
          <w:p w14:paraId="04F7C81B">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5E1C240D">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6CDBAFC7">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16A1FC95">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r>
      <w:tr w14:paraId="152FCB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tcBorders>
              <w:top w:val="single" w:color="auto" w:sz="6" w:space="0"/>
              <w:bottom w:val="single" w:color="auto" w:sz="6" w:space="0"/>
            </w:tcBorders>
            <w:vAlign w:val="center"/>
          </w:tcPr>
          <w:p w14:paraId="07AC8CCF">
            <w:pPr>
              <w:pStyle w:val="9"/>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材料管理</w:t>
            </w:r>
          </w:p>
        </w:tc>
        <w:tc>
          <w:tcPr>
            <w:tcW w:w="1261" w:type="dxa"/>
            <w:vAlign w:val="center"/>
          </w:tcPr>
          <w:p w14:paraId="015535DC">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2AF4DF5B">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1D2FCBEB">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21FB5EEA">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r>
      <w:tr w14:paraId="7D0509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tcBorders>
              <w:top w:val="single" w:color="auto" w:sz="6" w:space="0"/>
              <w:bottom w:val="single" w:color="auto" w:sz="6" w:space="0"/>
            </w:tcBorders>
            <w:vAlign w:val="center"/>
          </w:tcPr>
          <w:p w14:paraId="52A356D5">
            <w:pPr>
              <w:pStyle w:val="9"/>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计划管理</w:t>
            </w:r>
          </w:p>
        </w:tc>
        <w:tc>
          <w:tcPr>
            <w:tcW w:w="1261" w:type="dxa"/>
            <w:vAlign w:val="center"/>
          </w:tcPr>
          <w:p w14:paraId="0120965B">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13504E5C">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0E3BF4F5">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3539103D">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r>
      <w:tr w14:paraId="2EA7FA7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tcBorders>
              <w:top w:val="single" w:color="auto" w:sz="6" w:space="0"/>
              <w:bottom w:val="single" w:color="auto" w:sz="6" w:space="0"/>
            </w:tcBorders>
            <w:vAlign w:val="center"/>
          </w:tcPr>
          <w:p w14:paraId="79C7929E">
            <w:pPr>
              <w:pStyle w:val="9"/>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安全管理</w:t>
            </w:r>
          </w:p>
        </w:tc>
        <w:tc>
          <w:tcPr>
            <w:tcW w:w="1261" w:type="dxa"/>
            <w:vAlign w:val="center"/>
          </w:tcPr>
          <w:p w14:paraId="48D97D65">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2E1FA869">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5BF2BE54">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424687FE">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r>
      <w:tr w14:paraId="651860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vMerge w:val="restart"/>
            <w:tcBorders>
              <w:top w:val="single" w:color="auto" w:sz="6" w:space="0"/>
            </w:tcBorders>
            <w:vAlign w:val="center"/>
          </w:tcPr>
          <w:p w14:paraId="1ADC80BE">
            <w:pPr>
              <w:pStyle w:val="9"/>
              <w:keepNext/>
              <w:spacing w:line="360" w:lineRule="auto"/>
              <w:ind w:left="63" w:right="63"/>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其他人员</w:t>
            </w:r>
          </w:p>
        </w:tc>
        <w:tc>
          <w:tcPr>
            <w:tcW w:w="1261" w:type="dxa"/>
            <w:vAlign w:val="center"/>
          </w:tcPr>
          <w:p w14:paraId="293F37F7">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38DCD8B8">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5EE3F476">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1D97C2DA">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r>
      <w:tr w14:paraId="6B3166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vMerge w:val="continue"/>
            <w:vAlign w:val="center"/>
          </w:tcPr>
          <w:p w14:paraId="7922FCE3">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61" w:type="dxa"/>
            <w:tcBorders>
              <w:bottom w:val="nil"/>
            </w:tcBorders>
            <w:vAlign w:val="center"/>
          </w:tcPr>
          <w:p w14:paraId="68AF64DD">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tcBorders>
              <w:bottom w:val="nil"/>
            </w:tcBorders>
            <w:vAlign w:val="center"/>
          </w:tcPr>
          <w:p w14:paraId="4674A87F">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tcBorders>
              <w:bottom w:val="nil"/>
            </w:tcBorders>
            <w:vAlign w:val="center"/>
          </w:tcPr>
          <w:p w14:paraId="559A881F">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tcBorders>
              <w:bottom w:val="nil"/>
            </w:tcBorders>
            <w:vAlign w:val="center"/>
          </w:tcPr>
          <w:p w14:paraId="624B624C">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r>
      <w:tr w14:paraId="67973A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vMerge w:val="continue"/>
            <w:vAlign w:val="center"/>
          </w:tcPr>
          <w:p w14:paraId="343F16C9">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61" w:type="dxa"/>
            <w:vAlign w:val="center"/>
          </w:tcPr>
          <w:p w14:paraId="1098C8FB">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7B57FAF2">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vAlign w:val="center"/>
          </w:tcPr>
          <w:p w14:paraId="3649A73D">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vAlign w:val="center"/>
          </w:tcPr>
          <w:p w14:paraId="575E1878">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r>
      <w:tr w14:paraId="2D66F99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2028" w:type="dxa"/>
            <w:vMerge w:val="continue"/>
            <w:tcBorders>
              <w:bottom w:val="single" w:color="auto" w:sz="12" w:space="0"/>
            </w:tcBorders>
            <w:vAlign w:val="center"/>
          </w:tcPr>
          <w:p w14:paraId="772061C8">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261" w:type="dxa"/>
            <w:tcBorders>
              <w:bottom w:val="single" w:color="auto" w:sz="12" w:space="0"/>
            </w:tcBorders>
            <w:vAlign w:val="center"/>
          </w:tcPr>
          <w:p w14:paraId="463466DC">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tcBorders>
              <w:bottom w:val="single" w:color="auto" w:sz="12" w:space="0"/>
            </w:tcBorders>
            <w:vAlign w:val="center"/>
          </w:tcPr>
          <w:p w14:paraId="76271E3F">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1134" w:type="dxa"/>
            <w:tcBorders>
              <w:bottom w:val="single" w:color="auto" w:sz="12" w:space="0"/>
            </w:tcBorders>
            <w:vAlign w:val="center"/>
          </w:tcPr>
          <w:p w14:paraId="6EE050A5">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c>
          <w:tcPr>
            <w:tcW w:w="4252" w:type="dxa"/>
            <w:tcBorders>
              <w:bottom w:val="single" w:color="auto" w:sz="12" w:space="0"/>
            </w:tcBorders>
            <w:vAlign w:val="center"/>
          </w:tcPr>
          <w:p w14:paraId="03874579">
            <w:pPr>
              <w:pStyle w:val="9"/>
              <w:keepNext/>
              <w:spacing w:line="360" w:lineRule="auto"/>
              <w:ind w:left="63" w:right="63"/>
              <w:rPr>
                <w:rFonts w:ascii="宋体" w:hAnsi="宋体"/>
                <w:color w:val="000000" w:themeColor="text1"/>
                <w:szCs w:val="21"/>
                <w:highlight w:val="none"/>
                <w14:textFill>
                  <w14:solidFill>
                    <w14:schemeClr w14:val="tx1"/>
                  </w14:solidFill>
                </w14:textFill>
              </w:rPr>
            </w:pPr>
          </w:p>
        </w:tc>
      </w:tr>
    </w:tbl>
    <w:p w14:paraId="630F839A">
      <w:pPr>
        <w:widowControl/>
        <w:jc w:val="lef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br w:type="page"/>
      </w:r>
    </w:p>
    <w:p w14:paraId="452F9630">
      <w:pP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附件</w:t>
      </w:r>
      <w:r>
        <w:rPr>
          <w:rFonts w:hint="eastAsia" w:ascii="宋体" w:hAnsi="宋体" w:cs="宋体"/>
          <w:color w:val="000000" w:themeColor="text1"/>
          <w:szCs w:val="21"/>
          <w:highlight w:val="none"/>
          <w:lang w:val="en-US" w:eastAsia="zh-CN"/>
          <w14:textFill>
            <w14:solidFill>
              <w14:schemeClr w14:val="tx1"/>
            </w14:solidFill>
          </w14:textFill>
        </w:rPr>
        <w:t>6</w:t>
      </w:r>
      <w:r>
        <w:rPr>
          <w:rFonts w:hint="eastAsia" w:ascii="宋体" w:hAnsi="宋体" w:cs="宋体"/>
          <w:color w:val="000000" w:themeColor="text1"/>
          <w:szCs w:val="21"/>
          <w:highlight w:val="none"/>
          <w14:textFill>
            <w14:solidFill>
              <w14:schemeClr w14:val="tx1"/>
            </w14:solidFill>
          </w14:textFill>
        </w:rPr>
        <w:t>：</w:t>
      </w:r>
    </w:p>
    <w:p w14:paraId="31B911FF">
      <w:pPr>
        <w:spacing w:before="156" w:beforeLines="50" w:after="156" w:afterLines="50"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6</w:t>
      </w:r>
      <w:r>
        <w:rPr>
          <w:rFonts w:hint="eastAsia" w:ascii="宋体" w:hAnsi="宋体" w:cs="宋体"/>
          <w:color w:val="000000" w:themeColor="text1"/>
          <w:szCs w:val="21"/>
          <w:highlight w:val="none"/>
          <w14:textFill>
            <w14:solidFill>
              <w14:schemeClr w14:val="tx1"/>
            </w14:solidFill>
          </w14:textFill>
        </w:rPr>
        <w:t>-1：材料暂估价表</w:t>
      </w:r>
    </w:p>
    <w:tbl>
      <w:tblPr>
        <w:tblStyle w:val="25"/>
        <w:tblW w:w="9073" w:type="dxa"/>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0F8CEE4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tcPr>
          <w:p w14:paraId="6FB45A50">
            <w:pPr>
              <w:pStyle w:val="9"/>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序号</w:t>
            </w:r>
          </w:p>
        </w:tc>
        <w:tc>
          <w:tcPr>
            <w:tcW w:w="1984" w:type="dxa"/>
            <w:tcBorders>
              <w:top w:val="single" w:color="auto" w:sz="12" w:space="0"/>
              <w:bottom w:val="double" w:color="auto" w:sz="6" w:space="0"/>
            </w:tcBorders>
          </w:tcPr>
          <w:p w14:paraId="6FB913E4">
            <w:pPr>
              <w:pStyle w:val="9"/>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名称</w:t>
            </w:r>
          </w:p>
        </w:tc>
        <w:tc>
          <w:tcPr>
            <w:tcW w:w="851" w:type="dxa"/>
            <w:tcBorders>
              <w:top w:val="single" w:color="auto" w:sz="12" w:space="0"/>
              <w:bottom w:val="double" w:color="auto" w:sz="6" w:space="0"/>
            </w:tcBorders>
          </w:tcPr>
          <w:p w14:paraId="06A96842">
            <w:pPr>
              <w:pStyle w:val="9"/>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单位</w:t>
            </w:r>
          </w:p>
        </w:tc>
        <w:tc>
          <w:tcPr>
            <w:tcW w:w="774" w:type="dxa"/>
            <w:tcBorders>
              <w:top w:val="single" w:color="auto" w:sz="12" w:space="0"/>
              <w:bottom w:val="double" w:color="auto" w:sz="6" w:space="0"/>
            </w:tcBorders>
          </w:tcPr>
          <w:p w14:paraId="640CC174">
            <w:pPr>
              <w:pStyle w:val="9"/>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数量</w:t>
            </w:r>
          </w:p>
        </w:tc>
        <w:tc>
          <w:tcPr>
            <w:tcW w:w="1352" w:type="dxa"/>
            <w:tcBorders>
              <w:top w:val="single" w:color="auto" w:sz="12" w:space="0"/>
              <w:bottom w:val="double" w:color="auto" w:sz="6" w:space="0"/>
            </w:tcBorders>
          </w:tcPr>
          <w:p w14:paraId="37138509">
            <w:pPr>
              <w:pStyle w:val="9"/>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单价（元）</w:t>
            </w:r>
          </w:p>
        </w:tc>
        <w:tc>
          <w:tcPr>
            <w:tcW w:w="1418" w:type="dxa"/>
            <w:tcBorders>
              <w:top w:val="single" w:color="auto" w:sz="12" w:space="0"/>
              <w:bottom w:val="double" w:color="auto" w:sz="6" w:space="0"/>
            </w:tcBorders>
          </w:tcPr>
          <w:p w14:paraId="52F1C10B">
            <w:pPr>
              <w:pStyle w:val="9"/>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合价（元）</w:t>
            </w:r>
          </w:p>
        </w:tc>
        <w:tc>
          <w:tcPr>
            <w:tcW w:w="1701" w:type="dxa"/>
            <w:tcBorders>
              <w:top w:val="single" w:color="auto" w:sz="12" w:space="0"/>
              <w:bottom w:val="double" w:color="auto" w:sz="6" w:space="0"/>
            </w:tcBorders>
          </w:tcPr>
          <w:p w14:paraId="12C6BC38">
            <w:pPr>
              <w:pStyle w:val="9"/>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备注</w:t>
            </w:r>
          </w:p>
        </w:tc>
      </w:tr>
      <w:tr w14:paraId="23E688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tcPr>
          <w:p w14:paraId="3B228A0D">
            <w:pPr>
              <w:pStyle w:val="9"/>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984" w:type="dxa"/>
            <w:tcBorders>
              <w:top w:val="double" w:color="auto" w:sz="6" w:space="0"/>
              <w:bottom w:val="single" w:color="auto" w:sz="6" w:space="0"/>
            </w:tcBorders>
          </w:tcPr>
          <w:p w14:paraId="2C9F4D0D">
            <w:pPr>
              <w:spacing w:before="156" w:beforeLines="50" w:after="156" w:afterLines="50" w:line="360" w:lineRule="auto"/>
              <w:jc w:val="center"/>
              <w:rPr>
                <w:rFonts w:ascii="宋体" w:hAnsi="宋体" w:cs="宋体"/>
                <w:color w:val="000000" w:themeColor="text1"/>
                <w:szCs w:val="21"/>
                <w:highlight w:val="none"/>
                <w14:textFill>
                  <w14:solidFill>
                    <w14:schemeClr w14:val="tx1"/>
                  </w14:solidFill>
                </w14:textFill>
              </w:rPr>
            </w:pPr>
          </w:p>
        </w:tc>
        <w:tc>
          <w:tcPr>
            <w:tcW w:w="851" w:type="dxa"/>
            <w:tcBorders>
              <w:top w:val="double" w:color="auto" w:sz="6" w:space="0"/>
              <w:bottom w:val="single" w:color="auto" w:sz="6" w:space="0"/>
            </w:tcBorders>
          </w:tcPr>
          <w:p w14:paraId="79A876C7">
            <w:pPr>
              <w:pStyle w:val="9"/>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774" w:type="dxa"/>
            <w:tcBorders>
              <w:top w:val="double" w:color="auto" w:sz="6" w:space="0"/>
              <w:bottom w:val="single" w:color="auto" w:sz="6" w:space="0"/>
            </w:tcBorders>
          </w:tcPr>
          <w:p w14:paraId="7B8D5AD1">
            <w:pPr>
              <w:pStyle w:val="9"/>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352" w:type="dxa"/>
            <w:tcBorders>
              <w:top w:val="double" w:color="auto" w:sz="6" w:space="0"/>
              <w:bottom w:val="single" w:color="auto" w:sz="6" w:space="0"/>
            </w:tcBorders>
          </w:tcPr>
          <w:p w14:paraId="6FF1499F">
            <w:pPr>
              <w:pStyle w:val="9"/>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418" w:type="dxa"/>
            <w:tcBorders>
              <w:top w:val="double" w:color="auto" w:sz="6" w:space="0"/>
              <w:bottom w:val="single" w:color="auto" w:sz="6" w:space="0"/>
            </w:tcBorders>
          </w:tcPr>
          <w:p w14:paraId="3746AE8B">
            <w:pPr>
              <w:pStyle w:val="9"/>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701" w:type="dxa"/>
            <w:tcBorders>
              <w:top w:val="double" w:color="auto" w:sz="6" w:space="0"/>
              <w:bottom w:val="single" w:color="auto" w:sz="6" w:space="0"/>
            </w:tcBorders>
          </w:tcPr>
          <w:p w14:paraId="48C8BFFA">
            <w:pPr>
              <w:pStyle w:val="9"/>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r>
      <w:tr w14:paraId="2477F75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tcPr>
          <w:p w14:paraId="1A1B6D39">
            <w:pPr>
              <w:pStyle w:val="9"/>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984" w:type="dxa"/>
            <w:tcBorders>
              <w:top w:val="nil"/>
            </w:tcBorders>
          </w:tcPr>
          <w:p w14:paraId="0D5A6297">
            <w:pPr>
              <w:pStyle w:val="9"/>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851" w:type="dxa"/>
            <w:tcBorders>
              <w:top w:val="nil"/>
            </w:tcBorders>
          </w:tcPr>
          <w:p w14:paraId="1AF5233C">
            <w:pPr>
              <w:pStyle w:val="9"/>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774" w:type="dxa"/>
            <w:tcBorders>
              <w:top w:val="nil"/>
            </w:tcBorders>
          </w:tcPr>
          <w:p w14:paraId="61E3A943">
            <w:pPr>
              <w:pStyle w:val="9"/>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352" w:type="dxa"/>
            <w:tcBorders>
              <w:top w:val="nil"/>
            </w:tcBorders>
          </w:tcPr>
          <w:p w14:paraId="7221EEFD">
            <w:pPr>
              <w:pStyle w:val="9"/>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418" w:type="dxa"/>
            <w:tcBorders>
              <w:top w:val="nil"/>
            </w:tcBorders>
          </w:tcPr>
          <w:p w14:paraId="52AA7180">
            <w:pPr>
              <w:pStyle w:val="9"/>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701" w:type="dxa"/>
            <w:tcBorders>
              <w:top w:val="nil"/>
            </w:tcBorders>
          </w:tcPr>
          <w:p w14:paraId="4AE9707E">
            <w:pPr>
              <w:pStyle w:val="9"/>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r>
      <w:tr w14:paraId="469BEBF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36F85D98">
            <w:pPr>
              <w:pStyle w:val="9"/>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984" w:type="dxa"/>
          </w:tcPr>
          <w:p w14:paraId="4219C60A">
            <w:pPr>
              <w:pStyle w:val="9"/>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851" w:type="dxa"/>
          </w:tcPr>
          <w:p w14:paraId="32073A5A">
            <w:pPr>
              <w:pStyle w:val="9"/>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774" w:type="dxa"/>
          </w:tcPr>
          <w:p w14:paraId="0EE91B49">
            <w:pPr>
              <w:pStyle w:val="9"/>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352" w:type="dxa"/>
          </w:tcPr>
          <w:p w14:paraId="58E4924D">
            <w:pPr>
              <w:pStyle w:val="9"/>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418" w:type="dxa"/>
          </w:tcPr>
          <w:p w14:paraId="7F046304">
            <w:pPr>
              <w:pStyle w:val="9"/>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701" w:type="dxa"/>
          </w:tcPr>
          <w:p w14:paraId="5DD88A41">
            <w:pPr>
              <w:pStyle w:val="9"/>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r>
      <w:tr w14:paraId="19EA2C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6D895886">
            <w:pPr>
              <w:pStyle w:val="9"/>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984" w:type="dxa"/>
          </w:tcPr>
          <w:p w14:paraId="3F0DBF0E">
            <w:pPr>
              <w:pStyle w:val="9"/>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851" w:type="dxa"/>
          </w:tcPr>
          <w:p w14:paraId="002B18C8">
            <w:pPr>
              <w:pStyle w:val="9"/>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774" w:type="dxa"/>
          </w:tcPr>
          <w:p w14:paraId="0A9F9E95">
            <w:pPr>
              <w:pStyle w:val="9"/>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352" w:type="dxa"/>
          </w:tcPr>
          <w:p w14:paraId="0BB74FE1">
            <w:pPr>
              <w:pStyle w:val="9"/>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418" w:type="dxa"/>
          </w:tcPr>
          <w:p w14:paraId="0FBC52ED">
            <w:pPr>
              <w:pStyle w:val="9"/>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701" w:type="dxa"/>
          </w:tcPr>
          <w:p w14:paraId="3545617A">
            <w:pPr>
              <w:pStyle w:val="9"/>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r>
      <w:tr w14:paraId="7CD91A7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1EFA9E57">
            <w:pPr>
              <w:pStyle w:val="9"/>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984" w:type="dxa"/>
          </w:tcPr>
          <w:p w14:paraId="6D5CD735">
            <w:pPr>
              <w:pStyle w:val="9"/>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851" w:type="dxa"/>
          </w:tcPr>
          <w:p w14:paraId="3D5EAC26">
            <w:pPr>
              <w:pStyle w:val="9"/>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774" w:type="dxa"/>
          </w:tcPr>
          <w:p w14:paraId="003F16F2">
            <w:pPr>
              <w:pStyle w:val="9"/>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352" w:type="dxa"/>
          </w:tcPr>
          <w:p w14:paraId="540BD999">
            <w:pPr>
              <w:pStyle w:val="9"/>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418" w:type="dxa"/>
          </w:tcPr>
          <w:p w14:paraId="7C94E510">
            <w:pPr>
              <w:pStyle w:val="9"/>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701" w:type="dxa"/>
          </w:tcPr>
          <w:p w14:paraId="43B28101">
            <w:pPr>
              <w:pStyle w:val="9"/>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r>
    </w:tbl>
    <w:p w14:paraId="495E65C8">
      <w:pPr>
        <w:spacing w:before="156" w:beforeLines="50" w:after="156" w:afterLines="50"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6</w:t>
      </w:r>
      <w:r>
        <w:rPr>
          <w:rFonts w:hint="eastAsia" w:ascii="宋体" w:hAnsi="宋体" w:cs="宋体"/>
          <w:color w:val="000000" w:themeColor="text1"/>
          <w:szCs w:val="21"/>
          <w:highlight w:val="none"/>
          <w14:textFill>
            <w14:solidFill>
              <w14:schemeClr w14:val="tx1"/>
            </w14:solidFill>
          </w14:textFill>
        </w:rPr>
        <w:t>-2：工程设备暂估价表</w:t>
      </w:r>
    </w:p>
    <w:tbl>
      <w:tblPr>
        <w:tblStyle w:val="25"/>
        <w:tblW w:w="9073" w:type="dxa"/>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261CD4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tcPr>
          <w:p w14:paraId="345D20C5">
            <w:pPr>
              <w:pStyle w:val="9"/>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序号</w:t>
            </w:r>
          </w:p>
        </w:tc>
        <w:tc>
          <w:tcPr>
            <w:tcW w:w="1984" w:type="dxa"/>
            <w:tcBorders>
              <w:top w:val="single" w:color="auto" w:sz="12" w:space="0"/>
              <w:bottom w:val="double" w:color="auto" w:sz="6" w:space="0"/>
            </w:tcBorders>
          </w:tcPr>
          <w:p w14:paraId="4D651721">
            <w:pPr>
              <w:pStyle w:val="9"/>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名称</w:t>
            </w:r>
          </w:p>
        </w:tc>
        <w:tc>
          <w:tcPr>
            <w:tcW w:w="851" w:type="dxa"/>
            <w:tcBorders>
              <w:top w:val="single" w:color="auto" w:sz="12" w:space="0"/>
              <w:bottom w:val="double" w:color="auto" w:sz="6" w:space="0"/>
            </w:tcBorders>
          </w:tcPr>
          <w:p w14:paraId="28732862">
            <w:pPr>
              <w:pStyle w:val="9"/>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单位</w:t>
            </w:r>
          </w:p>
        </w:tc>
        <w:tc>
          <w:tcPr>
            <w:tcW w:w="774" w:type="dxa"/>
            <w:tcBorders>
              <w:top w:val="single" w:color="auto" w:sz="12" w:space="0"/>
              <w:bottom w:val="double" w:color="auto" w:sz="6" w:space="0"/>
            </w:tcBorders>
          </w:tcPr>
          <w:p w14:paraId="7E405A9E">
            <w:pPr>
              <w:pStyle w:val="9"/>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数量</w:t>
            </w:r>
          </w:p>
        </w:tc>
        <w:tc>
          <w:tcPr>
            <w:tcW w:w="1352" w:type="dxa"/>
            <w:tcBorders>
              <w:top w:val="single" w:color="auto" w:sz="12" w:space="0"/>
              <w:bottom w:val="double" w:color="auto" w:sz="6" w:space="0"/>
            </w:tcBorders>
          </w:tcPr>
          <w:p w14:paraId="69594594">
            <w:pPr>
              <w:pStyle w:val="9"/>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单价（元）</w:t>
            </w:r>
          </w:p>
        </w:tc>
        <w:tc>
          <w:tcPr>
            <w:tcW w:w="1418" w:type="dxa"/>
            <w:tcBorders>
              <w:top w:val="single" w:color="auto" w:sz="12" w:space="0"/>
              <w:bottom w:val="double" w:color="auto" w:sz="6" w:space="0"/>
            </w:tcBorders>
          </w:tcPr>
          <w:p w14:paraId="3CD86E62">
            <w:pPr>
              <w:pStyle w:val="9"/>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合价（元）</w:t>
            </w:r>
          </w:p>
        </w:tc>
        <w:tc>
          <w:tcPr>
            <w:tcW w:w="1701" w:type="dxa"/>
            <w:tcBorders>
              <w:top w:val="single" w:color="auto" w:sz="12" w:space="0"/>
              <w:bottom w:val="double" w:color="auto" w:sz="6" w:space="0"/>
            </w:tcBorders>
          </w:tcPr>
          <w:p w14:paraId="47696714">
            <w:pPr>
              <w:pStyle w:val="9"/>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备注</w:t>
            </w:r>
          </w:p>
        </w:tc>
      </w:tr>
      <w:tr w14:paraId="182B6F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tcPr>
          <w:p w14:paraId="5D341314">
            <w:pPr>
              <w:pStyle w:val="9"/>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984" w:type="dxa"/>
            <w:tcBorders>
              <w:top w:val="double" w:color="auto" w:sz="6" w:space="0"/>
              <w:bottom w:val="single" w:color="auto" w:sz="6" w:space="0"/>
            </w:tcBorders>
          </w:tcPr>
          <w:p w14:paraId="2EE013E0">
            <w:pPr>
              <w:pStyle w:val="9"/>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851" w:type="dxa"/>
            <w:tcBorders>
              <w:top w:val="double" w:color="auto" w:sz="6" w:space="0"/>
              <w:bottom w:val="single" w:color="auto" w:sz="6" w:space="0"/>
            </w:tcBorders>
          </w:tcPr>
          <w:p w14:paraId="22DED128">
            <w:pPr>
              <w:pStyle w:val="9"/>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774" w:type="dxa"/>
            <w:tcBorders>
              <w:top w:val="double" w:color="auto" w:sz="6" w:space="0"/>
              <w:bottom w:val="single" w:color="auto" w:sz="6" w:space="0"/>
            </w:tcBorders>
          </w:tcPr>
          <w:p w14:paraId="28F0B739">
            <w:pPr>
              <w:pStyle w:val="9"/>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352" w:type="dxa"/>
            <w:tcBorders>
              <w:top w:val="double" w:color="auto" w:sz="6" w:space="0"/>
              <w:bottom w:val="single" w:color="auto" w:sz="6" w:space="0"/>
            </w:tcBorders>
          </w:tcPr>
          <w:p w14:paraId="6CB99301">
            <w:pPr>
              <w:pStyle w:val="9"/>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418" w:type="dxa"/>
            <w:tcBorders>
              <w:top w:val="double" w:color="auto" w:sz="6" w:space="0"/>
              <w:bottom w:val="single" w:color="auto" w:sz="6" w:space="0"/>
            </w:tcBorders>
          </w:tcPr>
          <w:p w14:paraId="32787E52">
            <w:pPr>
              <w:pStyle w:val="9"/>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701" w:type="dxa"/>
            <w:tcBorders>
              <w:top w:val="double" w:color="auto" w:sz="6" w:space="0"/>
              <w:bottom w:val="single" w:color="auto" w:sz="6" w:space="0"/>
            </w:tcBorders>
          </w:tcPr>
          <w:p w14:paraId="0005F9E4">
            <w:pPr>
              <w:pStyle w:val="9"/>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r>
      <w:tr w14:paraId="7BD344C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tcPr>
          <w:p w14:paraId="7C9CFA08">
            <w:pPr>
              <w:pStyle w:val="9"/>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984" w:type="dxa"/>
            <w:tcBorders>
              <w:top w:val="nil"/>
            </w:tcBorders>
          </w:tcPr>
          <w:p w14:paraId="5DC819D3">
            <w:pPr>
              <w:pStyle w:val="9"/>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851" w:type="dxa"/>
            <w:tcBorders>
              <w:top w:val="nil"/>
            </w:tcBorders>
          </w:tcPr>
          <w:p w14:paraId="691E5035">
            <w:pPr>
              <w:pStyle w:val="9"/>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774" w:type="dxa"/>
            <w:tcBorders>
              <w:top w:val="nil"/>
            </w:tcBorders>
          </w:tcPr>
          <w:p w14:paraId="0B4DA660">
            <w:pPr>
              <w:pStyle w:val="9"/>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352" w:type="dxa"/>
            <w:tcBorders>
              <w:top w:val="nil"/>
            </w:tcBorders>
          </w:tcPr>
          <w:p w14:paraId="361AD2F4">
            <w:pPr>
              <w:pStyle w:val="9"/>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418" w:type="dxa"/>
            <w:tcBorders>
              <w:top w:val="nil"/>
            </w:tcBorders>
          </w:tcPr>
          <w:p w14:paraId="7CBC23CE">
            <w:pPr>
              <w:pStyle w:val="9"/>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701" w:type="dxa"/>
            <w:tcBorders>
              <w:top w:val="nil"/>
            </w:tcBorders>
          </w:tcPr>
          <w:p w14:paraId="68F83DB0">
            <w:pPr>
              <w:pStyle w:val="9"/>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r>
      <w:tr w14:paraId="3F0C6B1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17676F51">
            <w:pPr>
              <w:pStyle w:val="9"/>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984" w:type="dxa"/>
          </w:tcPr>
          <w:p w14:paraId="76586219">
            <w:pPr>
              <w:pStyle w:val="9"/>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851" w:type="dxa"/>
          </w:tcPr>
          <w:p w14:paraId="27484BD6">
            <w:pPr>
              <w:pStyle w:val="9"/>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774" w:type="dxa"/>
          </w:tcPr>
          <w:p w14:paraId="2F537AE7">
            <w:pPr>
              <w:pStyle w:val="9"/>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352" w:type="dxa"/>
          </w:tcPr>
          <w:p w14:paraId="6F1D2357">
            <w:pPr>
              <w:pStyle w:val="9"/>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418" w:type="dxa"/>
          </w:tcPr>
          <w:p w14:paraId="0C4AA13D">
            <w:pPr>
              <w:pStyle w:val="9"/>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701" w:type="dxa"/>
          </w:tcPr>
          <w:p w14:paraId="3FEF0C2F">
            <w:pPr>
              <w:pStyle w:val="9"/>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r>
      <w:tr w14:paraId="086732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555A4FF1">
            <w:pPr>
              <w:pStyle w:val="9"/>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984" w:type="dxa"/>
          </w:tcPr>
          <w:p w14:paraId="74E23D3E">
            <w:pPr>
              <w:pStyle w:val="9"/>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851" w:type="dxa"/>
          </w:tcPr>
          <w:p w14:paraId="21542E40">
            <w:pPr>
              <w:pStyle w:val="9"/>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774" w:type="dxa"/>
          </w:tcPr>
          <w:p w14:paraId="2245CF97">
            <w:pPr>
              <w:pStyle w:val="9"/>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352" w:type="dxa"/>
          </w:tcPr>
          <w:p w14:paraId="4A438774">
            <w:pPr>
              <w:pStyle w:val="9"/>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418" w:type="dxa"/>
          </w:tcPr>
          <w:p w14:paraId="6B30A210">
            <w:pPr>
              <w:pStyle w:val="9"/>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701" w:type="dxa"/>
          </w:tcPr>
          <w:p w14:paraId="0C758CB8">
            <w:pPr>
              <w:pStyle w:val="9"/>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r>
      <w:tr w14:paraId="2C272F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5E16E343">
            <w:pPr>
              <w:pStyle w:val="9"/>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984" w:type="dxa"/>
          </w:tcPr>
          <w:p w14:paraId="58C3E7ED">
            <w:pPr>
              <w:pStyle w:val="9"/>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851" w:type="dxa"/>
          </w:tcPr>
          <w:p w14:paraId="640FFFEC">
            <w:pPr>
              <w:pStyle w:val="9"/>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774" w:type="dxa"/>
          </w:tcPr>
          <w:p w14:paraId="60A83114">
            <w:pPr>
              <w:pStyle w:val="9"/>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352" w:type="dxa"/>
          </w:tcPr>
          <w:p w14:paraId="314F3D1F">
            <w:pPr>
              <w:pStyle w:val="9"/>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418" w:type="dxa"/>
          </w:tcPr>
          <w:p w14:paraId="0D75C31F">
            <w:pPr>
              <w:pStyle w:val="9"/>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701" w:type="dxa"/>
          </w:tcPr>
          <w:p w14:paraId="0F12EB52">
            <w:pPr>
              <w:pStyle w:val="9"/>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r>
    </w:tbl>
    <w:p w14:paraId="3B96E12B">
      <w:pPr>
        <w:widowControl/>
        <w:jc w:val="left"/>
        <w:rPr>
          <w:rFonts w:ascii="宋体" w:hAnsi="宋体" w:cs="宋体"/>
          <w:color w:val="000000" w:themeColor="text1"/>
          <w:szCs w:val="21"/>
          <w:highlight w:val="none"/>
          <w14:textFill>
            <w14:solidFill>
              <w14:schemeClr w14:val="tx1"/>
            </w14:solidFill>
          </w14:textFill>
        </w:rPr>
      </w:pPr>
    </w:p>
    <w:p w14:paraId="5369A733">
      <w:pPr>
        <w:spacing w:before="156" w:beforeLines="50" w:after="156" w:afterLines="50" w:line="360" w:lineRule="auto"/>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6-</w:t>
      </w:r>
      <w:r>
        <w:rPr>
          <w:rFonts w:hint="eastAsia" w:ascii="宋体" w:hAnsi="宋体" w:cs="宋体"/>
          <w:color w:val="000000" w:themeColor="text1"/>
          <w:szCs w:val="21"/>
          <w:highlight w:val="none"/>
          <w14:textFill>
            <w14:solidFill>
              <w14:schemeClr w14:val="tx1"/>
            </w14:solidFill>
          </w14:textFill>
        </w:rPr>
        <w:t>3：专业工程暂估价表</w:t>
      </w:r>
    </w:p>
    <w:tbl>
      <w:tblPr>
        <w:tblStyle w:val="25"/>
        <w:tblW w:w="9073" w:type="dxa"/>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93"/>
        <w:gridCol w:w="1984"/>
        <w:gridCol w:w="851"/>
        <w:gridCol w:w="774"/>
        <w:gridCol w:w="1352"/>
        <w:gridCol w:w="1418"/>
        <w:gridCol w:w="1701"/>
      </w:tblGrid>
      <w:tr w14:paraId="750FFC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single" w:color="auto" w:sz="12" w:space="0"/>
              <w:bottom w:val="double" w:color="auto" w:sz="6" w:space="0"/>
            </w:tcBorders>
          </w:tcPr>
          <w:p w14:paraId="5279A58B">
            <w:pPr>
              <w:pStyle w:val="9"/>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序号</w:t>
            </w:r>
          </w:p>
        </w:tc>
        <w:tc>
          <w:tcPr>
            <w:tcW w:w="1984" w:type="dxa"/>
            <w:tcBorders>
              <w:top w:val="single" w:color="auto" w:sz="12" w:space="0"/>
              <w:bottom w:val="double" w:color="auto" w:sz="6" w:space="0"/>
            </w:tcBorders>
          </w:tcPr>
          <w:p w14:paraId="31369D8D">
            <w:pPr>
              <w:pStyle w:val="9"/>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名称</w:t>
            </w:r>
          </w:p>
        </w:tc>
        <w:tc>
          <w:tcPr>
            <w:tcW w:w="851" w:type="dxa"/>
            <w:tcBorders>
              <w:top w:val="single" w:color="auto" w:sz="12" w:space="0"/>
              <w:bottom w:val="double" w:color="auto" w:sz="6" w:space="0"/>
            </w:tcBorders>
          </w:tcPr>
          <w:p w14:paraId="29FA471A">
            <w:pPr>
              <w:pStyle w:val="9"/>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单位</w:t>
            </w:r>
          </w:p>
        </w:tc>
        <w:tc>
          <w:tcPr>
            <w:tcW w:w="774" w:type="dxa"/>
            <w:tcBorders>
              <w:top w:val="single" w:color="auto" w:sz="12" w:space="0"/>
              <w:bottom w:val="double" w:color="auto" w:sz="6" w:space="0"/>
            </w:tcBorders>
          </w:tcPr>
          <w:p w14:paraId="4B50BBA8">
            <w:pPr>
              <w:pStyle w:val="9"/>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数量</w:t>
            </w:r>
          </w:p>
        </w:tc>
        <w:tc>
          <w:tcPr>
            <w:tcW w:w="1352" w:type="dxa"/>
            <w:tcBorders>
              <w:top w:val="single" w:color="auto" w:sz="12" w:space="0"/>
              <w:bottom w:val="double" w:color="auto" w:sz="6" w:space="0"/>
            </w:tcBorders>
          </w:tcPr>
          <w:p w14:paraId="5CA7A9F6">
            <w:pPr>
              <w:pStyle w:val="9"/>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单价（元）</w:t>
            </w:r>
          </w:p>
        </w:tc>
        <w:tc>
          <w:tcPr>
            <w:tcW w:w="1418" w:type="dxa"/>
            <w:tcBorders>
              <w:top w:val="single" w:color="auto" w:sz="12" w:space="0"/>
              <w:bottom w:val="double" w:color="auto" w:sz="6" w:space="0"/>
            </w:tcBorders>
          </w:tcPr>
          <w:p w14:paraId="0AB832BD">
            <w:pPr>
              <w:pStyle w:val="9"/>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合价（元）</w:t>
            </w:r>
          </w:p>
        </w:tc>
        <w:tc>
          <w:tcPr>
            <w:tcW w:w="1701" w:type="dxa"/>
            <w:tcBorders>
              <w:top w:val="single" w:color="auto" w:sz="12" w:space="0"/>
              <w:bottom w:val="double" w:color="auto" w:sz="6" w:space="0"/>
            </w:tcBorders>
          </w:tcPr>
          <w:p w14:paraId="21E2F8B3">
            <w:pPr>
              <w:pStyle w:val="9"/>
              <w:keepNext/>
              <w:spacing w:line="360" w:lineRule="auto"/>
              <w:ind w:left="63" w:right="63"/>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备注</w:t>
            </w:r>
          </w:p>
        </w:tc>
      </w:tr>
      <w:tr w14:paraId="3864C7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double" w:color="auto" w:sz="6" w:space="0"/>
              <w:bottom w:val="single" w:color="auto" w:sz="6" w:space="0"/>
            </w:tcBorders>
          </w:tcPr>
          <w:p w14:paraId="06FFA916">
            <w:pPr>
              <w:pStyle w:val="9"/>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984" w:type="dxa"/>
            <w:tcBorders>
              <w:top w:val="double" w:color="auto" w:sz="6" w:space="0"/>
              <w:bottom w:val="single" w:color="auto" w:sz="6" w:space="0"/>
            </w:tcBorders>
          </w:tcPr>
          <w:p w14:paraId="69DB9015">
            <w:pPr>
              <w:pStyle w:val="9"/>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851" w:type="dxa"/>
            <w:tcBorders>
              <w:top w:val="double" w:color="auto" w:sz="6" w:space="0"/>
              <w:bottom w:val="single" w:color="auto" w:sz="6" w:space="0"/>
            </w:tcBorders>
          </w:tcPr>
          <w:p w14:paraId="3D942C72">
            <w:pPr>
              <w:pStyle w:val="9"/>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774" w:type="dxa"/>
            <w:tcBorders>
              <w:top w:val="double" w:color="auto" w:sz="6" w:space="0"/>
              <w:bottom w:val="single" w:color="auto" w:sz="6" w:space="0"/>
            </w:tcBorders>
          </w:tcPr>
          <w:p w14:paraId="17C891E3">
            <w:pPr>
              <w:pStyle w:val="9"/>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352" w:type="dxa"/>
            <w:tcBorders>
              <w:top w:val="double" w:color="auto" w:sz="6" w:space="0"/>
              <w:bottom w:val="single" w:color="auto" w:sz="6" w:space="0"/>
            </w:tcBorders>
          </w:tcPr>
          <w:p w14:paraId="03A9D534">
            <w:pPr>
              <w:pStyle w:val="9"/>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418" w:type="dxa"/>
            <w:tcBorders>
              <w:top w:val="double" w:color="auto" w:sz="6" w:space="0"/>
              <w:bottom w:val="single" w:color="auto" w:sz="6" w:space="0"/>
            </w:tcBorders>
          </w:tcPr>
          <w:p w14:paraId="2A6332A7">
            <w:pPr>
              <w:pStyle w:val="9"/>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701" w:type="dxa"/>
            <w:tcBorders>
              <w:top w:val="double" w:color="auto" w:sz="6" w:space="0"/>
              <w:bottom w:val="single" w:color="auto" w:sz="6" w:space="0"/>
            </w:tcBorders>
          </w:tcPr>
          <w:p w14:paraId="5A0F0A36">
            <w:pPr>
              <w:pStyle w:val="9"/>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r>
      <w:tr w14:paraId="0FF1F5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Borders>
              <w:top w:val="nil"/>
            </w:tcBorders>
          </w:tcPr>
          <w:p w14:paraId="53E3B6B1">
            <w:pPr>
              <w:pStyle w:val="9"/>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984" w:type="dxa"/>
            <w:tcBorders>
              <w:top w:val="nil"/>
            </w:tcBorders>
          </w:tcPr>
          <w:p w14:paraId="5521AC73">
            <w:pPr>
              <w:pStyle w:val="9"/>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851" w:type="dxa"/>
            <w:tcBorders>
              <w:top w:val="nil"/>
            </w:tcBorders>
          </w:tcPr>
          <w:p w14:paraId="2667E765">
            <w:pPr>
              <w:pStyle w:val="9"/>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774" w:type="dxa"/>
            <w:tcBorders>
              <w:top w:val="nil"/>
            </w:tcBorders>
          </w:tcPr>
          <w:p w14:paraId="2F7A5FE7">
            <w:pPr>
              <w:pStyle w:val="9"/>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352" w:type="dxa"/>
            <w:tcBorders>
              <w:top w:val="nil"/>
            </w:tcBorders>
          </w:tcPr>
          <w:p w14:paraId="41DE81FC">
            <w:pPr>
              <w:pStyle w:val="9"/>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418" w:type="dxa"/>
            <w:tcBorders>
              <w:top w:val="nil"/>
            </w:tcBorders>
          </w:tcPr>
          <w:p w14:paraId="768847AB">
            <w:pPr>
              <w:pStyle w:val="9"/>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701" w:type="dxa"/>
            <w:tcBorders>
              <w:top w:val="nil"/>
            </w:tcBorders>
          </w:tcPr>
          <w:p w14:paraId="0D27158F">
            <w:pPr>
              <w:pStyle w:val="9"/>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r>
      <w:tr w14:paraId="43A68F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c>
          <w:tcPr>
            <w:tcW w:w="993" w:type="dxa"/>
          </w:tcPr>
          <w:p w14:paraId="03232916">
            <w:pPr>
              <w:pStyle w:val="9"/>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984" w:type="dxa"/>
          </w:tcPr>
          <w:p w14:paraId="5E67DC5E">
            <w:pPr>
              <w:pStyle w:val="9"/>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851" w:type="dxa"/>
          </w:tcPr>
          <w:p w14:paraId="721D8FA3">
            <w:pPr>
              <w:pStyle w:val="9"/>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774" w:type="dxa"/>
          </w:tcPr>
          <w:p w14:paraId="5D83CA82">
            <w:pPr>
              <w:pStyle w:val="9"/>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352" w:type="dxa"/>
          </w:tcPr>
          <w:p w14:paraId="41F1D98B">
            <w:pPr>
              <w:pStyle w:val="9"/>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418" w:type="dxa"/>
          </w:tcPr>
          <w:p w14:paraId="43A5595E">
            <w:pPr>
              <w:pStyle w:val="9"/>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c>
          <w:tcPr>
            <w:tcW w:w="1701" w:type="dxa"/>
          </w:tcPr>
          <w:p w14:paraId="2D88368A">
            <w:pPr>
              <w:pStyle w:val="9"/>
              <w:keepNext/>
              <w:spacing w:line="360" w:lineRule="auto"/>
              <w:ind w:left="63" w:right="63"/>
              <w:rPr>
                <w:rFonts w:ascii="宋体" w:hAnsi="宋体" w:cs="宋体"/>
                <w:color w:val="000000" w:themeColor="text1"/>
                <w:sz w:val="21"/>
                <w:szCs w:val="21"/>
                <w:highlight w:val="none"/>
                <w14:textFill>
                  <w14:solidFill>
                    <w14:schemeClr w14:val="tx1"/>
                  </w14:solidFill>
                </w14:textFill>
              </w:rPr>
            </w:pPr>
          </w:p>
        </w:tc>
      </w:tr>
    </w:tbl>
    <w:p w14:paraId="7EF1CEC0">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br w:type="page"/>
      </w:r>
    </w:p>
    <w:p w14:paraId="34B9691A">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附件</w:t>
      </w:r>
      <w:r>
        <w:rPr>
          <w:rFonts w:hint="eastAsia" w:ascii="宋体" w:hAnsi="宋体"/>
          <w:color w:val="000000" w:themeColor="text1"/>
          <w:szCs w:val="21"/>
          <w:highlight w:val="none"/>
          <w:lang w:val="en-US" w:eastAsia="zh-CN"/>
          <w14:textFill>
            <w14:solidFill>
              <w14:schemeClr w14:val="tx1"/>
            </w14:solidFill>
          </w14:textFill>
        </w:rPr>
        <w:t>7</w:t>
      </w:r>
      <w:r>
        <w:rPr>
          <w:rFonts w:ascii="宋体" w:hAnsi="宋体"/>
          <w:color w:val="000000" w:themeColor="text1"/>
          <w:szCs w:val="21"/>
          <w:highlight w:val="none"/>
          <w14:textFill>
            <w14:solidFill>
              <w14:schemeClr w14:val="tx1"/>
            </w14:solidFill>
          </w14:textFill>
        </w:rPr>
        <w:t xml:space="preserve">： </w:t>
      </w:r>
    </w:p>
    <w:p w14:paraId="4E820ED7">
      <w:pPr>
        <w:spacing w:line="360" w:lineRule="auto"/>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廉</w:t>
      </w:r>
      <w:r>
        <w:rPr>
          <w:rFonts w:ascii="宋体" w:hAnsi="宋体"/>
          <w:color w:val="000000" w:themeColor="text1"/>
          <w:szCs w:val="21"/>
          <w:highlight w:val="none"/>
          <w14:textFill>
            <w14:solidFill>
              <w14:schemeClr w14:val="tx1"/>
            </w14:solidFill>
          </w14:textFill>
        </w:rPr>
        <w:t xml:space="preserve"> 政 协 议 书</w:t>
      </w:r>
    </w:p>
    <w:p w14:paraId="6FA5484F">
      <w:pPr>
        <w:spacing w:line="360" w:lineRule="auto"/>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为了贯彻落实党中央国务院《关于实现党风廉政建设责任制的规定》和江苏省、南京市有关工程建设、廉政建设的法律法规，加强工程建设中的党风廉政建设，保证中国药科大学基本建设和专项维修项目优质、高效、健康、有序地进行，中国药科大学作为建设单位（以下称甲方）,与承担</w:t>
      </w:r>
      <w:r>
        <w:rPr>
          <w:rFonts w:hint="eastAsia" w:ascii="宋体" w:hAnsi="宋体"/>
          <w:color w:val="000000" w:themeColor="text1"/>
          <w:szCs w:val="21"/>
          <w:highlight w:val="none"/>
          <w:u w:val="single"/>
          <w:lang w:eastAsia="zh-CN"/>
          <w14:textFill>
            <w14:solidFill>
              <w14:schemeClr w14:val="tx1"/>
            </w14:solidFill>
          </w14:textFill>
        </w:rPr>
        <w:t>中国药科大学玄武门校区学生宿舍浴室改造项目</w:t>
      </w:r>
      <w:r>
        <w:rPr>
          <w:rFonts w:hint="eastAsia" w:ascii="宋体" w:hAnsi="宋体"/>
          <w:color w:val="000000" w:themeColor="text1"/>
          <w:szCs w:val="21"/>
          <w:highlight w:val="none"/>
          <w14:textFill>
            <w14:solidFill>
              <w14:schemeClr w14:val="tx1"/>
            </w14:solidFill>
          </w14:textFill>
        </w:rPr>
        <w:t>工程的施工单位</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（以下称乙方）特订立如下廉政协议书。</w:t>
      </w:r>
    </w:p>
    <w:p w14:paraId="332E69D0">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第一条、甲乙双方约定</w:t>
      </w:r>
    </w:p>
    <w:p w14:paraId="7B0ECA7A">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l、甲乙双方应共同遵守国家和省、市以及行业主管部门关于加强工程建设管理及党风廉政建设的各项规定。</w:t>
      </w:r>
    </w:p>
    <w:p w14:paraId="1D723B4E">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2、甲乙双方应认真执行建设工程的合同文件,自觉按合同办事。</w:t>
      </w:r>
    </w:p>
    <w:p w14:paraId="50C417EA">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3、除法律认定的商业秘密和合同文件另有规定之外,甲乙双方的业务活动应坚持公开、公正、透明的原则,严禁损害国家和甲乙双方集体利益、违反工程建设管理规章制度的不正当交易。</w:t>
      </w:r>
    </w:p>
    <w:p w14:paraId="1DA31868">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4、甲乙双方应加强对本工程建设参加人员的廉政监督,建立和健全廉政制度,认真查处本方人员的违法违纪行为。</w:t>
      </w:r>
    </w:p>
    <w:p w14:paraId="0D29EFFB">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5、甲乙双方有对本方人员开展廉政告知、廉政教育和职业道德教育的义务。</w:t>
      </w:r>
    </w:p>
    <w:p w14:paraId="03854529">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6、甲乙双方如发现对方在业务活动中有不廉洁行为,有及时提醒对方并督促其纠正的权利和义务。</w:t>
      </w:r>
    </w:p>
    <w:p w14:paraId="16394175">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第二条、甲方在廉政建设方面的责任</w:t>
      </w:r>
    </w:p>
    <w:p w14:paraId="3BFDB8E6">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1、甲方及其工作人员不得以任何形式向乙方索要和收受回扣。</w:t>
      </w:r>
    </w:p>
    <w:p w14:paraId="34A7CA10">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2、甲方及其工作人员不得接受乙方的礼金、有价证券和贵重物品,不得在乙方报销任何应由个人支付的费用。</w:t>
      </w:r>
    </w:p>
    <w:p w14:paraId="2D7E6CDF">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3、甲方工作人员不得参加可能对公正执行公务有影响的宴请、娱乐、休闲、旅游等活动。</w:t>
      </w:r>
    </w:p>
    <w:p w14:paraId="57149BC1">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4、甲方及其工作人员不得要求或者接受乙方为其住房装修、婚丧嫁娶、家属子女的工作安排以及出国、出境等提供方便。</w:t>
      </w:r>
    </w:p>
    <w:p w14:paraId="31FC4C6E">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5、甲方及其工作人员不得向乙方介绍家属、亲友从事与甲方工程有关的材料设备供应、工程分包等经济活动。</w:t>
      </w:r>
    </w:p>
    <w:p w14:paraId="04A5E39C">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6、甲方工作人员不得在家里接待乙方有关工程事项的询访。</w:t>
      </w:r>
    </w:p>
    <w:p w14:paraId="27B62867">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第三条、乙方在廉政建设方面的责任</w:t>
      </w:r>
    </w:p>
    <w:p w14:paraId="6676979E">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1、乙方不得以任何理由向甲方及其工作人员赠送礼金、有价证券和贵重物品等。</w:t>
      </w:r>
    </w:p>
    <w:p w14:paraId="1DE986C6">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2、乙方不得以任何名义为甲方及其工作人员报支应由个人支付的任何费用。</w:t>
      </w:r>
    </w:p>
    <w:p w14:paraId="5C1F4103">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3、乙方不得以任何理由邀请甲方工作人员参加宴请、娱乐、休闲、旅游等活动。</w:t>
      </w:r>
    </w:p>
    <w:p w14:paraId="176E76B8">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4、乙方不得为甲方单位和个人购置或提供通讯工具、交通工具、家电和高档办公用品或者为通讯工具充值。</w:t>
      </w:r>
    </w:p>
    <w:p w14:paraId="14CD0AE9">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5、乙方人员不得到甲方人员家里询访有关工程建设事项。</w:t>
      </w:r>
    </w:p>
    <w:p w14:paraId="45426C2D">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第四条、违约责任</w:t>
      </w:r>
    </w:p>
    <w:p w14:paraId="34ABB560">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1、甲方及其工作人员有违反本廉政协议书第一条和第二条的,按甲方单位的廉政建设规定处罚，同时汇报检察机关。</w:t>
      </w:r>
    </w:p>
    <w:p w14:paraId="673129DF">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2、乙方有违反本廉政协议书第一条和第三条的,除通过上级纪检监察机关按乙方单位的廉政建设规定处罚外,视情节轻重和造成损失大小依照相关法律、法规追究相关责任，且在3年内不得参加中国药科大学建设项目投标活动。</w:t>
      </w:r>
    </w:p>
    <w:p w14:paraId="7352E3D4">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第五条、中国药科大学廉政监督部门为中国药科大学纪检监察室，如出现廉政问题，由监督部门按相关法律法规进行处理。</w:t>
      </w:r>
    </w:p>
    <w:p w14:paraId="24F85404">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第六条、本廉政协议书有效期为从甲乙双方签署之日起,到该工程项目竣工验收后止。</w:t>
      </w:r>
    </w:p>
    <w:p w14:paraId="1BF4F13A">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第七条、本廉政协议书作为工程合同的附件,与工程承包合同具有同等的法律效力,经协议双方签署后立即生效。</w:t>
      </w:r>
    </w:p>
    <w:p w14:paraId="0AC18BDC">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本协议书未尽事宜，参照国家相关法律规定及《中国药科大学基本建设和专项维修项目廉政建设管理细则》等。</w:t>
      </w:r>
    </w:p>
    <w:p w14:paraId="63D9DE61">
      <w:pPr>
        <w:tabs>
          <w:tab w:val="left" w:pos="4515"/>
        </w:tabs>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甲方单位：（盖章）            乙方单位：（盖章）</w:t>
      </w:r>
    </w:p>
    <w:p w14:paraId="53F0EDB1">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法定代表人：                  法定代表人：</w:t>
      </w:r>
    </w:p>
    <w:p w14:paraId="5FA05B8E">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地址：                        地址：</w:t>
      </w:r>
    </w:p>
    <w:p w14:paraId="3228C064">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电话：                        电话：</w:t>
      </w:r>
    </w:p>
    <w:p w14:paraId="6BB16C7C">
      <w:pPr>
        <w:spacing w:line="360" w:lineRule="auto"/>
        <w:rPr>
          <w:rFonts w:ascii="宋体" w:hAnsi="宋体" w:cs="方正仿宋_GBK"/>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签约日期：   年  月  日       签约日期：  年  月   日</w:t>
      </w:r>
      <w:r>
        <w:rPr>
          <w:rFonts w:hint="eastAsia" w:ascii="宋体" w:hAnsi="宋体" w:cs="方正仿宋_GBK"/>
          <w:color w:val="000000" w:themeColor="text1"/>
          <w:szCs w:val="21"/>
          <w:highlight w:val="none"/>
          <w14:textFill>
            <w14:solidFill>
              <w14:schemeClr w14:val="tx1"/>
            </w14:solidFill>
          </w14:textFill>
        </w:rPr>
        <w:t xml:space="preserve"> </w:t>
      </w:r>
    </w:p>
    <w:p w14:paraId="3D90EB3C">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br w:type="page"/>
      </w:r>
    </w:p>
    <w:p w14:paraId="265083FD">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附件</w:t>
      </w:r>
      <w:r>
        <w:rPr>
          <w:rFonts w:hint="eastAsia" w:ascii="宋体" w:hAnsi="宋体"/>
          <w:color w:val="000000" w:themeColor="text1"/>
          <w:szCs w:val="21"/>
          <w:highlight w:val="none"/>
          <w:lang w:val="en-US" w:eastAsia="zh-CN"/>
          <w14:textFill>
            <w14:solidFill>
              <w14:schemeClr w14:val="tx1"/>
            </w14:solidFill>
          </w14:textFill>
        </w:rPr>
        <w:t>8</w:t>
      </w:r>
      <w:r>
        <w:rPr>
          <w:rFonts w:hint="eastAsia" w:ascii="宋体" w:hAnsi="宋体"/>
          <w:color w:val="000000" w:themeColor="text1"/>
          <w:szCs w:val="21"/>
          <w:highlight w:val="none"/>
          <w14:textFill>
            <w14:solidFill>
              <w14:schemeClr w14:val="tx1"/>
            </w14:solidFill>
          </w14:textFill>
        </w:rPr>
        <w:t>：</w:t>
      </w:r>
    </w:p>
    <w:p w14:paraId="08BC901F">
      <w:pPr>
        <w:spacing w:line="360" w:lineRule="auto"/>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中国药科大学校内工程施工安全生产责任承诺书</w:t>
      </w:r>
    </w:p>
    <w:p w14:paraId="61BD0196">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为认真贯彻</w:t>
      </w:r>
      <w:r>
        <w:rPr>
          <w:rFonts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安全第一、预防为主</w:t>
      </w:r>
      <w:r>
        <w:rPr>
          <w:rFonts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的方针，确保施工生产的安全，按规定搞好安全防护措施，把安全施工落到实处，在各种经济承包中必须包括安全生产，做到讲效益必须讲安全，抓施工必须抓安全。因此，施工单位对本工程项目施工安全生产做出如下承诺：</w:t>
      </w:r>
    </w:p>
    <w:p w14:paraId="50E3D6A2">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1</w:t>
      </w:r>
      <w:r>
        <w:rPr>
          <w:rFonts w:hint="eastAsia" w:ascii="宋体" w:hAnsi="宋体"/>
          <w:color w:val="000000" w:themeColor="text1"/>
          <w:szCs w:val="21"/>
          <w:highlight w:val="none"/>
          <w14:textFill>
            <w14:solidFill>
              <w14:schemeClr w14:val="tx1"/>
            </w14:solidFill>
          </w14:textFill>
        </w:rPr>
        <w:t>、严格安全管理，认真组织落实施工方案中的施工安全技术措施，现场有安全标志、色标、警示牌，做到文明施工。</w:t>
      </w:r>
    </w:p>
    <w:p w14:paraId="3CCF495A">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2</w:t>
      </w:r>
      <w:r>
        <w:rPr>
          <w:rFonts w:hint="eastAsia" w:ascii="宋体" w:hAnsi="宋体"/>
          <w:color w:val="000000" w:themeColor="text1"/>
          <w:szCs w:val="21"/>
          <w:highlight w:val="none"/>
          <w14:textFill>
            <w14:solidFill>
              <w14:schemeClr w14:val="tx1"/>
            </w14:solidFill>
          </w14:textFill>
        </w:rPr>
        <w:t>、领导所属班组定期召开安全工作例会，认真开展每周一次安全日活动，对照施工安全检查表，经常检查生产现场的安全管理，认真查出事故隐患，制定各种安全技术措施，确保施工全过程的安全生产。</w:t>
      </w:r>
    </w:p>
    <w:p w14:paraId="72C2C969">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3</w:t>
      </w:r>
      <w:r>
        <w:rPr>
          <w:rFonts w:hint="eastAsia" w:ascii="宋体" w:hAnsi="宋体"/>
          <w:color w:val="000000" w:themeColor="text1"/>
          <w:szCs w:val="21"/>
          <w:highlight w:val="none"/>
          <w14:textFill>
            <w14:solidFill>
              <w14:schemeClr w14:val="tx1"/>
            </w14:solidFill>
          </w14:textFill>
        </w:rPr>
        <w:t>、组织学习安全操作规程，并检查执行情况，对新工人必须进行安全教育，特别是劳动用工的管理和教育，教育工人遵章守纪和正确使用安全防范设施和防护用品，负责检查特殊作业人员是否有持证上岗。</w:t>
      </w:r>
    </w:p>
    <w:p w14:paraId="504B21AA">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4</w:t>
      </w:r>
      <w:r>
        <w:rPr>
          <w:rFonts w:hint="eastAsia" w:ascii="宋体" w:hAnsi="宋体"/>
          <w:color w:val="000000" w:themeColor="text1"/>
          <w:szCs w:val="21"/>
          <w:highlight w:val="none"/>
          <w14:textFill>
            <w14:solidFill>
              <w14:schemeClr w14:val="tx1"/>
            </w14:solidFill>
          </w14:textFill>
        </w:rPr>
        <w:t>、督促指导班组严格按工艺规程和安全操作，制止违章指挥和冒险作业的行为。</w:t>
      </w:r>
    </w:p>
    <w:p w14:paraId="0F9C3BAE">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5</w:t>
      </w:r>
      <w:r>
        <w:rPr>
          <w:rFonts w:hint="eastAsia" w:ascii="宋体" w:hAnsi="宋体"/>
          <w:color w:val="000000" w:themeColor="text1"/>
          <w:szCs w:val="21"/>
          <w:highlight w:val="none"/>
          <w14:textFill>
            <w14:solidFill>
              <w14:schemeClr w14:val="tx1"/>
            </w14:solidFill>
          </w14:textFill>
        </w:rPr>
        <w:t>、对现场搭设的</w:t>
      </w:r>
      <w:r>
        <w:rPr>
          <w:rFonts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二架一网</w:t>
      </w:r>
      <w:r>
        <w:rPr>
          <w:rFonts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及安装的大型机械、电器设备（配合机管员）等安全防护装置，必须有技术交底的验收手续，方能使用。</w:t>
      </w:r>
    </w:p>
    <w:p w14:paraId="734AA10F">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6</w:t>
      </w:r>
      <w:r>
        <w:rPr>
          <w:rFonts w:hint="eastAsia" w:ascii="宋体" w:hAnsi="宋体"/>
          <w:color w:val="000000" w:themeColor="text1"/>
          <w:szCs w:val="21"/>
          <w:highlight w:val="none"/>
          <w14:textFill>
            <w14:solidFill>
              <w14:schemeClr w14:val="tx1"/>
            </w14:solidFill>
          </w14:textFill>
        </w:rPr>
        <w:t>、对工地安全隐患，由中国药科大学保卫处所发出隐患通知书必须签字，并按通知限期整改。</w:t>
      </w:r>
    </w:p>
    <w:p w14:paraId="7E327B39">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7</w:t>
      </w:r>
      <w:r>
        <w:rPr>
          <w:rFonts w:hint="eastAsia" w:ascii="宋体" w:hAnsi="宋体"/>
          <w:color w:val="000000" w:themeColor="text1"/>
          <w:szCs w:val="21"/>
          <w:highlight w:val="none"/>
          <w14:textFill>
            <w14:solidFill>
              <w14:schemeClr w14:val="tx1"/>
            </w14:solidFill>
          </w14:textFill>
        </w:rPr>
        <w:t>、施工中发生工伤事故，尤其重大伤亡事故、重大未遂事故，后果由乙方负责。</w:t>
      </w:r>
    </w:p>
    <w:p w14:paraId="16A2186F">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8</w:t>
      </w:r>
      <w:r>
        <w:rPr>
          <w:rFonts w:hint="eastAsia" w:ascii="宋体" w:hAnsi="宋体"/>
          <w:color w:val="000000" w:themeColor="text1"/>
          <w:szCs w:val="21"/>
          <w:highlight w:val="none"/>
          <w14:textFill>
            <w14:solidFill>
              <w14:schemeClr w14:val="tx1"/>
            </w14:solidFill>
          </w14:textFill>
        </w:rPr>
        <w:t>、工地建立岗位责任制和防火措施，督促有关人员做好施工安全各项技术资料保存。</w:t>
      </w:r>
    </w:p>
    <w:p w14:paraId="6EE39977">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9</w:t>
      </w:r>
      <w:r>
        <w:rPr>
          <w:rFonts w:hint="eastAsia" w:ascii="宋体" w:hAnsi="宋体"/>
          <w:color w:val="000000" w:themeColor="text1"/>
          <w:szCs w:val="21"/>
          <w:highlight w:val="none"/>
          <w14:textFill>
            <w14:solidFill>
              <w14:schemeClr w14:val="tx1"/>
            </w14:solidFill>
          </w14:textFill>
        </w:rPr>
        <w:t>、按中国药科大学要求做好全体人员登记，并把人员登记册送交保卫处。</w:t>
      </w:r>
    </w:p>
    <w:p w14:paraId="3422D0E8">
      <w:pPr>
        <w:spacing w:line="360" w:lineRule="auto"/>
        <w:ind w:firstLine="420" w:firstLineChars="2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10</w:t>
      </w:r>
      <w:r>
        <w:rPr>
          <w:rFonts w:hint="eastAsia" w:ascii="宋体" w:hAnsi="宋体"/>
          <w:color w:val="000000" w:themeColor="text1"/>
          <w:szCs w:val="21"/>
          <w:highlight w:val="none"/>
          <w14:textFill>
            <w14:solidFill>
              <w14:schemeClr w14:val="tx1"/>
            </w14:solidFill>
          </w14:textFill>
        </w:rPr>
        <w:t>、所有施工单位及人员必须遵守中国药科大学各项管理规定。</w:t>
      </w:r>
    </w:p>
    <w:p w14:paraId="5A7D38DF">
      <w:pPr>
        <w:spacing w:line="360" w:lineRule="auto"/>
        <w:rPr>
          <w:rFonts w:ascii="宋体" w:hAnsi="宋体"/>
          <w:color w:val="000000" w:themeColor="text1"/>
          <w:szCs w:val="21"/>
          <w:highlight w:val="none"/>
          <w14:textFill>
            <w14:solidFill>
              <w14:schemeClr w14:val="tx1"/>
            </w14:solidFill>
          </w14:textFill>
        </w:rPr>
      </w:pPr>
    </w:p>
    <w:p w14:paraId="0A61E0E7">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承诺单位：（公章）</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p>
    <w:p w14:paraId="4E15B32E">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承诺单位负责人：</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p>
    <w:p w14:paraId="3BE46DC1">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年</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月    日</w:t>
      </w:r>
    </w:p>
    <w:p w14:paraId="3E5B7F76">
      <w:pPr>
        <w:spacing w:line="360" w:lineRule="auto"/>
        <w:rPr>
          <w:rFonts w:ascii="宋体" w:hAnsi="宋体"/>
          <w:color w:val="000000" w:themeColor="text1"/>
          <w:szCs w:val="21"/>
          <w:highlight w:val="none"/>
          <w14:textFill>
            <w14:solidFill>
              <w14:schemeClr w14:val="tx1"/>
            </w14:solidFill>
          </w14:textFill>
        </w:rPr>
      </w:pPr>
    </w:p>
    <w:p w14:paraId="335A26C2">
      <w:pP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br w:type="page"/>
      </w:r>
    </w:p>
    <w:p w14:paraId="47761941">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附件</w:t>
      </w:r>
      <w:r>
        <w:rPr>
          <w:rFonts w:hint="eastAsia" w:ascii="宋体" w:hAnsi="宋体"/>
          <w:color w:val="000000" w:themeColor="text1"/>
          <w:szCs w:val="21"/>
          <w:highlight w:val="none"/>
          <w:lang w:val="en-US" w:eastAsia="zh-CN"/>
          <w14:textFill>
            <w14:solidFill>
              <w14:schemeClr w14:val="tx1"/>
            </w14:solidFill>
          </w14:textFill>
        </w:rPr>
        <w:t>9</w:t>
      </w:r>
      <w:r>
        <w:rPr>
          <w:rFonts w:hint="eastAsia" w:ascii="宋体" w:hAnsi="宋体"/>
          <w:color w:val="000000" w:themeColor="text1"/>
          <w:szCs w:val="21"/>
          <w:highlight w:val="none"/>
          <w14:textFill>
            <w14:solidFill>
              <w14:schemeClr w14:val="tx1"/>
            </w14:solidFill>
          </w14:textFill>
        </w:rPr>
        <w:t>：</w:t>
      </w:r>
    </w:p>
    <w:p w14:paraId="430E24D6">
      <w:pPr>
        <w:spacing w:line="360" w:lineRule="auto"/>
        <w:jc w:val="center"/>
        <w:rPr>
          <w:rFonts w:ascii="宋体" w:hAnsi="宋体"/>
          <w:color w:val="000000" w:themeColor="text1"/>
          <w:szCs w:val="21"/>
          <w:highlight w:val="none"/>
          <w14:textFill>
            <w14:solidFill>
              <w14:schemeClr w14:val="tx1"/>
            </w14:solidFill>
          </w14:textFill>
        </w:rPr>
      </w:pPr>
      <w:bookmarkStart w:id="639" w:name="_Hlk106268671"/>
      <w:r>
        <w:rPr>
          <w:rFonts w:hint="eastAsia" w:ascii="宋体" w:hAnsi="宋体"/>
          <w:color w:val="000000" w:themeColor="text1"/>
          <w:szCs w:val="21"/>
          <w:highlight w:val="none"/>
          <w14:textFill>
            <w14:solidFill>
              <w14:schemeClr w14:val="tx1"/>
            </w14:solidFill>
          </w14:textFill>
        </w:rPr>
        <w:t>安全生产责任承诺书</w:t>
      </w:r>
    </w:p>
    <w:bookmarkEnd w:id="639"/>
    <w:p w14:paraId="5C51004C">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中国药科大学：</w:t>
      </w:r>
    </w:p>
    <w:p w14:paraId="1A85C834">
      <w:pPr>
        <w:spacing w:line="360" w:lineRule="auto"/>
        <w:ind w:firstLine="525" w:firstLineChars="25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我</w:t>
      </w:r>
      <w:r>
        <w:rPr>
          <w:rFonts w:hint="eastAsia" w:ascii="宋体" w:hAnsi="宋体"/>
          <w:color w:val="000000" w:themeColor="text1"/>
          <w:szCs w:val="21"/>
          <w:highlight w:val="none"/>
          <w:u w:val="single" w:color="000000"/>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color="000000"/>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在</w:t>
      </w:r>
      <w:r>
        <w:rPr>
          <w:rFonts w:hint="eastAsia" w:ascii="宋体" w:hAnsi="宋体"/>
          <w:color w:val="000000" w:themeColor="text1"/>
          <w:szCs w:val="21"/>
          <w:highlight w:val="none"/>
          <w:u w:val="single"/>
          <w:lang w:eastAsia="zh-CN"/>
          <w14:textFill>
            <w14:solidFill>
              <w14:schemeClr w14:val="tx1"/>
            </w14:solidFill>
          </w14:textFill>
        </w:rPr>
        <w:t>中国药科大学玄武门校区学生宿舍浴室改造项目</w:t>
      </w:r>
      <w:r>
        <w:rPr>
          <w:rFonts w:ascii="宋体" w:hAnsi="宋体"/>
          <w:color w:val="000000" w:themeColor="text1"/>
          <w:szCs w:val="21"/>
          <w:highlight w:val="none"/>
          <w14:textFill>
            <w14:solidFill>
              <w14:schemeClr w14:val="tx1"/>
            </w14:solidFill>
          </w14:textFill>
        </w:rPr>
        <w:t>中有幸中标，保证不发生重大人员伤亡事故，在此工程</w:t>
      </w:r>
      <w:r>
        <w:rPr>
          <w:rFonts w:hint="eastAsia" w:ascii="宋体" w:hAnsi="宋体"/>
          <w:color w:val="000000" w:themeColor="text1"/>
          <w:szCs w:val="21"/>
          <w:highlight w:val="none"/>
          <w14:textFill>
            <w14:solidFill>
              <w14:schemeClr w14:val="tx1"/>
            </w14:solidFill>
          </w14:textFill>
        </w:rPr>
        <w:t>施工过程中所发生的一切工伤事故或安全事故，均由我公司承担一切责任。</w:t>
      </w:r>
    </w:p>
    <w:p w14:paraId="170FF8FA">
      <w:pPr>
        <w:spacing w:line="360" w:lineRule="auto"/>
        <w:ind w:firstLine="1050" w:firstLineChars="5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承诺单位（公章）：            </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     </w:t>
      </w:r>
    </w:p>
    <w:p w14:paraId="73997086">
      <w:pPr>
        <w:spacing w:line="360" w:lineRule="auto"/>
        <w:ind w:firstLine="1050" w:firstLineChars="50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                      法定代表人（签字或盖章）：             </w:t>
      </w:r>
    </w:p>
    <w:p w14:paraId="3727B55D">
      <w:pPr>
        <w:spacing w:line="360" w:lineRule="auto"/>
        <w:ind w:firstLine="3360" w:firstLineChars="160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日期：</w:t>
      </w:r>
    </w:p>
    <w:p w14:paraId="65699665">
      <w:pPr>
        <w:pageBreakBefore/>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附件1</w:t>
      </w:r>
      <w:r>
        <w:rPr>
          <w:rFonts w:hint="eastAsia" w:ascii="宋体" w:hAnsi="宋体"/>
          <w:color w:val="000000" w:themeColor="text1"/>
          <w:szCs w:val="21"/>
          <w:highlight w:val="none"/>
          <w:lang w:val="en-US" w:eastAsia="zh-CN"/>
          <w14:textFill>
            <w14:solidFill>
              <w14:schemeClr w14:val="tx1"/>
            </w14:solidFill>
          </w14:textFill>
        </w:rPr>
        <w:t>0</w:t>
      </w:r>
      <w:r>
        <w:rPr>
          <w:rFonts w:hint="eastAsia" w:ascii="宋体" w:hAnsi="宋体"/>
          <w:color w:val="000000" w:themeColor="text1"/>
          <w:szCs w:val="21"/>
          <w:highlight w:val="none"/>
          <w14:textFill>
            <w14:solidFill>
              <w14:schemeClr w14:val="tx1"/>
            </w14:solidFill>
          </w14:textFill>
        </w:rPr>
        <w:t>：</w:t>
      </w:r>
    </w:p>
    <w:p w14:paraId="79C22253">
      <w:pPr>
        <w:spacing w:line="360" w:lineRule="auto"/>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中国药科大学校内工程文明施工承诺书</w:t>
      </w:r>
    </w:p>
    <w:p w14:paraId="220EF05A">
      <w:pPr>
        <w:pStyle w:val="84"/>
        <w:spacing w:after="120"/>
        <w:ind w:firstLine="600"/>
        <w:jc w:val="left"/>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一、施工单位必须做到文明施工，并制定完善的安全管理制度。开工前，必须到学校保卫处办理人员等相关登记手续，并加强对所属人员的教育和管理，要求所属人员做到言谈文明、举止得体，施工人员的活动范围只局限在施工区域，避免发生影响学校教学、科研、生活正常秩序的问题，否则公司要负相关责任。 </w:t>
      </w:r>
    </w:p>
    <w:p w14:paraId="519613AF">
      <w:pPr>
        <w:pStyle w:val="84"/>
        <w:spacing w:after="120"/>
        <w:ind w:firstLine="600"/>
        <w:jc w:val="left"/>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二、在施工过程中应注意对树木、花草、绿篱、房舍、校内路面等校园内一切公共设施的保护。如有损坏，必须按有关规定予以恢复，并处以1000 —5000 元的违约金，并责令其恢复。 </w:t>
      </w:r>
    </w:p>
    <w:p w14:paraId="7704E66B">
      <w:pPr>
        <w:pStyle w:val="84"/>
        <w:spacing w:after="120"/>
        <w:ind w:firstLine="600"/>
        <w:jc w:val="left"/>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三、在施工期间，应在施工现场显著位置设立安全警告牌，并确保警告牌的整洁、醒目。未按此项要求进行操作的，相关管理部门要责令其停工并限期整改，如不改正则令其停止施工，由此产生的工期延误和经济损失由施工单位承担，整改后经检查确定符合要求后方可继续施工。 </w:t>
      </w:r>
    </w:p>
    <w:p w14:paraId="058C7F06">
      <w:pPr>
        <w:pStyle w:val="84"/>
        <w:spacing w:after="120"/>
        <w:ind w:firstLine="600"/>
        <w:jc w:val="left"/>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四、施工单位在校内施工必须严格遵守学校的各项管理规定。未经基建后勤处批准或相关协管部门同意严禁破路施工，严禁在道路上堆放施工材料、施工机械及在路面搅拌混凝土。特殊情况下，需征得基建后勤处及相关协管部门同意，需要临时占用道路的，不得影响正常交通并将建筑材料或物品在指定地点堆放整齐。 </w:t>
      </w:r>
    </w:p>
    <w:p w14:paraId="10D4BDDA">
      <w:pPr>
        <w:pStyle w:val="84"/>
        <w:spacing w:after="120"/>
        <w:ind w:firstLine="600"/>
        <w:jc w:val="left"/>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五、工程中需对现实状况改动的，改动方案必须提前报基建后勤处及相关协管部门审定同意。未经同意，擅自施工的，责令其停止施工，并处以 1000 元以上的违约金，此产生的工期延误和经济损失由施工单位承担。 </w:t>
      </w:r>
    </w:p>
    <w:p w14:paraId="2C2E5D63">
      <w:pPr>
        <w:pStyle w:val="84"/>
        <w:spacing w:after="120"/>
        <w:ind w:firstLine="600"/>
        <w:jc w:val="left"/>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六、施工单位在校园内施工期间要自觉维护校内各种建筑和公共设施，未经允许不准移动或占用。确因需要占用校园的球场、道路、建筑物周围及楼道、走廊等公用场地及相关设施，必须到基建后勤处及相关协管部门办理批准手续。否则，将责令其限期整改，并处以1000 — 5000元的违约金。如不改正则令其停止施工，由此产生的工期延误和经济损失由施工单位承担。七、施工产生的建筑垃圾必须外运，不得倾倒在校园内。建筑垃圾原则上要求日产日清，如不能做到的， 则装袋后可暂时堆放在指定区域，并做覆盖处理，不得堆放在绿化带中，不得影响交通和消防通道。建筑垃圾自开始堆放之日起 5日内必须外运。否则每天按1000元违约金处理。在外运过程中，不得散落在校园内，严禁抛洒滴漏。施工结束后 5 日内必须将建筑垃圾等杂物及周围环境清理干净，否则处以1000-5000 元的违约金。如施工垃圾未外运，倾倒在校园内的，一经核实，处以 5000-10000 元的违约金。 </w:t>
      </w:r>
    </w:p>
    <w:p w14:paraId="35D40DBE">
      <w:pPr>
        <w:pStyle w:val="84"/>
        <w:spacing w:after="120"/>
        <w:ind w:firstLine="600"/>
        <w:jc w:val="left"/>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八、校内施工不允许无偿使用水、电。施工使用的水电，须经基建后勤处同意后安装计量表， 且按照使用的数量和施工用水电的价格计量收费，无法安装水电表计量的，按书面约定办法扣除施工水电费。否则责令其停止施工， 并处以 1000 元以上的违约金， 施工过程中由于操作不当导致水、电等设施损坏的，必须及时修复，并承担由此造成的一切损失，如发现私自接拉水电现象，责令恢复，并处以1000-5000元违约金。如不改正则令其停止施工，由此产生的工期延误和经济损失由施工单位承担。 </w:t>
      </w:r>
    </w:p>
    <w:p w14:paraId="1D0FB2F3">
      <w:pPr>
        <w:pStyle w:val="84"/>
        <w:spacing w:after="120"/>
        <w:ind w:firstLine="600"/>
        <w:jc w:val="left"/>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承诺单位： （公章） </w:t>
      </w:r>
    </w:p>
    <w:p w14:paraId="179B2629">
      <w:pPr>
        <w:pStyle w:val="84"/>
        <w:spacing w:after="120"/>
        <w:ind w:firstLine="600"/>
        <w:jc w:val="left"/>
        <w:rPr>
          <w:rFonts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承诺单位法定代表人（签字）：                 </w:t>
      </w:r>
    </w:p>
    <w:p w14:paraId="661E12B3">
      <w:pPr>
        <w:spacing w:line="360" w:lineRule="auto"/>
        <w:ind w:firstLine="420" w:firstLineChars="200"/>
        <w:rPr>
          <w:rFonts w:ascii="宋体" w:hAnsi="宋体" w:cs="仿宋_GB2312"/>
          <w:color w:val="000000" w:themeColor="text1"/>
          <w:szCs w:val="21"/>
          <w:highlight w:val="none"/>
          <w14:textFill>
            <w14:solidFill>
              <w14:schemeClr w14:val="tx1"/>
            </w14:solidFill>
          </w14:textFill>
        </w:rPr>
        <w:sectPr>
          <w:headerReference r:id="rId7" w:type="default"/>
          <w:footerReference r:id="rId8" w:type="default"/>
          <w:pgSz w:w="11906" w:h="16838"/>
          <w:pgMar w:top="850" w:right="850" w:bottom="850" w:left="1417" w:header="850" w:footer="992" w:gutter="0"/>
          <w:paperSrc/>
          <w:cols w:space="0" w:num="1"/>
          <w:rtlGutter w:val="0"/>
          <w:docGrid w:type="lines" w:linePitch="315" w:charSpace="0"/>
        </w:sectPr>
      </w:pPr>
      <w:r>
        <w:rPr>
          <w:rFonts w:hint="eastAsia" w:ascii="宋体" w:hAnsi="宋体" w:cs="仿宋_GB2312"/>
          <w:color w:val="000000" w:themeColor="text1"/>
          <w:szCs w:val="21"/>
          <w:highlight w:val="none"/>
          <w14:textFill>
            <w14:solidFill>
              <w14:schemeClr w14:val="tx1"/>
            </w14:solidFill>
          </w14:textFill>
        </w:rPr>
        <w:t>年   月    日</w:t>
      </w:r>
    </w:p>
    <w:p w14:paraId="5FA225E0">
      <w:pPr>
        <w:rPr>
          <w:color w:val="000000" w:themeColor="text1"/>
          <w:highlight w:val="none"/>
          <w14:textFill>
            <w14:solidFill>
              <w14:schemeClr w14:val="tx1"/>
            </w14:solidFill>
          </w14:textFill>
        </w:rPr>
      </w:pPr>
    </w:p>
    <w:p w14:paraId="11D53C2C">
      <w:pPr>
        <w:shd w:val="clear"/>
        <w:rPr>
          <w:rFonts w:eastAsia="黑体"/>
          <w:bCs/>
          <w:color w:val="000000" w:themeColor="text1"/>
          <w:sz w:val="36"/>
          <w:szCs w:val="36"/>
          <w:highlight w:val="none"/>
          <w14:textFill>
            <w14:solidFill>
              <w14:schemeClr w14:val="tx1"/>
            </w14:solidFill>
          </w14:textFill>
        </w:rPr>
      </w:pPr>
    </w:p>
    <w:bookmarkEnd w:id="88"/>
    <w:p w14:paraId="7C5EE8F6">
      <w:pPr>
        <w:shd w:val="clear"/>
        <w:jc w:val="center"/>
        <w:outlineLvl w:val="0"/>
        <w:rPr>
          <w:rFonts w:ascii="宋体" w:hAnsi="宋体" w:cs="宋体"/>
          <w:b/>
          <w:bCs/>
          <w:color w:val="000000" w:themeColor="text1"/>
          <w:sz w:val="36"/>
          <w:szCs w:val="36"/>
          <w:highlight w:val="none"/>
          <w:lang w:val="zh-CN"/>
          <w14:textFill>
            <w14:solidFill>
              <w14:schemeClr w14:val="tx1"/>
            </w14:solidFill>
          </w14:textFill>
        </w:rPr>
      </w:pPr>
      <w:bookmarkStart w:id="640" w:name="_Toc7558"/>
      <w:bookmarkStart w:id="641" w:name="_Toc21844"/>
      <w:r>
        <w:rPr>
          <w:rFonts w:hint="eastAsia" w:ascii="宋体" w:hAnsi="宋体" w:cs="宋体"/>
          <w:b/>
          <w:bCs/>
          <w:color w:val="000000" w:themeColor="text1"/>
          <w:sz w:val="36"/>
          <w:szCs w:val="36"/>
          <w:highlight w:val="none"/>
          <w:lang w:val="zh-CN"/>
          <w14:textFill>
            <w14:solidFill>
              <w14:schemeClr w14:val="tx1"/>
            </w14:solidFill>
          </w14:textFill>
        </w:rPr>
        <w:t>第六章附件</w:t>
      </w:r>
      <w:bookmarkEnd w:id="640"/>
      <w:bookmarkEnd w:id="641"/>
    </w:p>
    <w:p w14:paraId="2EE9EB99">
      <w:pPr>
        <w:shd w:val="clear"/>
        <w:jc w:val="center"/>
        <w:rPr>
          <w:rFonts w:ascii="宋体" w:hAnsi="宋体" w:cs="宋体"/>
          <w:b/>
          <w:color w:val="000000" w:themeColor="text1"/>
          <w:sz w:val="72"/>
          <w:highlight w:val="none"/>
          <w14:textFill>
            <w14:solidFill>
              <w14:schemeClr w14:val="tx1"/>
            </w14:solidFill>
          </w14:textFill>
        </w:rPr>
      </w:pPr>
    </w:p>
    <w:p w14:paraId="1E2DC160">
      <w:pPr>
        <w:shd w:val="clear"/>
        <w:jc w:val="center"/>
        <w:rPr>
          <w:rFonts w:ascii="宋体" w:hAnsi="宋体" w:cs="宋体"/>
          <w:b/>
          <w:color w:val="000000" w:themeColor="text1"/>
          <w:sz w:val="72"/>
          <w:highlight w:val="none"/>
          <w14:textFill>
            <w14:solidFill>
              <w14:schemeClr w14:val="tx1"/>
            </w14:solidFill>
          </w14:textFill>
        </w:rPr>
      </w:pPr>
      <w:r>
        <w:rPr>
          <w:rFonts w:hint="eastAsia" w:ascii="宋体" w:hAnsi="宋体" w:cs="宋体"/>
          <w:b/>
          <w:color w:val="000000" w:themeColor="text1"/>
          <w:sz w:val="72"/>
          <w:highlight w:val="none"/>
          <w14:textFill>
            <w14:solidFill>
              <w14:schemeClr w14:val="tx1"/>
            </w14:solidFill>
          </w14:textFill>
        </w:rPr>
        <w:t>响  应  文  件</w:t>
      </w:r>
    </w:p>
    <w:p w14:paraId="5C54E0A0">
      <w:pPr>
        <w:shd w:val="clear"/>
        <w:ind w:firstLine="3708" w:firstLineChars="1026"/>
        <w:rPr>
          <w:rFonts w:ascii="宋体" w:hAnsi="宋体" w:cs="宋体"/>
          <w:b/>
          <w:color w:val="000000" w:themeColor="text1"/>
          <w:sz w:val="36"/>
          <w:highlight w:val="none"/>
          <w14:textFill>
            <w14:solidFill>
              <w14:schemeClr w14:val="tx1"/>
            </w14:solidFill>
          </w14:textFill>
        </w:rPr>
      </w:pPr>
    </w:p>
    <w:p w14:paraId="6EB321D3">
      <w:pPr>
        <w:shd w:val="clear"/>
        <w:jc w:val="center"/>
        <w:rPr>
          <w:rFonts w:ascii="宋体" w:hAnsi="宋体" w:cs="宋体"/>
          <w:b/>
          <w:color w:val="000000" w:themeColor="text1"/>
          <w:sz w:val="72"/>
          <w:highlight w:val="none"/>
          <w14:textFill>
            <w14:solidFill>
              <w14:schemeClr w14:val="tx1"/>
            </w14:solidFill>
          </w14:textFill>
        </w:rPr>
      </w:pPr>
    </w:p>
    <w:p w14:paraId="1943E02E">
      <w:pPr>
        <w:shd w:val="clear"/>
        <w:jc w:val="center"/>
        <w:rPr>
          <w:rFonts w:ascii="宋体" w:hAnsi="宋体" w:cs="宋体"/>
          <w:b/>
          <w:color w:val="000000" w:themeColor="text1"/>
          <w:sz w:val="36"/>
          <w:highlight w:val="none"/>
          <w14:textFill>
            <w14:solidFill>
              <w14:schemeClr w14:val="tx1"/>
            </w14:solidFill>
          </w14:textFill>
        </w:rPr>
      </w:pPr>
    </w:p>
    <w:p w14:paraId="702CAB5A">
      <w:pPr>
        <w:shd w:val="clear"/>
        <w:jc w:val="center"/>
        <w:rPr>
          <w:rFonts w:ascii="宋体" w:hAnsi="宋体" w:cs="宋体"/>
          <w:b/>
          <w:color w:val="000000" w:themeColor="text1"/>
          <w:sz w:val="36"/>
          <w:highlight w:val="none"/>
          <w14:textFill>
            <w14:solidFill>
              <w14:schemeClr w14:val="tx1"/>
            </w14:solidFill>
          </w14:textFill>
        </w:rPr>
      </w:pPr>
    </w:p>
    <w:p w14:paraId="571273CA">
      <w:pPr>
        <w:shd w:val="clear"/>
        <w:jc w:val="center"/>
        <w:rPr>
          <w:rFonts w:ascii="宋体" w:hAnsi="宋体" w:cs="宋体"/>
          <w:b/>
          <w:color w:val="000000" w:themeColor="text1"/>
          <w:sz w:val="36"/>
          <w:highlight w:val="none"/>
          <w14:textFill>
            <w14:solidFill>
              <w14:schemeClr w14:val="tx1"/>
            </w14:solidFill>
          </w14:textFill>
        </w:rPr>
      </w:pPr>
    </w:p>
    <w:p w14:paraId="1F925AB6">
      <w:pPr>
        <w:shd w:val="clear"/>
        <w:ind w:firstLine="1084" w:firstLineChars="300"/>
        <w:rPr>
          <w:rFonts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 xml:space="preserve">项 目 编号： </w:t>
      </w:r>
    </w:p>
    <w:p w14:paraId="760511BF">
      <w:pPr>
        <w:shd w:val="clear"/>
        <w:ind w:firstLine="1084" w:firstLineChars="300"/>
        <w:rPr>
          <w:rFonts w:ascii="宋体" w:hAnsi="宋体" w:cs="宋体"/>
          <w:b/>
          <w:color w:val="000000" w:themeColor="text1"/>
          <w:sz w:val="36"/>
          <w:highlight w:val="none"/>
          <w:u w:val="singl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 xml:space="preserve">项 目 名称： </w:t>
      </w:r>
    </w:p>
    <w:p w14:paraId="4AF08F14">
      <w:pPr>
        <w:shd w:val="clear"/>
        <w:ind w:firstLine="1084" w:firstLineChars="300"/>
        <w:rPr>
          <w:rFonts w:ascii="宋体" w:hAnsi="宋体" w:cs="宋体"/>
          <w:b/>
          <w:color w:val="000000" w:themeColor="text1"/>
          <w:sz w:val="36"/>
          <w:highlight w:val="none"/>
          <w14:textFill>
            <w14:solidFill>
              <w14:schemeClr w14:val="tx1"/>
            </w14:solidFill>
          </w14:textFill>
        </w:rPr>
      </w:pPr>
    </w:p>
    <w:p w14:paraId="1EA90F41">
      <w:pPr>
        <w:shd w:val="clear"/>
        <w:ind w:firstLine="1084" w:firstLineChars="300"/>
        <w:rPr>
          <w:rFonts w:ascii="宋体" w:hAnsi="宋体" w:cs="宋体"/>
          <w:b/>
          <w:color w:val="000000" w:themeColor="text1"/>
          <w:sz w:val="36"/>
          <w:highlight w:val="none"/>
          <w14:textFill>
            <w14:solidFill>
              <w14:schemeClr w14:val="tx1"/>
            </w14:solidFill>
          </w14:textFill>
        </w:rPr>
      </w:pPr>
    </w:p>
    <w:p w14:paraId="1CBAF060">
      <w:pPr>
        <w:shd w:val="clear"/>
        <w:ind w:firstLine="1084" w:firstLineChars="300"/>
        <w:rPr>
          <w:rFonts w:ascii="宋体" w:hAnsi="宋体" w:cs="宋体"/>
          <w:b/>
          <w:color w:val="000000" w:themeColor="text1"/>
          <w:sz w:val="36"/>
          <w:highlight w:val="none"/>
          <w14:textFill>
            <w14:solidFill>
              <w14:schemeClr w14:val="tx1"/>
            </w14:solidFill>
          </w14:textFill>
        </w:rPr>
      </w:pPr>
    </w:p>
    <w:p w14:paraId="0B380E4C">
      <w:pPr>
        <w:shd w:val="clear"/>
        <w:ind w:firstLine="1084" w:firstLineChars="300"/>
        <w:rPr>
          <w:rFonts w:ascii="宋体" w:hAnsi="宋体" w:cs="宋体"/>
          <w:b/>
          <w:color w:val="000000" w:themeColor="text1"/>
          <w:sz w:val="36"/>
          <w:highlight w:val="none"/>
          <w14:textFill>
            <w14:solidFill>
              <w14:schemeClr w14:val="tx1"/>
            </w14:solidFill>
          </w14:textFill>
        </w:rPr>
      </w:pPr>
    </w:p>
    <w:p w14:paraId="52F56244">
      <w:pPr>
        <w:shd w:val="clear"/>
        <w:ind w:firstLine="1084" w:firstLineChars="300"/>
        <w:rPr>
          <w:rFonts w:ascii="宋体" w:hAnsi="宋体" w:cs="宋体"/>
          <w:b/>
          <w:color w:val="000000" w:themeColor="text1"/>
          <w:sz w:val="36"/>
          <w:highlight w:val="none"/>
          <w14:textFill>
            <w14:solidFill>
              <w14:schemeClr w14:val="tx1"/>
            </w14:solidFill>
          </w14:textFill>
        </w:rPr>
      </w:pPr>
    </w:p>
    <w:p w14:paraId="35613E53">
      <w:pPr>
        <w:shd w:val="clear"/>
        <w:ind w:firstLine="1084" w:firstLineChars="300"/>
        <w:rPr>
          <w:rFonts w:ascii="宋体" w:hAnsi="宋体" w:cs="宋体"/>
          <w:b/>
          <w:color w:val="000000" w:themeColor="text1"/>
          <w:sz w:val="36"/>
          <w:highlight w:val="none"/>
          <w14:textFill>
            <w14:solidFill>
              <w14:schemeClr w14:val="tx1"/>
            </w14:solidFill>
          </w14:textFill>
        </w:rPr>
      </w:pPr>
    </w:p>
    <w:p w14:paraId="1A287A9A">
      <w:pPr>
        <w:shd w:val="clear"/>
        <w:ind w:firstLine="1084" w:firstLineChars="300"/>
        <w:rPr>
          <w:rFonts w:ascii="宋体" w:hAnsi="宋体" w:cs="宋体"/>
          <w:b/>
          <w:color w:val="000000" w:themeColor="text1"/>
          <w:sz w:val="36"/>
          <w:highlight w:val="none"/>
          <w14:textFill>
            <w14:solidFill>
              <w14:schemeClr w14:val="tx1"/>
            </w14:solidFill>
          </w14:textFill>
        </w:rPr>
      </w:pPr>
    </w:p>
    <w:p w14:paraId="26347ABF">
      <w:pPr>
        <w:shd w:val="clear"/>
        <w:ind w:firstLine="1084" w:firstLineChars="300"/>
        <w:rPr>
          <w:rFonts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投标人名称 ：</w:t>
      </w:r>
    </w:p>
    <w:p w14:paraId="3B219800">
      <w:pPr>
        <w:shd w:val="clear"/>
        <w:ind w:firstLine="1084" w:firstLineChars="300"/>
        <w:rPr>
          <w:rFonts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日      期 ：</w:t>
      </w:r>
    </w:p>
    <w:p w14:paraId="1365FACD">
      <w:pPr>
        <w:shd w:val="clear"/>
        <w:jc w:val="center"/>
        <w:rPr>
          <w:rFonts w:ascii="宋体" w:hAnsi="宋体" w:cs="宋体"/>
          <w:b/>
          <w:color w:val="000000" w:themeColor="text1"/>
          <w:sz w:val="30"/>
          <w:szCs w:val="30"/>
          <w:highlight w:val="none"/>
          <w14:textFill>
            <w14:solidFill>
              <w14:schemeClr w14:val="tx1"/>
            </w14:solidFill>
          </w14:textFill>
        </w:rPr>
      </w:pPr>
    </w:p>
    <w:p w14:paraId="7B4714C1">
      <w:pPr>
        <w:shd w:val="clear"/>
        <w:jc w:val="center"/>
        <w:rPr>
          <w:rFonts w:ascii="宋体" w:hAnsi="宋体" w:cs="宋体"/>
          <w:b/>
          <w:color w:val="000000" w:themeColor="text1"/>
          <w:sz w:val="30"/>
          <w:szCs w:val="30"/>
          <w:highlight w:val="none"/>
          <w14:textFill>
            <w14:solidFill>
              <w14:schemeClr w14:val="tx1"/>
            </w14:solidFill>
          </w14:textFill>
        </w:rPr>
        <w:sectPr>
          <w:headerReference r:id="rId9" w:type="default"/>
          <w:footerReference r:id="rId10" w:type="default"/>
          <w:endnotePr>
            <w:numFmt w:val="decimal"/>
          </w:endnotePr>
          <w:pgSz w:w="11906" w:h="16838"/>
          <w:pgMar w:top="850" w:right="850" w:bottom="850" w:left="1417" w:header="850" w:footer="992" w:gutter="0"/>
          <w:paperSrc/>
          <w:cols w:space="0" w:num="1"/>
          <w:rtlGutter w:val="0"/>
          <w:docGrid w:type="lines" w:linePitch="315" w:charSpace="0"/>
        </w:sectPr>
      </w:pPr>
    </w:p>
    <w:p w14:paraId="3C97DD84">
      <w:pPr>
        <w:shd w:val="clear"/>
        <w:jc w:val="center"/>
        <w:rPr>
          <w:rFonts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评分索引表</w:t>
      </w:r>
    </w:p>
    <w:tbl>
      <w:tblPr>
        <w:tblStyle w:val="25"/>
        <w:tblW w:w="92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70"/>
        <w:gridCol w:w="3570"/>
      </w:tblGrid>
      <w:tr w14:paraId="3A617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5670" w:type="dxa"/>
            <w:vAlign w:val="center"/>
          </w:tcPr>
          <w:p w14:paraId="26926F21">
            <w:pPr>
              <w:pStyle w:val="51"/>
              <w:shd w:val="clear" w:color="auto"/>
              <w:ind w:firstLine="422"/>
              <w:jc w:val="center"/>
              <w:rPr>
                <w:rFonts w:ascii="宋体" w:hAnsi="宋体" w:cs="宋体"/>
                <w:b/>
                <w:bCs/>
                <w:color w:val="000000" w:themeColor="text1"/>
                <w:szCs w:val="22"/>
                <w:highlight w:val="none"/>
                <w14:textFill>
                  <w14:solidFill>
                    <w14:schemeClr w14:val="tx1"/>
                  </w14:solidFill>
                </w14:textFill>
              </w:rPr>
            </w:pPr>
            <w:r>
              <w:rPr>
                <w:rFonts w:hint="eastAsia" w:ascii="宋体" w:hAnsi="宋体" w:cs="宋体"/>
                <w:b/>
                <w:color w:val="000000" w:themeColor="text1"/>
                <w:szCs w:val="22"/>
                <w:highlight w:val="none"/>
                <w14:textFill>
                  <w14:solidFill>
                    <w14:schemeClr w14:val="tx1"/>
                  </w14:solidFill>
                </w14:textFill>
              </w:rPr>
              <w:t>评分项目</w:t>
            </w:r>
          </w:p>
        </w:tc>
        <w:tc>
          <w:tcPr>
            <w:tcW w:w="3570" w:type="dxa"/>
            <w:vAlign w:val="center"/>
          </w:tcPr>
          <w:p w14:paraId="5D4526C6">
            <w:pPr>
              <w:shd w:val="clear"/>
              <w:jc w:val="center"/>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kern w:val="0"/>
                <w:highlight w:val="none"/>
                <w14:textFill>
                  <w14:solidFill>
                    <w14:schemeClr w14:val="tx1"/>
                  </w14:solidFill>
                </w14:textFill>
              </w:rPr>
              <w:t>在投标文件中的页码位置</w:t>
            </w:r>
          </w:p>
        </w:tc>
      </w:tr>
      <w:tr w14:paraId="1D56A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jc w:val="center"/>
        </w:trPr>
        <w:tc>
          <w:tcPr>
            <w:tcW w:w="5670" w:type="dxa"/>
          </w:tcPr>
          <w:p w14:paraId="03E99347">
            <w:pPr>
              <w:pStyle w:val="51"/>
              <w:shd w:val="clear" w:color="auto"/>
              <w:spacing w:before="120" w:after="120" w:line="265" w:lineRule="atLeast"/>
              <w:ind w:left="1442" w:firstLine="422"/>
              <w:rPr>
                <w:rFonts w:ascii="宋体" w:hAnsi="宋体" w:cs="宋体"/>
                <w:b/>
                <w:color w:val="000000" w:themeColor="text1"/>
                <w:szCs w:val="22"/>
                <w:highlight w:val="none"/>
                <w14:textFill>
                  <w14:solidFill>
                    <w14:schemeClr w14:val="tx1"/>
                  </w14:solidFill>
                </w14:textFill>
              </w:rPr>
            </w:pPr>
          </w:p>
        </w:tc>
        <w:tc>
          <w:tcPr>
            <w:tcW w:w="3570" w:type="dxa"/>
          </w:tcPr>
          <w:p w14:paraId="68BA75FD">
            <w:pPr>
              <w:shd w:val="clear"/>
              <w:rPr>
                <w:rFonts w:ascii="宋体" w:hAnsi="宋体" w:cs="宋体"/>
                <w:b/>
                <w:color w:val="000000" w:themeColor="text1"/>
                <w:kern w:val="0"/>
                <w:highlight w:val="none"/>
                <w14:textFill>
                  <w14:solidFill>
                    <w14:schemeClr w14:val="tx1"/>
                  </w14:solidFill>
                </w14:textFill>
              </w:rPr>
            </w:pPr>
          </w:p>
        </w:tc>
      </w:tr>
      <w:tr w14:paraId="22A07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9240" w:type="dxa"/>
            <w:gridSpan w:val="2"/>
          </w:tcPr>
          <w:p w14:paraId="3C227E9C">
            <w:pPr>
              <w:pStyle w:val="51"/>
              <w:shd w:val="clear" w:color="auto"/>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r>
      <w:tr w14:paraId="3F344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5670" w:type="dxa"/>
          </w:tcPr>
          <w:p w14:paraId="44787D34">
            <w:pPr>
              <w:pStyle w:val="51"/>
              <w:shd w:val="clear" w:color="auto"/>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c>
          <w:tcPr>
            <w:tcW w:w="3570" w:type="dxa"/>
          </w:tcPr>
          <w:p w14:paraId="5CECC7CF">
            <w:pPr>
              <w:shd w:val="clear"/>
              <w:rPr>
                <w:rFonts w:ascii="宋体" w:hAnsi="宋体" w:cs="宋体"/>
                <w:color w:val="000000" w:themeColor="text1"/>
                <w:highlight w:val="none"/>
                <w14:textFill>
                  <w14:solidFill>
                    <w14:schemeClr w14:val="tx1"/>
                  </w14:solidFill>
                </w14:textFill>
              </w:rPr>
            </w:pPr>
          </w:p>
        </w:tc>
      </w:tr>
      <w:tr w14:paraId="0CA02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5670" w:type="dxa"/>
          </w:tcPr>
          <w:p w14:paraId="5C47E806">
            <w:pPr>
              <w:pStyle w:val="51"/>
              <w:shd w:val="clear" w:color="auto"/>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c>
          <w:tcPr>
            <w:tcW w:w="3570" w:type="dxa"/>
          </w:tcPr>
          <w:p w14:paraId="75EAD817">
            <w:pPr>
              <w:shd w:val="clear"/>
              <w:rPr>
                <w:rFonts w:ascii="宋体" w:hAnsi="宋体" w:cs="宋体"/>
                <w:color w:val="000000" w:themeColor="text1"/>
                <w:highlight w:val="none"/>
                <w14:textFill>
                  <w14:solidFill>
                    <w14:schemeClr w14:val="tx1"/>
                  </w14:solidFill>
                </w14:textFill>
              </w:rPr>
            </w:pPr>
          </w:p>
        </w:tc>
      </w:tr>
      <w:tr w14:paraId="04AA22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5670" w:type="dxa"/>
          </w:tcPr>
          <w:p w14:paraId="50DEA2D8">
            <w:pPr>
              <w:pStyle w:val="51"/>
              <w:shd w:val="clear" w:color="auto"/>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c>
          <w:tcPr>
            <w:tcW w:w="3570" w:type="dxa"/>
          </w:tcPr>
          <w:p w14:paraId="7D87C459">
            <w:pPr>
              <w:shd w:val="clear"/>
              <w:rPr>
                <w:rFonts w:ascii="宋体" w:hAnsi="宋体" w:cs="宋体"/>
                <w:color w:val="000000" w:themeColor="text1"/>
                <w:highlight w:val="none"/>
                <w14:textFill>
                  <w14:solidFill>
                    <w14:schemeClr w14:val="tx1"/>
                  </w14:solidFill>
                </w14:textFill>
              </w:rPr>
            </w:pPr>
          </w:p>
        </w:tc>
      </w:tr>
      <w:tr w14:paraId="506A3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5670" w:type="dxa"/>
          </w:tcPr>
          <w:p w14:paraId="0DB0D926">
            <w:pPr>
              <w:pStyle w:val="51"/>
              <w:shd w:val="clear" w:color="auto"/>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c>
          <w:tcPr>
            <w:tcW w:w="3570" w:type="dxa"/>
          </w:tcPr>
          <w:p w14:paraId="3FC5AB00">
            <w:pPr>
              <w:shd w:val="clear"/>
              <w:rPr>
                <w:rFonts w:ascii="宋体" w:hAnsi="宋体" w:cs="宋体"/>
                <w:color w:val="000000" w:themeColor="text1"/>
                <w:highlight w:val="none"/>
                <w14:textFill>
                  <w14:solidFill>
                    <w14:schemeClr w14:val="tx1"/>
                  </w14:solidFill>
                </w14:textFill>
              </w:rPr>
            </w:pPr>
          </w:p>
        </w:tc>
      </w:tr>
      <w:tr w14:paraId="2F7B3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5670" w:type="dxa"/>
          </w:tcPr>
          <w:p w14:paraId="55AA82E6">
            <w:pPr>
              <w:pStyle w:val="51"/>
              <w:shd w:val="clear" w:color="auto"/>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c>
          <w:tcPr>
            <w:tcW w:w="3570" w:type="dxa"/>
          </w:tcPr>
          <w:p w14:paraId="14585B79">
            <w:pPr>
              <w:shd w:val="clear"/>
              <w:rPr>
                <w:rFonts w:ascii="宋体" w:hAnsi="宋体" w:cs="宋体"/>
                <w:color w:val="000000" w:themeColor="text1"/>
                <w:highlight w:val="none"/>
                <w14:textFill>
                  <w14:solidFill>
                    <w14:schemeClr w14:val="tx1"/>
                  </w14:solidFill>
                </w14:textFill>
              </w:rPr>
            </w:pPr>
          </w:p>
        </w:tc>
      </w:tr>
      <w:tr w14:paraId="69E16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9240" w:type="dxa"/>
            <w:gridSpan w:val="2"/>
          </w:tcPr>
          <w:p w14:paraId="6BF00FA8">
            <w:pPr>
              <w:pStyle w:val="51"/>
              <w:shd w:val="clear" w:color="auto"/>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r>
      <w:tr w14:paraId="0ED46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5670" w:type="dxa"/>
          </w:tcPr>
          <w:p w14:paraId="572CB583">
            <w:pPr>
              <w:pStyle w:val="51"/>
              <w:shd w:val="clear" w:color="auto"/>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c>
          <w:tcPr>
            <w:tcW w:w="3570" w:type="dxa"/>
          </w:tcPr>
          <w:p w14:paraId="468B61CE">
            <w:pPr>
              <w:shd w:val="clear"/>
              <w:rPr>
                <w:rFonts w:ascii="宋体" w:hAnsi="宋体" w:cs="宋体"/>
                <w:color w:val="000000" w:themeColor="text1"/>
                <w:highlight w:val="none"/>
                <w14:textFill>
                  <w14:solidFill>
                    <w14:schemeClr w14:val="tx1"/>
                  </w14:solidFill>
                </w14:textFill>
              </w:rPr>
            </w:pPr>
          </w:p>
        </w:tc>
      </w:tr>
      <w:tr w14:paraId="2BA3D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 w:hRule="atLeast"/>
          <w:jc w:val="center"/>
        </w:trPr>
        <w:tc>
          <w:tcPr>
            <w:tcW w:w="5670" w:type="dxa"/>
          </w:tcPr>
          <w:p w14:paraId="68449A01">
            <w:pPr>
              <w:pStyle w:val="51"/>
              <w:shd w:val="clear" w:color="auto"/>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c>
          <w:tcPr>
            <w:tcW w:w="3570" w:type="dxa"/>
          </w:tcPr>
          <w:p w14:paraId="600D9C24">
            <w:pPr>
              <w:shd w:val="clear"/>
              <w:rPr>
                <w:rFonts w:ascii="宋体" w:hAnsi="宋体" w:cs="宋体"/>
                <w:color w:val="000000" w:themeColor="text1"/>
                <w:highlight w:val="none"/>
                <w14:textFill>
                  <w14:solidFill>
                    <w14:schemeClr w14:val="tx1"/>
                  </w14:solidFill>
                </w14:textFill>
              </w:rPr>
            </w:pPr>
          </w:p>
        </w:tc>
      </w:tr>
      <w:tr w14:paraId="0A77C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jc w:val="center"/>
        </w:trPr>
        <w:tc>
          <w:tcPr>
            <w:tcW w:w="5670" w:type="dxa"/>
          </w:tcPr>
          <w:p w14:paraId="6AA297CC">
            <w:pPr>
              <w:pStyle w:val="51"/>
              <w:shd w:val="clear" w:color="auto"/>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c>
          <w:tcPr>
            <w:tcW w:w="3570" w:type="dxa"/>
          </w:tcPr>
          <w:p w14:paraId="5CDF5EBA">
            <w:pPr>
              <w:shd w:val="clear"/>
              <w:rPr>
                <w:rFonts w:ascii="宋体" w:hAnsi="宋体" w:cs="宋体"/>
                <w:color w:val="000000" w:themeColor="text1"/>
                <w:highlight w:val="none"/>
                <w14:textFill>
                  <w14:solidFill>
                    <w14:schemeClr w14:val="tx1"/>
                  </w14:solidFill>
                </w14:textFill>
              </w:rPr>
            </w:pPr>
          </w:p>
        </w:tc>
      </w:tr>
      <w:tr w14:paraId="4C0B8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jc w:val="center"/>
        </w:trPr>
        <w:tc>
          <w:tcPr>
            <w:tcW w:w="5670" w:type="dxa"/>
          </w:tcPr>
          <w:p w14:paraId="2E726C2A">
            <w:pPr>
              <w:pStyle w:val="51"/>
              <w:shd w:val="clear" w:color="auto"/>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c>
          <w:tcPr>
            <w:tcW w:w="3570" w:type="dxa"/>
          </w:tcPr>
          <w:p w14:paraId="05357782">
            <w:pPr>
              <w:shd w:val="clear"/>
              <w:rPr>
                <w:rFonts w:ascii="宋体" w:hAnsi="宋体" w:cs="宋体"/>
                <w:color w:val="000000" w:themeColor="text1"/>
                <w:highlight w:val="none"/>
                <w14:textFill>
                  <w14:solidFill>
                    <w14:schemeClr w14:val="tx1"/>
                  </w14:solidFill>
                </w14:textFill>
              </w:rPr>
            </w:pPr>
          </w:p>
        </w:tc>
      </w:tr>
      <w:tr w14:paraId="47894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5670" w:type="dxa"/>
          </w:tcPr>
          <w:p w14:paraId="3373DA8D">
            <w:pPr>
              <w:pStyle w:val="51"/>
              <w:shd w:val="clear" w:color="auto"/>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c>
          <w:tcPr>
            <w:tcW w:w="3570" w:type="dxa"/>
          </w:tcPr>
          <w:p w14:paraId="2730FE04">
            <w:pPr>
              <w:shd w:val="clear"/>
              <w:rPr>
                <w:rFonts w:ascii="宋体" w:hAnsi="宋体" w:cs="宋体"/>
                <w:color w:val="000000" w:themeColor="text1"/>
                <w:highlight w:val="none"/>
                <w14:textFill>
                  <w14:solidFill>
                    <w14:schemeClr w14:val="tx1"/>
                  </w14:solidFill>
                </w14:textFill>
              </w:rPr>
            </w:pPr>
          </w:p>
        </w:tc>
      </w:tr>
      <w:tr w14:paraId="4C949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9240" w:type="dxa"/>
            <w:gridSpan w:val="2"/>
          </w:tcPr>
          <w:p w14:paraId="5C082C1D">
            <w:pPr>
              <w:pStyle w:val="51"/>
              <w:shd w:val="clear" w:color="auto"/>
              <w:spacing w:before="120" w:after="120" w:line="265" w:lineRule="atLeast"/>
              <w:ind w:left="1442" w:firstLine="422"/>
              <w:rPr>
                <w:rFonts w:ascii="宋体" w:hAnsi="宋体" w:cs="宋体"/>
                <w:b/>
                <w:color w:val="000000" w:themeColor="text1"/>
                <w:szCs w:val="22"/>
                <w:highlight w:val="none"/>
                <w14:textFill>
                  <w14:solidFill>
                    <w14:schemeClr w14:val="tx1"/>
                  </w14:solidFill>
                </w14:textFill>
              </w:rPr>
            </w:pPr>
          </w:p>
        </w:tc>
      </w:tr>
      <w:tr w14:paraId="5CA52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5670" w:type="dxa"/>
          </w:tcPr>
          <w:p w14:paraId="64FAC387">
            <w:pPr>
              <w:pStyle w:val="51"/>
              <w:shd w:val="clear" w:color="auto"/>
              <w:spacing w:before="120" w:after="120" w:line="265" w:lineRule="atLeast"/>
              <w:ind w:left="1442" w:firstLine="422"/>
              <w:rPr>
                <w:rFonts w:ascii="宋体" w:hAnsi="宋体" w:cs="宋体"/>
                <w:b/>
                <w:bCs/>
                <w:color w:val="000000" w:themeColor="text1"/>
                <w:szCs w:val="22"/>
                <w:highlight w:val="none"/>
                <w14:textFill>
                  <w14:solidFill>
                    <w14:schemeClr w14:val="tx1"/>
                  </w14:solidFill>
                </w14:textFill>
              </w:rPr>
            </w:pPr>
          </w:p>
        </w:tc>
        <w:tc>
          <w:tcPr>
            <w:tcW w:w="3570" w:type="dxa"/>
          </w:tcPr>
          <w:p w14:paraId="267826B3">
            <w:pPr>
              <w:shd w:val="clear"/>
              <w:rPr>
                <w:rFonts w:ascii="宋体" w:hAnsi="宋体" w:cs="宋体"/>
                <w:color w:val="000000" w:themeColor="text1"/>
                <w:highlight w:val="none"/>
                <w14:textFill>
                  <w14:solidFill>
                    <w14:schemeClr w14:val="tx1"/>
                  </w14:solidFill>
                </w14:textFill>
              </w:rPr>
            </w:pPr>
          </w:p>
        </w:tc>
      </w:tr>
      <w:tr w14:paraId="4FC98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5670" w:type="dxa"/>
          </w:tcPr>
          <w:p w14:paraId="2A3BB843">
            <w:pPr>
              <w:pStyle w:val="51"/>
              <w:shd w:val="clear" w:color="auto"/>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c>
          <w:tcPr>
            <w:tcW w:w="3570" w:type="dxa"/>
          </w:tcPr>
          <w:p w14:paraId="50408280">
            <w:pPr>
              <w:shd w:val="clear"/>
              <w:rPr>
                <w:rFonts w:ascii="宋体" w:hAnsi="宋体" w:cs="宋体"/>
                <w:color w:val="000000" w:themeColor="text1"/>
                <w:highlight w:val="none"/>
                <w14:textFill>
                  <w14:solidFill>
                    <w14:schemeClr w14:val="tx1"/>
                  </w14:solidFill>
                </w14:textFill>
              </w:rPr>
            </w:pPr>
          </w:p>
        </w:tc>
      </w:tr>
      <w:tr w14:paraId="65340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5670" w:type="dxa"/>
          </w:tcPr>
          <w:p w14:paraId="30C1F640">
            <w:pPr>
              <w:pStyle w:val="51"/>
              <w:shd w:val="clear" w:color="auto"/>
              <w:spacing w:before="120" w:after="120" w:line="265" w:lineRule="atLeast"/>
              <w:ind w:left="1442" w:firstLine="422"/>
              <w:rPr>
                <w:rFonts w:ascii="宋体" w:hAnsi="宋体" w:cs="宋体"/>
                <w:b/>
                <w:bCs/>
                <w:color w:val="000000" w:themeColor="text1"/>
                <w:szCs w:val="22"/>
                <w:highlight w:val="none"/>
                <w14:textFill>
                  <w14:solidFill>
                    <w14:schemeClr w14:val="tx1"/>
                  </w14:solidFill>
                </w14:textFill>
              </w:rPr>
            </w:pPr>
          </w:p>
        </w:tc>
        <w:tc>
          <w:tcPr>
            <w:tcW w:w="3570" w:type="dxa"/>
          </w:tcPr>
          <w:p w14:paraId="7A2A9E15">
            <w:pPr>
              <w:shd w:val="clear"/>
              <w:rPr>
                <w:rFonts w:ascii="宋体" w:hAnsi="宋体" w:cs="宋体"/>
                <w:color w:val="000000" w:themeColor="text1"/>
                <w:highlight w:val="none"/>
                <w14:textFill>
                  <w14:solidFill>
                    <w14:schemeClr w14:val="tx1"/>
                  </w14:solidFill>
                </w14:textFill>
              </w:rPr>
            </w:pPr>
          </w:p>
        </w:tc>
      </w:tr>
      <w:tr w14:paraId="0CF87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9240" w:type="dxa"/>
            <w:gridSpan w:val="2"/>
          </w:tcPr>
          <w:p w14:paraId="6C82E44A">
            <w:pPr>
              <w:pStyle w:val="51"/>
              <w:shd w:val="clear" w:color="auto"/>
              <w:spacing w:before="120" w:after="120" w:line="265" w:lineRule="atLeast"/>
              <w:ind w:left="1442" w:firstLine="422"/>
              <w:rPr>
                <w:rFonts w:ascii="宋体" w:hAnsi="宋体" w:cs="宋体"/>
                <w:b/>
                <w:color w:val="000000" w:themeColor="text1"/>
                <w:szCs w:val="22"/>
                <w:highlight w:val="none"/>
                <w14:textFill>
                  <w14:solidFill>
                    <w14:schemeClr w14:val="tx1"/>
                  </w14:solidFill>
                </w14:textFill>
              </w:rPr>
            </w:pPr>
          </w:p>
        </w:tc>
      </w:tr>
      <w:tr w14:paraId="54B40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5670" w:type="dxa"/>
          </w:tcPr>
          <w:p w14:paraId="76FC2326">
            <w:pPr>
              <w:pStyle w:val="51"/>
              <w:shd w:val="clear" w:color="auto"/>
              <w:spacing w:before="120" w:after="120" w:line="265" w:lineRule="atLeast"/>
              <w:ind w:left="1440"/>
              <w:rPr>
                <w:rFonts w:ascii="宋体" w:hAnsi="宋体" w:cs="宋体"/>
                <w:color w:val="000000" w:themeColor="text1"/>
                <w:szCs w:val="21"/>
                <w:highlight w:val="none"/>
                <w14:textFill>
                  <w14:solidFill>
                    <w14:schemeClr w14:val="tx1"/>
                  </w14:solidFill>
                </w14:textFill>
              </w:rPr>
            </w:pPr>
          </w:p>
        </w:tc>
        <w:tc>
          <w:tcPr>
            <w:tcW w:w="3570" w:type="dxa"/>
          </w:tcPr>
          <w:p w14:paraId="6101E9FC">
            <w:pPr>
              <w:shd w:val="clear"/>
              <w:rPr>
                <w:rFonts w:ascii="宋体" w:hAnsi="宋体" w:cs="宋体"/>
                <w:color w:val="000000" w:themeColor="text1"/>
                <w:highlight w:val="none"/>
                <w14:textFill>
                  <w14:solidFill>
                    <w14:schemeClr w14:val="tx1"/>
                  </w14:solidFill>
                </w14:textFill>
              </w:rPr>
            </w:pPr>
          </w:p>
        </w:tc>
      </w:tr>
      <w:tr w14:paraId="05DE7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5670" w:type="dxa"/>
          </w:tcPr>
          <w:p w14:paraId="7D5A4F30">
            <w:pPr>
              <w:pStyle w:val="51"/>
              <w:shd w:val="clear" w:color="auto"/>
              <w:spacing w:before="120" w:after="120" w:line="265" w:lineRule="atLeast"/>
              <w:ind w:left="1440"/>
              <w:rPr>
                <w:rFonts w:ascii="宋体" w:hAnsi="宋体" w:cs="宋体"/>
                <w:color w:val="000000" w:themeColor="text1"/>
                <w:szCs w:val="22"/>
                <w:highlight w:val="none"/>
                <w14:textFill>
                  <w14:solidFill>
                    <w14:schemeClr w14:val="tx1"/>
                  </w14:solidFill>
                </w14:textFill>
              </w:rPr>
            </w:pPr>
          </w:p>
        </w:tc>
        <w:tc>
          <w:tcPr>
            <w:tcW w:w="3570" w:type="dxa"/>
          </w:tcPr>
          <w:p w14:paraId="4B2831E8">
            <w:pPr>
              <w:shd w:val="clear"/>
              <w:rPr>
                <w:rFonts w:ascii="宋体" w:hAnsi="宋体" w:cs="宋体"/>
                <w:color w:val="000000" w:themeColor="text1"/>
                <w:highlight w:val="none"/>
                <w14:textFill>
                  <w14:solidFill>
                    <w14:schemeClr w14:val="tx1"/>
                  </w14:solidFill>
                </w14:textFill>
              </w:rPr>
            </w:pPr>
          </w:p>
        </w:tc>
      </w:tr>
    </w:tbl>
    <w:p w14:paraId="5234D560">
      <w:pPr>
        <w:shd w:val="clear"/>
        <w:autoSpaceDE w:val="0"/>
        <w:autoSpaceDN w:val="0"/>
        <w:adjustRightInd w:val="0"/>
        <w:spacing w:line="240" w:lineRule="atLeast"/>
        <w:outlineLvl w:val="9"/>
        <w:rPr>
          <w:rFonts w:ascii="宋体" w:hAnsi="宋体" w:cs="宋体"/>
          <w:b/>
          <w:bCs/>
          <w:color w:val="000000" w:themeColor="text1"/>
          <w:sz w:val="36"/>
          <w:szCs w:val="36"/>
          <w:highlight w:val="none"/>
          <w14:textFill>
            <w14:solidFill>
              <w14:schemeClr w14:val="tx1"/>
            </w14:solidFill>
          </w14:textFill>
        </w:rPr>
      </w:pPr>
    </w:p>
    <w:p w14:paraId="18DF7AD1">
      <w:pPr>
        <w:shd w:val="clear"/>
        <w:jc w:val="center"/>
        <w:outlineLvl w:val="0"/>
        <w:rPr>
          <w:rFonts w:ascii="宋体" w:hAnsi="宋体" w:cs="宋体"/>
          <w:b/>
          <w:bCs/>
          <w:color w:val="000000" w:themeColor="text1"/>
          <w:sz w:val="32"/>
          <w:szCs w:val="32"/>
          <w:highlight w:val="none"/>
          <w14:textFill>
            <w14:solidFill>
              <w14:schemeClr w14:val="tx1"/>
            </w14:solidFill>
          </w14:textFill>
        </w:rPr>
        <w:sectPr>
          <w:endnotePr>
            <w:numFmt w:val="decimal"/>
          </w:endnotePr>
          <w:pgSz w:w="11906" w:h="16838"/>
          <w:pgMar w:top="850" w:right="850" w:bottom="850" w:left="1417" w:header="850" w:footer="992" w:gutter="0"/>
          <w:paperSrc/>
          <w:cols w:space="0" w:num="1"/>
          <w:rtlGutter w:val="0"/>
          <w:docGrid w:type="lines" w:linePitch="315" w:charSpace="0"/>
        </w:sectPr>
      </w:pPr>
      <w:bookmarkStart w:id="642" w:name="_Toc489655320"/>
    </w:p>
    <w:bookmarkEnd w:id="642"/>
    <w:p w14:paraId="5ECACF41">
      <w:pPr>
        <w:shd w:val="clear"/>
        <w:jc w:val="center"/>
        <w:outlineLvl w:val="9"/>
        <w:rPr>
          <w:rFonts w:ascii="宋体" w:hAnsi="宋体" w:cs="宋体"/>
          <w:b/>
          <w:bCs/>
          <w:color w:val="000000" w:themeColor="text1"/>
          <w:sz w:val="32"/>
          <w:szCs w:val="32"/>
          <w:highlight w:val="none"/>
          <w14:textFill>
            <w14:solidFill>
              <w14:schemeClr w14:val="tx1"/>
            </w14:solidFill>
          </w14:textFill>
        </w:rPr>
      </w:pPr>
      <w:bookmarkStart w:id="643" w:name="_Toc30190"/>
      <w:bookmarkStart w:id="644" w:name="_Toc12284"/>
      <w:bookmarkStart w:id="645" w:name="_Toc11524"/>
      <w:r>
        <w:rPr>
          <w:rFonts w:hint="eastAsia" w:ascii="宋体" w:hAnsi="宋体" w:cs="宋体"/>
          <w:b/>
          <w:bCs/>
          <w:color w:val="000000" w:themeColor="text1"/>
          <w:sz w:val="32"/>
          <w:szCs w:val="32"/>
          <w:highlight w:val="none"/>
          <w14:textFill>
            <w14:solidFill>
              <w14:schemeClr w14:val="tx1"/>
            </w14:solidFill>
          </w14:textFill>
        </w:rPr>
        <w:t>磋商文件主要目录及相关证明材料格式、附件</w:t>
      </w:r>
      <w:bookmarkEnd w:id="643"/>
      <w:bookmarkEnd w:id="644"/>
      <w:bookmarkEnd w:id="645"/>
    </w:p>
    <w:p w14:paraId="380ED924">
      <w:pPr>
        <w:shd w:val="clear"/>
        <w:jc w:val="center"/>
        <w:outlineLvl w:val="9"/>
        <w:rPr>
          <w:rFonts w:ascii="宋体" w:hAnsi="宋体" w:cs="宋体"/>
          <w:b/>
          <w:bCs/>
          <w:color w:val="000000" w:themeColor="text1"/>
          <w:sz w:val="32"/>
          <w:szCs w:val="32"/>
          <w:highlight w:val="none"/>
          <w14:textFill>
            <w14:solidFill>
              <w14:schemeClr w14:val="tx1"/>
            </w14:solidFill>
          </w14:textFill>
        </w:rPr>
      </w:pPr>
    </w:p>
    <w:p w14:paraId="3EFD0F34">
      <w:pPr>
        <w:shd w:val="clear"/>
        <w:jc w:val="center"/>
        <w:outlineLvl w:val="9"/>
        <w:rPr>
          <w:rFonts w:ascii="宋体" w:hAnsi="宋体" w:cs="宋体"/>
          <w:b/>
          <w:bCs/>
          <w:color w:val="000000" w:themeColor="text1"/>
          <w:sz w:val="32"/>
          <w:szCs w:val="32"/>
          <w:highlight w:val="none"/>
          <w14:textFill>
            <w14:solidFill>
              <w14:schemeClr w14:val="tx1"/>
            </w14:solidFill>
          </w14:textFill>
        </w:rPr>
      </w:pPr>
    </w:p>
    <w:p w14:paraId="5A09294C">
      <w:pPr>
        <w:numPr>
          <w:ilvl w:val="0"/>
          <w:numId w:val="7"/>
        </w:numPr>
        <w:shd w:val="clea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磋商申请及声明</w:t>
      </w:r>
    </w:p>
    <w:p w14:paraId="10674180">
      <w:pPr>
        <w:numPr>
          <w:ilvl w:val="0"/>
          <w:numId w:val="7"/>
        </w:numPr>
        <w:shd w:val="clea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法定代表人授权书</w:t>
      </w:r>
    </w:p>
    <w:p w14:paraId="31551C4D">
      <w:pPr>
        <w:numPr>
          <w:ilvl w:val="0"/>
          <w:numId w:val="7"/>
        </w:numPr>
        <w:shd w:val="clea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竞争性磋商报价表</w:t>
      </w:r>
    </w:p>
    <w:p w14:paraId="004C945B">
      <w:pPr>
        <w:numPr>
          <w:ilvl w:val="0"/>
          <w:numId w:val="7"/>
        </w:numPr>
        <w:shd w:val="clea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资格证明文件</w:t>
      </w:r>
    </w:p>
    <w:p w14:paraId="6B67168A">
      <w:pPr>
        <w:numPr>
          <w:ilvl w:val="0"/>
          <w:numId w:val="7"/>
        </w:numPr>
        <w:shd w:val="clea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分项报价表</w:t>
      </w:r>
    </w:p>
    <w:p w14:paraId="36475B5B">
      <w:pPr>
        <w:numPr>
          <w:ilvl w:val="0"/>
          <w:numId w:val="7"/>
        </w:numPr>
        <w:shd w:val="clea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技术条款偏离表</w:t>
      </w:r>
    </w:p>
    <w:p w14:paraId="3D15CBA4">
      <w:pPr>
        <w:numPr>
          <w:ilvl w:val="0"/>
          <w:numId w:val="7"/>
        </w:numPr>
        <w:shd w:val="clea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商务条款偏离表</w:t>
      </w:r>
    </w:p>
    <w:p w14:paraId="6E93CFDE">
      <w:pPr>
        <w:numPr>
          <w:ilvl w:val="0"/>
          <w:numId w:val="7"/>
        </w:numPr>
        <w:shd w:val="clea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项目实施、集成、实施方案（若有）</w:t>
      </w:r>
    </w:p>
    <w:p w14:paraId="1218D3A5">
      <w:pPr>
        <w:numPr>
          <w:ilvl w:val="0"/>
          <w:numId w:val="7"/>
        </w:numPr>
        <w:shd w:val="clea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服务与承诺</w:t>
      </w:r>
    </w:p>
    <w:p w14:paraId="10952BC3">
      <w:pPr>
        <w:numPr>
          <w:ilvl w:val="0"/>
          <w:numId w:val="7"/>
        </w:numPr>
        <w:shd w:val="clea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竞争性磋商需要的其他证明文件及材料（若有）</w:t>
      </w:r>
    </w:p>
    <w:p w14:paraId="454F3DC1">
      <w:pPr>
        <w:numPr>
          <w:ilvl w:val="0"/>
          <w:numId w:val="7"/>
        </w:numPr>
        <w:shd w:val="clea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资格性审查响应对照表</w:t>
      </w:r>
    </w:p>
    <w:p w14:paraId="7716BE04">
      <w:pPr>
        <w:shd w:val="clear"/>
        <w:tabs>
          <w:tab w:val="left" w:pos="2280"/>
        </w:tabs>
        <w:spacing w:line="360" w:lineRule="auto"/>
        <w:ind w:left="1560"/>
        <w:rPr>
          <w:rFonts w:ascii="宋体" w:hAnsi="宋体" w:cs="宋体"/>
          <w:color w:val="000000" w:themeColor="text1"/>
          <w:sz w:val="28"/>
          <w:szCs w:val="28"/>
          <w:highlight w:val="none"/>
          <w14:textFill>
            <w14:solidFill>
              <w14:schemeClr w14:val="tx1"/>
            </w14:solidFill>
          </w14:textFill>
        </w:rPr>
      </w:pPr>
    </w:p>
    <w:p w14:paraId="28DBF6E9">
      <w:pPr>
        <w:shd w:val="clear"/>
        <w:tabs>
          <w:tab w:val="left" w:pos="2280"/>
        </w:tabs>
        <w:spacing w:line="360" w:lineRule="auto"/>
        <w:rPr>
          <w:rFonts w:ascii="宋体" w:hAnsi="宋体" w:cs="宋体"/>
          <w:color w:val="000000" w:themeColor="text1"/>
          <w:sz w:val="28"/>
          <w:szCs w:val="28"/>
          <w:highlight w:val="none"/>
          <w14:textFill>
            <w14:solidFill>
              <w14:schemeClr w14:val="tx1"/>
            </w14:solidFill>
          </w14:textFill>
        </w:rPr>
      </w:pPr>
    </w:p>
    <w:p w14:paraId="447D4FF1">
      <w:pPr>
        <w:shd w:val="clear"/>
        <w:outlineLvl w:val="9"/>
        <w:rPr>
          <w:rFonts w:ascii="宋体" w:hAnsi="宋体" w:eastAsia="宋体" w:cs="宋体"/>
          <w:color w:val="000000" w:themeColor="text1"/>
          <w:highlight w:val="none"/>
          <w14:textFill>
            <w14:solidFill>
              <w14:schemeClr w14:val="tx1"/>
            </w14:solidFill>
          </w14:textFill>
        </w:rPr>
      </w:pPr>
    </w:p>
    <w:p w14:paraId="2B9C0710">
      <w:pPr>
        <w:shd w:val="clear"/>
        <w:tabs>
          <w:tab w:val="left" w:pos="2280"/>
        </w:tabs>
        <w:spacing w:line="360" w:lineRule="auto"/>
        <w:ind w:left="1560"/>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附件一、中小企业声明函格式</w:t>
      </w:r>
    </w:p>
    <w:p w14:paraId="2C700FE5">
      <w:pPr>
        <w:shd w:val="clear"/>
        <w:tabs>
          <w:tab w:val="left" w:pos="2280"/>
        </w:tabs>
        <w:spacing w:line="360" w:lineRule="auto"/>
        <w:ind w:left="1560"/>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附件二、无重大违法记录声明格式</w:t>
      </w:r>
    </w:p>
    <w:p w14:paraId="01E1BB17">
      <w:pPr>
        <w:shd w:val="clear"/>
        <w:tabs>
          <w:tab w:val="left" w:pos="2280"/>
        </w:tabs>
        <w:spacing w:line="360" w:lineRule="auto"/>
        <w:ind w:left="1560"/>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附件三、具备履行合同所必需的设备和专业技术能力的声明格式及证明材料</w:t>
      </w:r>
    </w:p>
    <w:p w14:paraId="4F1B073E">
      <w:pPr>
        <w:shd w:val="clear"/>
        <w:tabs>
          <w:tab w:val="left" w:pos="2280"/>
        </w:tabs>
        <w:spacing w:line="360" w:lineRule="auto"/>
        <w:ind w:left="1560"/>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附件四、残疾人福利性单位声明函格式</w:t>
      </w:r>
    </w:p>
    <w:p w14:paraId="33CDEC1E">
      <w:pPr>
        <w:shd w:val="clear"/>
        <w:tabs>
          <w:tab w:val="left" w:pos="2280"/>
        </w:tabs>
        <w:spacing w:line="360" w:lineRule="auto"/>
        <w:ind w:left="1560"/>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附件五、属于监狱企业的证明文件</w:t>
      </w:r>
    </w:p>
    <w:p w14:paraId="6A4F8CC4">
      <w:pPr>
        <w:shd w:val="clear"/>
        <w:tabs>
          <w:tab w:val="left" w:pos="2280"/>
        </w:tabs>
        <w:spacing w:line="360" w:lineRule="auto"/>
        <w:ind w:left="1560"/>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附件六、投标单位廉政承诺书</w:t>
      </w:r>
    </w:p>
    <w:p w14:paraId="5C1AE405">
      <w:pPr>
        <w:shd w:val="clear"/>
        <w:tabs>
          <w:tab w:val="left" w:pos="2280"/>
        </w:tabs>
        <w:spacing w:line="360" w:lineRule="auto"/>
        <w:ind w:left="1560"/>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附件七 、承诺书</w:t>
      </w:r>
    </w:p>
    <w:p w14:paraId="54F3E391">
      <w:pPr>
        <w:pStyle w:val="5"/>
        <w:shd w:val="clear"/>
        <w:rPr>
          <w:color w:val="000000" w:themeColor="text1"/>
          <w:highlight w:val="none"/>
          <w:lang w:val="zh-CN"/>
          <w14:textFill>
            <w14:solidFill>
              <w14:schemeClr w14:val="tx1"/>
            </w14:solidFill>
          </w14:textFill>
        </w:rPr>
        <w:sectPr>
          <w:pgSz w:w="11906" w:h="16838"/>
          <w:pgMar w:top="850" w:right="850" w:bottom="850" w:left="1417" w:header="850" w:footer="992" w:gutter="0"/>
          <w:paperSrc/>
          <w:cols w:space="0" w:num="1"/>
          <w:rtlGutter w:val="0"/>
          <w:docGrid w:type="lines" w:linePitch="315" w:charSpace="0"/>
        </w:sectPr>
      </w:pPr>
    </w:p>
    <w:p w14:paraId="44CA85CE">
      <w:pPr>
        <w:shd w:val="clear"/>
        <w:autoSpaceDE w:val="0"/>
        <w:autoSpaceDN w:val="0"/>
        <w:adjustRightInd w:val="0"/>
        <w:ind w:firstLine="560"/>
        <w:jc w:val="center"/>
        <w:rPr>
          <w:rFonts w:ascii="宋体" w:hAnsi="宋体" w:cs="宋体"/>
          <w:b/>
          <w:bCs/>
          <w:color w:val="000000" w:themeColor="text1"/>
          <w:sz w:val="32"/>
          <w:szCs w:val="32"/>
          <w:highlight w:val="none"/>
          <w14:textFill>
            <w14:solidFill>
              <w14:schemeClr w14:val="tx1"/>
            </w14:solidFill>
          </w14:textFill>
        </w:rPr>
      </w:pPr>
    </w:p>
    <w:p w14:paraId="09BDDED8">
      <w:pPr>
        <w:shd w:val="clear"/>
        <w:autoSpaceDE w:val="0"/>
        <w:autoSpaceDN w:val="0"/>
        <w:adjustRightInd w:val="0"/>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一、磋商申请及声明</w:t>
      </w:r>
    </w:p>
    <w:p w14:paraId="10FD3671">
      <w:pPr>
        <w:shd w:val="clear"/>
        <w:autoSpaceDE w:val="0"/>
        <w:autoSpaceDN w:val="0"/>
        <w:adjustRightInd w:val="0"/>
        <w:rPr>
          <w:rFonts w:ascii="宋体" w:hAnsi="宋体" w:cs="宋体"/>
          <w:color w:val="000000" w:themeColor="text1"/>
          <w:szCs w:val="21"/>
          <w:highlight w:val="none"/>
          <w:lang w:val="zh-CN"/>
          <w14:textFill>
            <w14:solidFill>
              <w14:schemeClr w14:val="tx1"/>
            </w14:solidFill>
          </w14:textFill>
        </w:rPr>
      </w:pPr>
    </w:p>
    <w:p w14:paraId="2B4D66A1">
      <w:pPr>
        <w:shd w:val="clear"/>
        <w:jc w:val="center"/>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磋商申请及声明</w:t>
      </w:r>
    </w:p>
    <w:p w14:paraId="0BFAC2C2">
      <w:pPr>
        <w:shd w:val="clear"/>
        <w:autoSpaceDE w:val="0"/>
        <w:autoSpaceDN w:val="0"/>
        <w:adjustRightInd w:val="0"/>
        <w:rPr>
          <w:rFonts w:ascii="宋体" w:hAnsi="宋体" w:cs="宋体"/>
          <w:color w:val="000000" w:themeColor="text1"/>
          <w:szCs w:val="21"/>
          <w:highlight w:val="none"/>
          <w:lang w:val="zh-CN"/>
          <w14:textFill>
            <w14:solidFill>
              <w14:schemeClr w14:val="tx1"/>
            </w14:solidFill>
          </w14:textFill>
        </w:rPr>
      </w:pPr>
    </w:p>
    <w:p w14:paraId="0DCD8637">
      <w:pPr>
        <w:shd w:val="clear"/>
        <w:autoSpaceDE w:val="0"/>
        <w:autoSpaceDN w:val="0"/>
        <w:adjustRightInd w:val="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致：中国药科大学：</w:t>
      </w:r>
    </w:p>
    <w:p w14:paraId="2629F458">
      <w:pPr>
        <w:shd w:val="clear"/>
        <w:autoSpaceDE w:val="0"/>
        <w:autoSpaceDN w:val="0"/>
        <w:adjustRightInd w:val="0"/>
        <w:ind w:firstLine="42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根据贵方（项目名称）（项目编号）磋商邀请，正式授权下述签字人（姓名和职务）代表（供应商名称），提交响应文件并参加磋商。</w:t>
      </w:r>
    </w:p>
    <w:p w14:paraId="1D24BCDA">
      <w:pPr>
        <w:shd w:val="clear"/>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据此函，签字人兹宣布同意如下：</w:t>
      </w:r>
    </w:p>
    <w:p w14:paraId="67065E78">
      <w:pPr>
        <w:shd w:val="clear"/>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w:t>
      </w:r>
      <w:r>
        <w:rPr>
          <w:rFonts w:hint="eastAsia" w:ascii="宋体" w:hAnsi="宋体" w:cs="宋体"/>
          <w:b/>
          <w:color w:val="000000" w:themeColor="text1"/>
          <w:szCs w:val="21"/>
          <w:highlight w:val="none"/>
          <w:lang w:val="zh-CN"/>
          <w14:textFill>
            <w14:solidFill>
              <w14:schemeClr w14:val="tx1"/>
            </w14:solidFill>
          </w14:textFill>
        </w:rPr>
        <w:t>我们的资格条件完全符合政府采购法和本次采购要求</w:t>
      </w:r>
      <w:r>
        <w:rPr>
          <w:rFonts w:hint="eastAsia" w:ascii="宋体" w:hAnsi="宋体" w:cs="宋体"/>
          <w:color w:val="000000" w:themeColor="text1"/>
          <w:szCs w:val="21"/>
          <w:highlight w:val="none"/>
          <w:lang w:val="zh-CN"/>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我们</w:t>
      </w:r>
      <w:r>
        <w:rPr>
          <w:rFonts w:hint="eastAsia" w:ascii="宋体" w:hAnsi="宋体" w:cs="宋体"/>
          <w:color w:val="000000" w:themeColor="text1"/>
          <w:szCs w:val="21"/>
          <w:highlight w:val="none"/>
          <w:lang w:val="zh-CN"/>
          <w14:textFill>
            <w14:solidFill>
              <w14:schemeClr w14:val="tx1"/>
            </w14:solidFill>
          </w14:textFill>
        </w:rPr>
        <w:t>同意并向贵方提供了与本次采购活动有关的所有证据和资料</w:t>
      </w:r>
      <w:r>
        <w:rPr>
          <w:rFonts w:hint="eastAsia" w:ascii="宋体" w:hAnsi="宋体" w:cs="宋体"/>
          <w:color w:val="000000" w:themeColor="text1"/>
          <w:highlight w:val="none"/>
          <w14:textFill>
            <w14:solidFill>
              <w14:schemeClr w14:val="tx1"/>
            </w14:solidFill>
          </w14:textFill>
        </w:rPr>
        <w:t>。</w:t>
      </w:r>
    </w:p>
    <w:p w14:paraId="5DC67489">
      <w:pPr>
        <w:shd w:val="clear"/>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2、项目名称：。</w:t>
      </w:r>
    </w:p>
    <w:p w14:paraId="30091D88">
      <w:pPr>
        <w:shd w:val="clear"/>
        <w:spacing w:line="360" w:lineRule="auto"/>
        <w:ind w:firstLine="420" w:firstLineChars="200"/>
        <w:rPr>
          <w:rFonts w:ascii="宋体" w:hAnsi="宋体"/>
          <w:color w:val="000000" w:themeColor="text1"/>
          <w:sz w:val="24"/>
          <w:szCs w:val="24"/>
          <w:highlight w:val="none"/>
          <w:u w:val="single"/>
          <w:lang w:val="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3、根据已收到的本项目磋商文件，遵照规定，我单位经现场考察和认真研究上述磋商文件后，我们的首次报价为</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lang w:val="zh-CN"/>
          <w14:textFill>
            <w14:solidFill>
              <w14:schemeClr w14:val="tx1"/>
            </w14:solidFill>
          </w14:textFill>
        </w:rPr>
        <w:t>（大写），</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lang w:val="zh-CN"/>
          <w14:textFill>
            <w14:solidFill>
              <w14:schemeClr w14:val="tx1"/>
            </w14:solidFill>
          </w14:textFill>
        </w:rPr>
        <w:t>（小写）。</w:t>
      </w:r>
      <w:r>
        <w:rPr>
          <w:rFonts w:hint="eastAsia" w:ascii="宋体" w:hAnsi="宋体" w:cs="宋体"/>
          <w:color w:val="000000" w:themeColor="text1"/>
          <w:highlight w:val="none"/>
          <w14:textFill>
            <w14:solidFill>
              <w14:schemeClr w14:val="tx1"/>
            </w14:solidFill>
          </w14:textFill>
        </w:rPr>
        <w:t>项目负责人姓名：</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，合同履行期限：</w:t>
      </w:r>
      <w:r>
        <w:rPr>
          <w:rFonts w:hint="eastAsia" w:ascii="宋体" w:hAnsi="宋体" w:cs="宋体"/>
          <w:color w:val="000000" w:themeColor="text1"/>
          <w:highlight w:val="none"/>
          <w:u w:val="single"/>
          <w14:textFill>
            <w14:solidFill>
              <w14:schemeClr w14:val="tx1"/>
            </w14:solidFill>
          </w14:textFill>
        </w:rPr>
        <w:t xml:space="preserve">          。</w:t>
      </w:r>
    </w:p>
    <w:p w14:paraId="2C4F056A">
      <w:pPr>
        <w:shd w:val="clear"/>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4、</w:t>
      </w:r>
      <w:r>
        <w:rPr>
          <w:rFonts w:hint="eastAsia" w:ascii="宋体" w:hAnsi="宋体" w:cs="宋体"/>
          <w:color w:val="000000" w:themeColor="text1"/>
          <w:szCs w:val="21"/>
          <w:highlight w:val="none"/>
          <w:lang w:val="zh-CN"/>
          <w14:textFill>
            <w14:solidFill>
              <w14:schemeClr w14:val="tx1"/>
            </w14:solidFill>
          </w14:textFill>
        </w:rPr>
        <w:t>我们已详细审核全部磋商文件及其有效补充文件，我们放弃对磋商文件任何误解的权利，提交响应文件后，</w:t>
      </w:r>
      <w:r>
        <w:rPr>
          <w:rFonts w:hint="eastAsia" w:ascii="宋体" w:hAnsi="宋体" w:cs="宋体"/>
          <w:b/>
          <w:color w:val="000000" w:themeColor="text1"/>
          <w:szCs w:val="21"/>
          <w:highlight w:val="none"/>
          <w:lang w:val="zh-CN"/>
          <w14:textFill>
            <w14:solidFill>
              <w14:schemeClr w14:val="tx1"/>
            </w14:solidFill>
          </w14:textFill>
        </w:rPr>
        <w:t>不对磋商文件本身提出质疑</w:t>
      </w:r>
      <w:r>
        <w:rPr>
          <w:rFonts w:hint="eastAsia" w:ascii="宋体" w:hAnsi="宋体" w:cs="宋体"/>
          <w:color w:val="000000" w:themeColor="text1"/>
          <w:szCs w:val="21"/>
          <w:highlight w:val="none"/>
          <w:lang w:val="zh-CN"/>
          <w14:textFill>
            <w14:solidFill>
              <w14:schemeClr w14:val="tx1"/>
            </w14:solidFill>
          </w14:textFill>
        </w:rPr>
        <w:t>。否则，属于不诚信和故意扰乱政府采购活动行为，我们将无条件接受处罚。</w:t>
      </w:r>
    </w:p>
    <w:p w14:paraId="5AB04F32">
      <w:pPr>
        <w:shd w:val="clear"/>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5、一旦我方成交，我方将根据磋商文件的规定，严格履行合同，保证于承诺的时间内完成本项目规定的服务内容。</w:t>
      </w:r>
    </w:p>
    <w:p w14:paraId="6EC5DC34">
      <w:pPr>
        <w:shd w:val="clear"/>
        <w:ind w:firstLine="420" w:firstLineChars="200"/>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6、我方决不</w:t>
      </w:r>
      <w:r>
        <w:rPr>
          <w:rFonts w:hint="eastAsia" w:ascii="宋体" w:hAnsi="宋体" w:cs="宋体"/>
          <w:color w:val="000000" w:themeColor="text1"/>
          <w:szCs w:val="21"/>
          <w:highlight w:val="none"/>
          <w14:textFill>
            <w14:solidFill>
              <w14:schemeClr w14:val="tx1"/>
            </w14:solidFill>
          </w14:textFill>
        </w:rPr>
        <w:t>提供虚假材料谋取成交、</w:t>
      </w:r>
      <w:r>
        <w:rPr>
          <w:rFonts w:hint="eastAsia" w:ascii="宋体" w:hAnsi="宋体" w:cs="宋体"/>
          <w:color w:val="000000" w:themeColor="text1"/>
          <w:highlight w:val="none"/>
          <w14:textFill>
            <w14:solidFill>
              <w14:schemeClr w14:val="tx1"/>
            </w14:solidFill>
          </w14:textFill>
        </w:rPr>
        <w:t>决不</w:t>
      </w:r>
      <w:r>
        <w:rPr>
          <w:rFonts w:hint="eastAsia" w:ascii="宋体" w:hAnsi="宋体" w:cs="宋体"/>
          <w:color w:val="000000" w:themeColor="text1"/>
          <w:szCs w:val="21"/>
          <w:highlight w:val="none"/>
          <w14:textFill>
            <w14:solidFill>
              <w14:schemeClr w14:val="tx1"/>
            </w14:solidFill>
          </w14:textFill>
        </w:rPr>
        <w:t>采取不正当手段诋毁、排挤其他供应商、</w:t>
      </w:r>
      <w:r>
        <w:rPr>
          <w:rFonts w:hint="eastAsia" w:ascii="宋体" w:hAnsi="宋体" w:cs="宋体"/>
          <w:color w:val="000000" w:themeColor="text1"/>
          <w:highlight w:val="none"/>
          <w14:textFill>
            <w14:solidFill>
              <w14:schemeClr w14:val="tx1"/>
            </w14:solidFill>
          </w14:textFill>
        </w:rPr>
        <w:t>决不</w:t>
      </w:r>
      <w:r>
        <w:rPr>
          <w:rFonts w:hint="eastAsia" w:ascii="宋体" w:hAnsi="宋体" w:cs="宋体"/>
          <w:color w:val="000000" w:themeColor="text1"/>
          <w:szCs w:val="21"/>
          <w:highlight w:val="none"/>
          <w14:textFill>
            <w14:solidFill>
              <w14:schemeClr w14:val="tx1"/>
            </w14:solidFill>
          </w14:textFill>
        </w:rPr>
        <w:t>与采购人、其它供应商或者代理机构恶意串通、</w:t>
      </w:r>
      <w:r>
        <w:rPr>
          <w:rFonts w:hint="eastAsia" w:ascii="宋体" w:hAnsi="宋体" w:cs="宋体"/>
          <w:color w:val="000000" w:themeColor="text1"/>
          <w:highlight w:val="none"/>
          <w14:textFill>
            <w14:solidFill>
              <w14:schemeClr w14:val="tx1"/>
            </w14:solidFill>
          </w14:textFill>
        </w:rPr>
        <w:t>决不</w:t>
      </w:r>
      <w:r>
        <w:rPr>
          <w:rFonts w:hint="eastAsia" w:ascii="宋体" w:hAnsi="宋体" w:cs="宋体"/>
          <w:color w:val="000000" w:themeColor="text1"/>
          <w:szCs w:val="21"/>
          <w:highlight w:val="none"/>
          <w14:textFill>
            <w14:solidFill>
              <w14:schemeClr w14:val="tx1"/>
            </w14:solidFill>
          </w14:textFill>
        </w:rPr>
        <w:t>向</w:t>
      </w:r>
      <w:r>
        <w:rPr>
          <w:rFonts w:hint="eastAsia" w:ascii="宋体" w:hAnsi="宋体" w:cs="宋体"/>
          <w:color w:val="000000" w:themeColor="text1"/>
          <w:highlight w:val="none"/>
          <w14:textFill>
            <w14:solidFill>
              <w14:schemeClr w14:val="tx1"/>
            </w14:solidFill>
          </w14:textFill>
        </w:rPr>
        <w:t>采购人、代理机构工作人员和磋商小组进行商业贿赂</w:t>
      </w:r>
      <w:r>
        <w:rPr>
          <w:rFonts w:hint="eastAsia" w:ascii="宋体" w:hAnsi="宋体" w:cs="宋体"/>
          <w:color w:val="000000" w:themeColor="text1"/>
          <w:szCs w:val="21"/>
          <w:highlight w:val="none"/>
          <w14:textFill>
            <w14:solidFill>
              <w14:schemeClr w14:val="tx1"/>
            </w14:solidFill>
          </w14:textFill>
        </w:rPr>
        <w:t>、决不拒绝有关部门监督检查或提供虚假情况，如有违反，</w:t>
      </w:r>
      <w:r>
        <w:rPr>
          <w:rFonts w:hint="eastAsia" w:ascii="宋体" w:hAnsi="宋体" w:cs="宋体"/>
          <w:color w:val="000000" w:themeColor="text1"/>
          <w:highlight w:val="none"/>
          <w14:textFill>
            <w14:solidFill>
              <w14:schemeClr w14:val="tx1"/>
            </w14:solidFill>
          </w14:textFill>
        </w:rPr>
        <w:t>无条件接受贵方及相关管理部门的处罚。</w:t>
      </w:r>
    </w:p>
    <w:p w14:paraId="1CFAAD7C">
      <w:pPr>
        <w:shd w:val="clear"/>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7、我方正式通讯方式为：</w:t>
      </w:r>
    </w:p>
    <w:p w14:paraId="2A34576B">
      <w:pPr>
        <w:shd w:val="clear"/>
        <w:ind w:firstLine="420" w:firstLineChars="200"/>
        <w:rPr>
          <w:rFonts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地   址：</w:t>
      </w:r>
    </w:p>
    <w:p w14:paraId="4A9D605F">
      <w:pPr>
        <w:shd w:val="clear"/>
        <w:ind w:firstLine="420" w:firstLineChars="200"/>
        <w:rPr>
          <w:rFonts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电   话：</w:t>
      </w:r>
    </w:p>
    <w:p w14:paraId="2540803B">
      <w:pPr>
        <w:shd w:val="clear"/>
        <w:ind w:firstLine="420" w:firstLineChars="200"/>
        <w:rPr>
          <w:rFonts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传   真：</w:t>
      </w:r>
    </w:p>
    <w:p w14:paraId="78027FFF">
      <w:pPr>
        <w:shd w:val="clear"/>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8、我方正式开户银行和帐号为：</w:t>
      </w:r>
    </w:p>
    <w:p w14:paraId="22CD0677">
      <w:pPr>
        <w:shd w:val="clear"/>
        <w:ind w:firstLine="420" w:firstLineChars="200"/>
        <w:rPr>
          <w:rFonts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开户银行：</w:t>
      </w:r>
    </w:p>
    <w:p w14:paraId="353ACB94">
      <w:pPr>
        <w:shd w:val="clear"/>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帐    号：</w:t>
      </w:r>
    </w:p>
    <w:p w14:paraId="6D419902">
      <w:pPr>
        <w:shd w:val="clear"/>
        <w:ind w:firstLine="420" w:firstLineChars="200"/>
        <w:rPr>
          <w:rFonts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供应商授权代表姓名（签字）：</w:t>
      </w:r>
    </w:p>
    <w:p w14:paraId="2FE1C53F">
      <w:pPr>
        <w:shd w:val="clear"/>
        <w:ind w:firstLine="420" w:firstLineChars="2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供应商名称（公章）：</w:t>
      </w:r>
    </w:p>
    <w:p w14:paraId="736DB9F2">
      <w:pPr>
        <w:shd w:val="clear"/>
        <w:ind w:firstLine="420" w:firstLineChars="200"/>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日    期：年月日</w:t>
      </w:r>
    </w:p>
    <w:p w14:paraId="0D0F456A">
      <w:pPr>
        <w:shd w:val="clear"/>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br w:type="page"/>
      </w:r>
    </w:p>
    <w:p w14:paraId="69152C36">
      <w:pPr>
        <w:shd w:val="clear"/>
        <w:autoSpaceDE w:val="0"/>
        <w:autoSpaceDN w:val="0"/>
        <w:adjustRightInd w:val="0"/>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二、法定代表人授权书格式</w:t>
      </w:r>
    </w:p>
    <w:p w14:paraId="7B6CF0E5">
      <w:pPr>
        <w:shd w:val="clear"/>
        <w:jc w:val="center"/>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法定代表人授权书</w:t>
      </w:r>
    </w:p>
    <w:p w14:paraId="144A5193">
      <w:pPr>
        <w:shd w:val="clear"/>
        <w:autoSpaceDE w:val="0"/>
        <w:autoSpaceDN w:val="0"/>
        <w:adjustRightInd w:val="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中国药科大学：</w:t>
      </w:r>
    </w:p>
    <w:p w14:paraId="50D49DA7">
      <w:pPr>
        <w:shd w:val="clear"/>
        <w:autoSpaceDE w:val="0"/>
        <w:autoSpaceDN w:val="0"/>
        <w:adjustRightInd w:val="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本授权书声明：注册于（供应商住址）的（供应商名称）法定代表人（法定代表人姓名、职务）代表本公司授权在下面签字的（供应商代表姓名、职务）为本公司的合法代理人，就贵方组织的</w:t>
      </w:r>
    </w:p>
    <w:p w14:paraId="68A9C5E2">
      <w:pPr>
        <w:shd w:val="clear"/>
        <w:autoSpaceDE w:val="0"/>
        <w:autoSpaceDN w:val="0"/>
        <w:adjustRightInd w:val="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（项目名称）（项目编号）竞争性磋商，以本公司名义处理一切与之有关的事务。</w:t>
      </w:r>
    </w:p>
    <w:p w14:paraId="442673C9">
      <w:pPr>
        <w:shd w:val="clear"/>
        <w:autoSpaceDE w:val="0"/>
        <w:autoSpaceDN w:val="0"/>
        <w:adjustRightInd w:val="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本授权书于年月 日签字生效，特此声明。</w:t>
      </w:r>
    </w:p>
    <w:p w14:paraId="0414E6C8">
      <w:pPr>
        <w:shd w:val="clear"/>
        <w:autoSpaceDE w:val="0"/>
        <w:autoSpaceDN w:val="0"/>
        <w:adjustRightInd w:val="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供应商名称（盖章）：</w:t>
      </w:r>
    </w:p>
    <w:p w14:paraId="241A6D61">
      <w:pPr>
        <w:shd w:val="clear"/>
        <w:autoSpaceDE w:val="0"/>
        <w:autoSpaceDN w:val="0"/>
        <w:adjustRightInd w:val="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法定代表人（签字或盖章）：</w:t>
      </w:r>
    </w:p>
    <w:p w14:paraId="36BCC507">
      <w:pPr>
        <w:shd w:val="clear"/>
        <w:autoSpaceDE w:val="0"/>
        <w:autoSpaceDN w:val="0"/>
        <w:adjustRightInd w:val="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被授权人签字：</w:t>
      </w:r>
    </w:p>
    <w:p w14:paraId="0B648A11">
      <w:pPr>
        <w:shd w:val="clear"/>
        <w:autoSpaceDE w:val="0"/>
        <w:autoSpaceDN w:val="0"/>
        <w:adjustRightInd w:val="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日期：年月日</w:t>
      </w:r>
    </w:p>
    <w:p w14:paraId="60AADB9B">
      <w:pPr>
        <w:shd w:val="clear"/>
        <w:autoSpaceDE w:val="0"/>
        <w:autoSpaceDN w:val="0"/>
        <w:adjustRightInd w:val="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法定代表人身份证：</w:t>
      </w:r>
    </w:p>
    <w:p w14:paraId="64D3794B">
      <w:pPr>
        <w:shd w:val="clear"/>
        <w:tabs>
          <w:tab w:val="left" w:pos="1440"/>
        </w:tabs>
        <w:autoSpaceDE w:val="0"/>
        <w:autoSpaceDN w:val="0"/>
        <w:adjustRightInd w:val="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被授权人身份证：</w:t>
      </w:r>
    </w:p>
    <w:p w14:paraId="2A246BDE">
      <w:pPr>
        <w:shd w:val="clear"/>
        <w:autoSpaceDE w:val="0"/>
        <w:autoSpaceDN w:val="0"/>
        <w:adjustRightInd w:val="0"/>
        <w:spacing w:line="360" w:lineRule="auto"/>
        <w:rPr>
          <w:rFonts w:ascii="宋体" w:hAnsi="宋体" w:cs="宋体"/>
          <w:b/>
          <w:bCs/>
          <w:color w:val="000000" w:themeColor="text1"/>
          <w:szCs w:val="21"/>
          <w:highlight w:val="none"/>
          <w:lang w:val="zh-CN"/>
          <w14:textFill>
            <w14:solidFill>
              <w14:schemeClr w14:val="tx1"/>
            </w14:solidFill>
          </w14:textFill>
        </w:rPr>
        <w:sectPr>
          <w:pgSz w:w="11906" w:h="16838"/>
          <w:pgMar w:top="850" w:right="850" w:bottom="850" w:left="1417" w:header="850" w:footer="992" w:gutter="0"/>
          <w:paperSrc/>
          <w:cols w:space="0" w:num="1"/>
          <w:rtlGutter w:val="0"/>
          <w:docGrid w:type="lines" w:linePitch="315" w:charSpace="0"/>
        </w:sectPr>
      </w:pPr>
    </w:p>
    <w:p w14:paraId="519B91AD">
      <w:pPr>
        <w:shd w:val="clear"/>
        <w:autoSpaceDE w:val="0"/>
        <w:autoSpaceDN w:val="0"/>
        <w:adjustRightInd w:val="0"/>
        <w:spacing w:line="360" w:lineRule="auto"/>
        <w:rPr>
          <w:rFonts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三、竞争性磋商报价表</w:t>
      </w:r>
    </w:p>
    <w:p w14:paraId="3B22A0B1">
      <w:pPr>
        <w:shd w:val="clear"/>
        <w:jc w:val="center"/>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竞争性磋商报价表</w:t>
      </w:r>
    </w:p>
    <w:p w14:paraId="0E08BEAC">
      <w:pPr>
        <w:shd w:val="clear"/>
        <w:outlineLvl w:val="9"/>
        <w:rPr>
          <w:rFonts w:ascii="宋体" w:hAnsi="宋体" w:cs="宋体"/>
          <w:color w:val="000000" w:themeColor="text1"/>
          <w:sz w:val="36"/>
          <w:szCs w:val="36"/>
          <w:highlight w:val="none"/>
          <w14:textFill>
            <w14:solidFill>
              <w14:schemeClr w14:val="tx1"/>
            </w14:solidFill>
          </w14:textFill>
        </w:rPr>
      </w:pPr>
    </w:p>
    <w:p w14:paraId="5B71A4F6">
      <w:pPr>
        <w:shd w:val="clear"/>
        <w:autoSpaceDE w:val="0"/>
        <w:autoSpaceDN w:val="0"/>
        <w:adjustRightInd w:val="0"/>
        <w:spacing w:line="360" w:lineRule="auto"/>
        <w:rPr>
          <w:rFonts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 xml:space="preserve">                                    </w:t>
      </w:r>
    </w:p>
    <w:tbl>
      <w:tblPr>
        <w:tblStyle w:val="25"/>
        <w:tblW w:w="9220" w:type="dxa"/>
        <w:tblInd w:w="83" w:type="dxa"/>
        <w:shd w:val="clear" w:color="auto" w:fill="FFFFFF"/>
        <w:tblLayout w:type="fixed"/>
        <w:tblCellMar>
          <w:top w:w="0" w:type="dxa"/>
          <w:left w:w="0" w:type="dxa"/>
          <w:bottom w:w="0" w:type="dxa"/>
          <w:right w:w="0" w:type="dxa"/>
        </w:tblCellMar>
      </w:tblPr>
      <w:tblGrid>
        <w:gridCol w:w="864"/>
        <w:gridCol w:w="2181"/>
        <w:gridCol w:w="2362"/>
        <w:gridCol w:w="257"/>
        <w:gridCol w:w="1249"/>
        <w:gridCol w:w="2307"/>
      </w:tblGrid>
      <w:tr w14:paraId="1701DBFA">
        <w:tblPrEx>
          <w:shd w:val="clear" w:color="auto" w:fill="FFFFFF"/>
          <w:tblCellMar>
            <w:top w:w="0" w:type="dxa"/>
            <w:left w:w="0" w:type="dxa"/>
            <w:bottom w:w="0" w:type="dxa"/>
            <w:right w:w="0" w:type="dxa"/>
          </w:tblCellMar>
        </w:tblPrEx>
        <w:trPr>
          <w:trHeight w:val="255" w:hRule="atLeast"/>
        </w:trPr>
        <w:tc>
          <w:tcPr>
            <w:tcW w:w="5664" w:type="dxa"/>
            <w:gridSpan w:val="4"/>
            <w:tcBorders>
              <w:top w:val="nil"/>
              <w:left w:val="nil"/>
              <w:bottom w:val="single" w:color="auto" w:sz="8" w:space="0"/>
              <w:right w:val="nil"/>
            </w:tcBorders>
            <w:shd w:val="clear" w:color="auto" w:fill="FFFFFF"/>
            <w:tcMar>
              <w:top w:w="0" w:type="dxa"/>
              <w:left w:w="108" w:type="dxa"/>
              <w:bottom w:w="0" w:type="dxa"/>
              <w:right w:w="108" w:type="dxa"/>
            </w:tcMar>
            <w:vAlign w:val="center"/>
          </w:tcPr>
          <w:p w14:paraId="2B0DF3DF">
            <w:pPr>
              <w:widowControl/>
              <w:shd w:val="clear"/>
              <w:spacing w:line="44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项目名称：</w:t>
            </w:r>
          </w:p>
        </w:tc>
        <w:tc>
          <w:tcPr>
            <w:tcW w:w="3556" w:type="dxa"/>
            <w:gridSpan w:val="2"/>
            <w:tcBorders>
              <w:top w:val="nil"/>
              <w:left w:val="nil"/>
              <w:bottom w:val="single" w:color="auto" w:sz="8" w:space="0"/>
              <w:right w:val="nil"/>
            </w:tcBorders>
            <w:shd w:val="clear" w:color="auto" w:fill="FFFFFF"/>
            <w:tcMar>
              <w:top w:w="0" w:type="dxa"/>
              <w:left w:w="108" w:type="dxa"/>
              <w:bottom w:w="0" w:type="dxa"/>
              <w:right w:w="108" w:type="dxa"/>
            </w:tcMar>
            <w:vAlign w:val="center"/>
          </w:tcPr>
          <w:p w14:paraId="49E55A6F">
            <w:pPr>
              <w:widowControl/>
              <w:shd w:val="clear"/>
              <w:spacing w:line="440" w:lineRule="exact"/>
              <w:rPr>
                <w:rFonts w:hint="eastAsia" w:eastAsia="宋体"/>
                <w:color w:val="000000" w:themeColor="text1"/>
                <w:szCs w:val="21"/>
                <w:highlight w:val="none"/>
                <w:lang w:eastAsia="zh-CN"/>
                <w14:textFill>
                  <w14:solidFill>
                    <w14:schemeClr w14:val="tx1"/>
                  </w14:solidFill>
                </w14:textFill>
              </w:rPr>
            </w:pPr>
            <w:r>
              <w:rPr>
                <w:rFonts w:hint="eastAsia"/>
                <w:color w:val="000000" w:themeColor="text1"/>
                <w:szCs w:val="21"/>
                <w:highlight w:val="none"/>
                <w14:textFill>
                  <w14:solidFill>
                    <w14:schemeClr w14:val="tx1"/>
                  </w14:solidFill>
                </w14:textFill>
              </w:rPr>
              <w:t>项目编号：</w:t>
            </w:r>
            <w:r>
              <w:rPr>
                <w:rFonts w:hint="eastAsia"/>
                <w:color w:val="000000" w:themeColor="text1"/>
                <w:szCs w:val="21"/>
                <w:highlight w:val="none"/>
                <w:lang w:val="en-US" w:eastAsia="zh-CN"/>
                <w14:textFill>
                  <w14:solidFill>
                    <w14:schemeClr w14:val="tx1"/>
                  </w14:solidFill>
                </w14:textFill>
              </w:rPr>
              <w:t xml:space="preserve"> </w:t>
            </w:r>
          </w:p>
        </w:tc>
      </w:tr>
      <w:tr w14:paraId="7463BFA5">
        <w:tblPrEx>
          <w:shd w:val="clear" w:color="auto" w:fill="FFFFFF"/>
          <w:tblCellMar>
            <w:top w:w="0" w:type="dxa"/>
            <w:left w:w="0" w:type="dxa"/>
            <w:bottom w:w="0" w:type="dxa"/>
            <w:right w:w="0" w:type="dxa"/>
          </w:tblCellMar>
        </w:tblPrEx>
        <w:trPr>
          <w:trHeight w:val="838" w:hRule="atLeast"/>
        </w:trPr>
        <w:tc>
          <w:tcPr>
            <w:tcW w:w="864"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79C760B3">
            <w:pPr>
              <w:widowControl/>
              <w:shd w:val="clear"/>
              <w:spacing w:line="440" w:lineRule="exact"/>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序号</w:t>
            </w:r>
          </w:p>
        </w:tc>
        <w:tc>
          <w:tcPr>
            <w:tcW w:w="4543" w:type="dxa"/>
            <w:gridSpan w:val="2"/>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1B904B45">
            <w:pPr>
              <w:widowControl/>
              <w:shd w:val="clear"/>
              <w:spacing w:line="440" w:lineRule="exact"/>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名</w:t>
            </w:r>
            <w:r>
              <w:rPr>
                <w:rFonts w:hint="eastAsia"/>
                <w:color w:val="000000" w:themeColor="text1"/>
                <w:szCs w:val="21"/>
                <w:highlight w:val="none"/>
                <w:lang w:val="en-US" w:eastAsia="zh-CN"/>
                <w14:textFill>
                  <w14:solidFill>
                    <w14:schemeClr w14:val="tx1"/>
                  </w14:solidFill>
                </w14:textFill>
              </w:rPr>
              <w:t xml:space="preserve">      </w:t>
            </w:r>
            <w:r>
              <w:rPr>
                <w:rFonts w:hint="eastAsia"/>
                <w:color w:val="000000" w:themeColor="text1"/>
                <w:szCs w:val="21"/>
                <w:highlight w:val="none"/>
                <w14:textFill>
                  <w14:solidFill>
                    <w14:schemeClr w14:val="tx1"/>
                  </w14:solidFill>
                </w14:textFill>
              </w:rPr>
              <w:t>称</w:t>
            </w:r>
          </w:p>
        </w:tc>
        <w:tc>
          <w:tcPr>
            <w:tcW w:w="1506" w:type="dxa"/>
            <w:gridSpan w:val="2"/>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2E0BE8A8">
            <w:pPr>
              <w:widowControl/>
              <w:shd w:val="clear"/>
              <w:spacing w:line="440" w:lineRule="exact"/>
              <w:jc w:val="center"/>
              <w:rPr>
                <w:color w:val="000000" w:themeColor="text1"/>
                <w:szCs w:val="21"/>
                <w:highlight w:val="none"/>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报价（元）</w:t>
            </w:r>
          </w:p>
        </w:tc>
        <w:tc>
          <w:tcPr>
            <w:tcW w:w="2307" w:type="dxa"/>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670FDA4A">
            <w:pPr>
              <w:widowControl/>
              <w:shd w:val="clear"/>
              <w:spacing w:line="440" w:lineRule="exact"/>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备注</w:t>
            </w:r>
          </w:p>
        </w:tc>
      </w:tr>
      <w:tr w14:paraId="29AD3E71">
        <w:tblPrEx>
          <w:shd w:val="clear" w:color="auto" w:fill="FFFFFF"/>
          <w:tblCellMar>
            <w:top w:w="0" w:type="dxa"/>
            <w:left w:w="0" w:type="dxa"/>
            <w:bottom w:w="0" w:type="dxa"/>
            <w:right w:w="0" w:type="dxa"/>
          </w:tblCellMar>
        </w:tblPrEx>
        <w:trPr>
          <w:trHeight w:val="229" w:hRule="atLeast"/>
        </w:trPr>
        <w:tc>
          <w:tcPr>
            <w:tcW w:w="864" w:type="dxa"/>
            <w:tcBorders>
              <w:top w:val="single" w:color="auto" w:sz="8" w:space="0"/>
              <w:left w:val="single" w:color="auto" w:sz="8" w:space="0"/>
              <w:bottom w:val="single" w:color="auto" w:sz="4" w:space="0"/>
              <w:right w:val="single" w:color="auto" w:sz="8" w:space="0"/>
            </w:tcBorders>
            <w:shd w:val="clear" w:color="auto" w:fill="FFFFFF"/>
            <w:tcMar>
              <w:top w:w="0" w:type="dxa"/>
              <w:left w:w="108" w:type="dxa"/>
              <w:bottom w:w="0" w:type="dxa"/>
              <w:right w:w="108" w:type="dxa"/>
            </w:tcMar>
            <w:vAlign w:val="center"/>
          </w:tcPr>
          <w:p w14:paraId="34CBBA6E">
            <w:pPr>
              <w:widowControl/>
              <w:shd w:val="clear"/>
              <w:spacing w:line="440" w:lineRule="exact"/>
              <w:jc w:val="center"/>
              <w:rPr>
                <w:color w:val="000000" w:themeColor="text1"/>
                <w:szCs w:val="21"/>
                <w:highlight w:val="none"/>
                <w14:textFill>
                  <w14:solidFill>
                    <w14:schemeClr w14:val="tx1"/>
                  </w14:solidFill>
                </w14:textFill>
              </w:rPr>
            </w:pPr>
          </w:p>
        </w:tc>
        <w:tc>
          <w:tcPr>
            <w:tcW w:w="4543" w:type="dxa"/>
            <w:gridSpan w:val="2"/>
            <w:tcBorders>
              <w:top w:val="single" w:color="auto" w:sz="8" w:space="0"/>
              <w:left w:val="single" w:color="auto" w:sz="8" w:space="0"/>
              <w:bottom w:val="single" w:color="auto" w:sz="4" w:space="0"/>
              <w:right w:val="single" w:color="auto" w:sz="8" w:space="0"/>
            </w:tcBorders>
            <w:shd w:val="clear" w:color="auto" w:fill="FFFFFF"/>
            <w:tcMar>
              <w:top w:w="0" w:type="dxa"/>
              <w:left w:w="108" w:type="dxa"/>
              <w:bottom w:w="0" w:type="dxa"/>
              <w:right w:w="108" w:type="dxa"/>
            </w:tcMar>
            <w:vAlign w:val="center"/>
          </w:tcPr>
          <w:p w14:paraId="20E5938E">
            <w:pPr>
              <w:widowControl/>
              <w:shd w:val="clear"/>
              <w:spacing w:line="440" w:lineRule="exact"/>
              <w:rPr>
                <w:color w:val="000000" w:themeColor="text1"/>
                <w:szCs w:val="21"/>
                <w:highlight w:val="none"/>
                <w14:textFill>
                  <w14:solidFill>
                    <w14:schemeClr w14:val="tx1"/>
                  </w14:solidFill>
                </w14:textFill>
              </w:rPr>
            </w:pPr>
          </w:p>
        </w:tc>
        <w:tc>
          <w:tcPr>
            <w:tcW w:w="1506" w:type="dxa"/>
            <w:gridSpan w:val="2"/>
            <w:tcBorders>
              <w:top w:val="single" w:color="auto" w:sz="8" w:space="0"/>
              <w:left w:val="single" w:color="auto" w:sz="8" w:space="0"/>
              <w:bottom w:val="single" w:color="auto" w:sz="4" w:space="0"/>
              <w:right w:val="single" w:color="auto" w:sz="8" w:space="0"/>
            </w:tcBorders>
            <w:shd w:val="clear" w:color="auto" w:fill="FFFFFF"/>
            <w:tcMar>
              <w:top w:w="0" w:type="dxa"/>
              <w:left w:w="108" w:type="dxa"/>
              <w:bottom w:w="0" w:type="dxa"/>
              <w:right w:w="108" w:type="dxa"/>
            </w:tcMar>
            <w:vAlign w:val="center"/>
          </w:tcPr>
          <w:p w14:paraId="3DF8F5ED">
            <w:pPr>
              <w:widowControl/>
              <w:shd w:val="clear"/>
              <w:spacing w:line="440" w:lineRule="exact"/>
              <w:jc w:val="center"/>
              <w:rPr>
                <w:color w:val="000000" w:themeColor="text1"/>
                <w:szCs w:val="21"/>
                <w:highlight w:val="none"/>
                <w14:textFill>
                  <w14:solidFill>
                    <w14:schemeClr w14:val="tx1"/>
                  </w14:solidFill>
                </w14:textFill>
              </w:rPr>
            </w:pPr>
          </w:p>
        </w:tc>
        <w:tc>
          <w:tcPr>
            <w:tcW w:w="2307" w:type="dxa"/>
            <w:tcBorders>
              <w:top w:val="single" w:color="auto" w:sz="8" w:space="0"/>
              <w:left w:val="single" w:color="auto" w:sz="8" w:space="0"/>
              <w:bottom w:val="single" w:color="auto" w:sz="4" w:space="0"/>
              <w:right w:val="single" w:color="auto" w:sz="8" w:space="0"/>
            </w:tcBorders>
            <w:shd w:val="clear" w:color="auto" w:fill="FFFFFF"/>
            <w:tcMar>
              <w:top w:w="0" w:type="dxa"/>
              <w:left w:w="108" w:type="dxa"/>
              <w:bottom w:w="0" w:type="dxa"/>
              <w:right w:w="108" w:type="dxa"/>
            </w:tcMar>
            <w:vAlign w:val="center"/>
          </w:tcPr>
          <w:p w14:paraId="4AA5F6FC">
            <w:pPr>
              <w:widowControl/>
              <w:shd w:val="clear"/>
              <w:spacing w:line="440" w:lineRule="exact"/>
              <w:jc w:val="center"/>
              <w:rPr>
                <w:color w:val="000000" w:themeColor="text1"/>
                <w:szCs w:val="21"/>
                <w:highlight w:val="none"/>
                <w14:textFill>
                  <w14:solidFill>
                    <w14:schemeClr w14:val="tx1"/>
                  </w14:solidFill>
                </w14:textFill>
              </w:rPr>
            </w:pPr>
          </w:p>
        </w:tc>
      </w:tr>
      <w:tr w14:paraId="5D1EC462">
        <w:tblPrEx>
          <w:tblCellMar>
            <w:top w:w="0" w:type="dxa"/>
            <w:left w:w="0" w:type="dxa"/>
            <w:bottom w:w="0" w:type="dxa"/>
            <w:right w:w="0" w:type="dxa"/>
          </w:tblCellMar>
        </w:tblPrEx>
        <w:trPr>
          <w:trHeight w:val="162" w:hRule="atLeast"/>
        </w:trPr>
        <w:tc>
          <w:tcPr>
            <w:tcW w:w="864" w:type="dxa"/>
            <w:tcBorders>
              <w:top w:val="single" w:color="auto" w:sz="4"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67048886">
            <w:pPr>
              <w:widowControl/>
              <w:shd w:val="clear"/>
              <w:spacing w:line="440" w:lineRule="exact"/>
              <w:jc w:val="center"/>
              <w:rPr>
                <w:color w:val="000000" w:themeColor="text1"/>
                <w:szCs w:val="21"/>
                <w:highlight w:val="none"/>
                <w14:textFill>
                  <w14:solidFill>
                    <w14:schemeClr w14:val="tx1"/>
                  </w14:solidFill>
                </w14:textFill>
              </w:rPr>
            </w:pPr>
          </w:p>
        </w:tc>
        <w:tc>
          <w:tcPr>
            <w:tcW w:w="4543" w:type="dxa"/>
            <w:gridSpan w:val="2"/>
            <w:tcBorders>
              <w:top w:val="single" w:color="auto" w:sz="4"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1CD4A82C">
            <w:pPr>
              <w:widowControl/>
              <w:shd w:val="clear"/>
              <w:spacing w:line="440" w:lineRule="exact"/>
              <w:rPr>
                <w:color w:val="000000" w:themeColor="text1"/>
                <w:szCs w:val="21"/>
                <w:highlight w:val="none"/>
                <w14:textFill>
                  <w14:solidFill>
                    <w14:schemeClr w14:val="tx1"/>
                  </w14:solidFill>
                </w14:textFill>
              </w:rPr>
            </w:pPr>
          </w:p>
        </w:tc>
        <w:tc>
          <w:tcPr>
            <w:tcW w:w="1506" w:type="dxa"/>
            <w:gridSpan w:val="2"/>
            <w:tcBorders>
              <w:top w:val="single" w:color="auto" w:sz="4"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24C9D793">
            <w:pPr>
              <w:widowControl/>
              <w:shd w:val="clear"/>
              <w:spacing w:line="440" w:lineRule="exact"/>
              <w:jc w:val="center"/>
              <w:rPr>
                <w:color w:val="000000" w:themeColor="text1"/>
                <w:szCs w:val="21"/>
                <w:highlight w:val="none"/>
                <w14:textFill>
                  <w14:solidFill>
                    <w14:schemeClr w14:val="tx1"/>
                  </w14:solidFill>
                </w14:textFill>
              </w:rPr>
            </w:pPr>
          </w:p>
        </w:tc>
        <w:tc>
          <w:tcPr>
            <w:tcW w:w="2307" w:type="dxa"/>
            <w:tcBorders>
              <w:top w:val="single" w:color="auto" w:sz="4"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075B3313">
            <w:pPr>
              <w:widowControl/>
              <w:shd w:val="clear"/>
              <w:spacing w:line="440" w:lineRule="exact"/>
              <w:jc w:val="center"/>
              <w:rPr>
                <w:color w:val="000000" w:themeColor="text1"/>
                <w:szCs w:val="21"/>
                <w:highlight w:val="none"/>
                <w14:textFill>
                  <w14:solidFill>
                    <w14:schemeClr w14:val="tx1"/>
                  </w14:solidFill>
                </w14:textFill>
              </w:rPr>
            </w:pPr>
          </w:p>
        </w:tc>
      </w:tr>
      <w:tr w14:paraId="351ECD5C">
        <w:tblPrEx>
          <w:tblCellMar>
            <w:top w:w="0" w:type="dxa"/>
            <w:left w:w="0" w:type="dxa"/>
            <w:bottom w:w="0" w:type="dxa"/>
            <w:right w:w="0" w:type="dxa"/>
          </w:tblCellMar>
        </w:tblPrEx>
        <w:trPr>
          <w:trHeight w:val="255" w:hRule="atLeast"/>
        </w:trPr>
        <w:tc>
          <w:tcPr>
            <w:tcW w:w="3045" w:type="dxa"/>
            <w:gridSpan w:val="2"/>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7B780FCE">
            <w:pPr>
              <w:widowControl/>
              <w:shd w:val="clear"/>
              <w:spacing w:line="440" w:lineRule="exact"/>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合同履行期限</w:t>
            </w:r>
          </w:p>
        </w:tc>
        <w:tc>
          <w:tcPr>
            <w:tcW w:w="6175" w:type="dxa"/>
            <w:gridSpan w:val="4"/>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22A0AF59">
            <w:pPr>
              <w:widowControl/>
              <w:shd w:val="clear"/>
              <w:spacing w:line="440" w:lineRule="exact"/>
              <w:ind w:firstLine="3990"/>
              <w:rPr>
                <w:color w:val="000000" w:themeColor="text1"/>
                <w:szCs w:val="21"/>
                <w:highlight w:val="none"/>
                <w14:textFill>
                  <w14:solidFill>
                    <w14:schemeClr w14:val="tx1"/>
                  </w14:solidFill>
                </w14:textFill>
              </w:rPr>
            </w:pPr>
          </w:p>
        </w:tc>
      </w:tr>
      <w:tr w14:paraId="62824E66">
        <w:tblPrEx>
          <w:shd w:val="clear" w:color="auto" w:fill="FFFFFF"/>
          <w:tblCellMar>
            <w:top w:w="0" w:type="dxa"/>
            <w:left w:w="0" w:type="dxa"/>
            <w:bottom w:w="0" w:type="dxa"/>
            <w:right w:w="0" w:type="dxa"/>
          </w:tblCellMar>
        </w:tblPrEx>
        <w:trPr>
          <w:trHeight w:val="255" w:hRule="atLeast"/>
        </w:trPr>
        <w:tc>
          <w:tcPr>
            <w:tcW w:w="3045" w:type="dxa"/>
            <w:gridSpan w:val="2"/>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02583C2F">
            <w:pPr>
              <w:widowControl/>
              <w:shd w:val="clear"/>
              <w:spacing w:line="440" w:lineRule="exact"/>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项目负责人 </w:t>
            </w:r>
          </w:p>
        </w:tc>
        <w:tc>
          <w:tcPr>
            <w:tcW w:w="6175" w:type="dxa"/>
            <w:gridSpan w:val="4"/>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5CAE307F">
            <w:pPr>
              <w:widowControl/>
              <w:shd w:val="clear"/>
              <w:spacing w:line="440" w:lineRule="exact"/>
              <w:ind w:firstLine="3990"/>
              <w:rPr>
                <w:color w:val="000000" w:themeColor="text1"/>
                <w:szCs w:val="21"/>
                <w:highlight w:val="none"/>
                <w14:textFill>
                  <w14:solidFill>
                    <w14:schemeClr w14:val="tx1"/>
                  </w14:solidFill>
                </w14:textFill>
              </w:rPr>
            </w:pPr>
          </w:p>
        </w:tc>
      </w:tr>
      <w:tr w14:paraId="67707556">
        <w:tblPrEx>
          <w:shd w:val="clear" w:color="auto" w:fill="FFFFFF"/>
          <w:tblCellMar>
            <w:top w:w="0" w:type="dxa"/>
            <w:left w:w="0" w:type="dxa"/>
            <w:bottom w:w="0" w:type="dxa"/>
            <w:right w:w="0" w:type="dxa"/>
          </w:tblCellMar>
        </w:tblPrEx>
        <w:trPr>
          <w:trHeight w:val="255" w:hRule="atLeast"/>
        </w:trPr>
        <w:tc>
          <w:tcPr>
            <w:tcW w:w="3045" w:type="dxa"/>
            <w:gridSpan w:val="2"/>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3D9D11E1">
            <w:pPr>
              <w:widowControl/>
              <w:shd w:val="clear"/>
              <w:spacing w:line="440" w:lineRule="exact"/>
              <w:jc w:val="center"/>
              <w:rPr>
                <w:color w:val="000000" w:themeColor="text1"/>
                <w:szCs w:val="21"/>
                <w:highlight w:val="none"/>
                <w14:textFill>
                  <w14:solidFill>
                    <w14:schemeClr w14:val="tx1"/>
                  </w14:solidFill>
                </w14:textFill>
              </w:rPr>
            </w:pPr>
            <w:r>
              <w:rPr>
                <w:rFonts w:hint="eastAsia"/>
                <w:color w:val="000000" w:themeColor="text1"/>
                <w:szCs w:val="21"/>
                <w:highlight w:val="none"/>
                <w:lang w:val="zh-CN"/>
                <w14:textFill>
                  <w14:solidFill>
                    <w14:schemeClr w14:val="tx1"/>
                  </w14:solidFill>
                </w14:textFill>
              </w:rPr>
              <w:t>是否属于小和微型企业</w:t>
            </w:r>
          </w:p>
        </w:tc>
        <w:tc>
          <w:tcPr>
            <w:tcW w:w="6175" w:type="dxa"/>
            <w:gridSpan w:val="4"/>
            <w:tcBorders>
              <w:top w:val="single" w:color="auto" w:sz="8" w:space="0"/>
              <w:left w:val="single" w:color="auto" w:sz="8" w:space="0"/>
              <w:bottom w:val="single" w:color="auto" w:sz="8" w:space="0"/>
              <w:right w:val="single" w:color="auto" w:sz="8" w:space="0"/>
            </w:tcBorders>
            <w:shd w:val="clear" w:color="auto" w:fill="FFFFFF"/>
            <w:tcMar>
              <w:top w:w="0" w:type="dxa"/>
              <w:left w:w="108" w:type="dxa"/>
              <w:bottom w:w="0" w:type="dxa"/>
              <w:right w:w="108" w:type="dxa"/>
            </w:tcMar>
            <w:vAlign w:val="center"/>
          </w:tcPr>
          <w:p w14:paraId="6147E2B3">
            <w:pPr>
              <w:widowControl/>
              <w:shd w:val="clear"/>
              <w:spacing w:line="440" w:lineRule="exact"/>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（填写“是”或“否”）</w:t>
            </w:r>
          </w:p>
        </w:tc>
      </w:tr>
      <w:tr w14:paraId="026C9CD3">
        <w:tblPrEx>
          <w:shd w:val="clear" w:color="auto" w:fill="FFFFFF"/>
          <w:tblCellMar>
            <w:top w:w="0" w:type="dxa"/>
            <w:left w:w="0" w:type="dxa"/>
            <w:bottom w:w="0" w:type="dxa"/>
            <w:right w:w="0" w:type="dxa"/>
          </w:tblCellMar>
        </w:tblPrEx>
        <w:trPr>
          <w:trHeight w:val="404" w:hRule="atLeast"/>
        </w:trPr>
        <w:tc>
          <w:tcPr>
            <w:tcW w:w="864" w:type="dxa"/>
            <w:tcBorders>
              <w:top w:val="nil"/>
              <w:left w:val="nil"/>
              <w:bottom w:val="nil"/>
              <w:right w:val="nil"/>
            </w:tcBorders>
            <w:shd w:val="clear" w:color="auto" w:fill="FFFFFF"/>
            <w:vAlign w:val="center"/>
          </w:tcPr>
          <w:p w14:paraId="2B21BC52">
            <w:pPr>
              <w:widowControl/>
              <w:shd w:val="clear"/>
              <w:spacing w:line="440" w:lineRule="exact"/>
              <w:rPr>
                <w:color w:val="000000" w:themeColor="text1"/>
                <w:sz w:val="1"/>
                <w:highlight w:val="none"/>
                <w14:textFill>
                  <w14:solidFill>
                    <w14:schemeClr w14:val="tx1"/>
                  </w14:solidFill>
                </w14:textFill>
              </w:rPr>
            </w:pPr>
          </w:p>
        </w:tc>
        <w:tc>
          <w:tcPr>
            <w:tcW w:w="2181" w:type="dxa"/>
            <w:tcBorders>
              <w:top w:val="nil"/>
              <w:left w:val="nil"/>
              <w:bottom w:val="nil"/>
              <w:right w:val="nil"/>
            </w:tcBorders>
            <w:shd w:val="clear" w:color="auto" w:fill="FFFFFF"/>
            <w:vAlign w:val="center"/>
          </w:tcPr>
          <w:p w14:paraId="4D8E0BAB">
            <w:pPr>
              <w:widowControl/>
              <w:shd w:val="clear"/>
              <w:spacing w:line="440" w:lineRule="exact"/>
              <w:rPr>
                <w:color w:val="000000" w:themeColor="text1"/>
                <w:sz w:val="1"/>
                <w:highlight w:val="none"/>
                <w14:textFill>
                  <w14:solidFill>
                    <w14:schemeClr w14:val="tx1"/>
                  </w14:solidFill>
                </w14:textFill>
              </w:rPr>
            </w:pPr>
          </w:p>
        </w:tc>
        <w:tc>
          <w:tcPr>
            <w:tcW w:w="2362" w:type="dxa"/>
            <w:tcBorders>
              <w:top w:val="nil"/>
              <w:left w:val="nil"/>
              <w:bottom w:val="nil"/>
              <w:right w:val="nil"/>
            </w:tcBorders>
            <w:shd w:val="clear" w:color="auto" w:fill="FFFFFF"/>
            <w:vAlign w:val="center"/>
          </w:tcPr>
          <w:p w14:paraId="041C7DB0">
            <w:pPr>
              <w:widowControl/>
              <w:shd w:val="clear"/>
              <w:spacing w:line="440" w:lineRule="exact"/>
              <w:rPr>
                <w:color w:val="000000" w:themeColor="text1"/>
                <w:sz w:val="1"/>
                <w:highlight w:val="none"/>
                <w14:textFill>
                  <w14:solidFill>
                    <w14:schemeClr w14:val="tx1"/>
                  </w14:solidFill>
                </w14:textFill>
              </w:rPr>
            </w:pPr>
          </w:p>
        </w:tc>
        <w:tc>
          <w:tcPr>
            <w:tcW w:w="257" w:type="dxa"/>
            <w:tcBorders>
              <w:top w:val="nil"/>
              <w:left w:val="nil"/>
              <w:bottom w:val="nil"/>
              <w:right w:val="nil"/>
            </w:tcBorders>
            <w:shd w:val="clear" w:color="auto" w:fill="FFFFFF"/>
            <w:vAlign w:val="center"/>
          </w:tcPr>
          <w:p w14:paraId="651DA84D">
            <w:pPr>
              <w:widowControl/>
              <w:shd w:val="clear"/>
              <w:spacing w:line="440" w:lineRule="exact"/>
              <w:rPr>
                <w:color w:val="000000" w:themeColor="text1"/>
                <w:sz w:val="1"/>
                <w:highlight w:val="none"/>
                <w14:textFill>
                  <w14:solidFill>
                    <w14:schemeClr w14:val="tx1"/>
                  </w14:solidFill>
                </w14:textFill>
              </w:rPr>
            </w:pPr>
          </w:p>
        </w:tc>
        <w:tc>
          <w:tcPr>
            <w:tcW w:w="1249" w:type="dxa"/>
            <w:tcBorders>
              <w:top w:val="nil"/>
              <w:left w:val="nil"/>
              <w:bottom w:val="nil"/>
              <w:right w:val="nil"/>
            </w:tcBorders>
            <w:shd w:val="clear" w:color="auto" w:fill="FFFFFF"/>
            <w:vAlign w:val="center"/>
          </w:tcPr>
          <w:p w14:paraId="0B687FB3">
            <w:pPr>
              <w:widowControl/>
              <w:shd w:val="clear"/>
              <w:spacing w:line="440" w:lineRule="exact"/>
              <w:rPr>
                <w:color w:val="000000" w:themeColor="text1"/>
                <w:sz w:val="1"/>
                <w:highlight w:val="none"/>
                <w14:textFill>
                  <w14:solidFill>
                    <w14:schemeClr w14:val="tx1"/>
                  </w14:solidFill>
                </w14:textFill>
              </w:rPr>
            </w:pPr>
          </w:p>
        </w:tc>
        <w:tc>
          <w:tcPr>
            <w:tcW w:w="2307" w:type="dxa"/>
            <w:tcBorders>
              <w:top w:val="nil"/>
              <w:left w:val="nil"/>
              <w:bottom w:val="nil"/>
              <w:right w:val="nil"/>
            </w:tcBorders>
            <w:shd w:val="clear" w:color="auto" w:fill="FFFFFF"/>
            <w:vAlign w:val="center"/>
          </w:tcPr>
          <w:p w14:paraId="0345426B">
            <w:pPr>
              <w:widowControl/>
              <w:shd w:val="clear"/>
              <w:spacing w:line="440" w:lineRule="exact"/>
              <w:rPr>
                <w:color w:val="000000" w:themeColor="text1"/>
                <w:sz w:val="1"/>
                <w:highlight w:val="none"/>
                <w14:textFill>
                  <w14:solidFill>
                    <w14:schemeClr w14:val="tx1"/>
                  </w14:solidFill>
                </w14:textFill>
              </w:rPr>
            </w:pPr>
          </w:p>
        </w:tc>
      </w:tr>
    </w:tbl>
    <w:p w14:paraId="2C43C45D">
      <w:pPr>
        <w:widowControl/>
        <w:shd w:val="clear"/>
        <w:adjustRightInd w:val="0"/>
        <w:spacing w:line="360" w:lineRule="auto"/>
        <w:jc w:val="left"/>
        <w:rPr>
          <w:rFonts w:ascii="宋体" w:hAnsi="宋体" w:cs="宋体"/>
          <w:color w:val="000000" w:themeColor="text1"/>
          <w:kern w:val="0"/>
          <w:szCs w:val="21"/>
          <w:highlight w:val="none"/>
          <w:lang w:val="zh-CN"/>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供应商名称：（盖章）</w:t>
      </w:r>
    </w:p>
    <w:p w14:paraId="02D197C0">
      <w:pPr>
        <w:widowControl/>
        <w:shd w:val="clear"/>
        <w:adjustRightInd w:val="0"/>
        <w:spacing w:line="240" w:lineRule="atLeast"/>
        <w:jc w:val="left"/>
        <w:rPr>
          <w:rFonts w:ascii="宋体" w:hAnsi="宋体" w:cs="宋体"/>
          <w:color w:val="000000" w:themeColor="text1"/>
          <w:kern w:val="0"/>
          <w:szCs w:val="21"/>
          <w:highlight w:val="none"/>
          <w:lang w:val="zh-CN"/>
          <w14:textFill>
            <w14:solidFill>
              <w14:schemeClr w14:val="tx1"/>
            </w14:solidFill>
          </w14:textFill>
        </w:rPr>
      </w:pPr>
    </w:p>
    <w:p w14:paraId="230F0498">
      <w:pPr>
        <w:widowControl/>
        <w:shd w:val="clear"/>
        <w:adjustRightInd w:val="0"/>
        <w:spacing w:line="240" w:lineRule="atLeast"/>
        <w:jc w:val="left"/>
        <w:rPr>
          <w:rFonts w:ascii="宋体" w:hAnsi="宋体" w:cs="宋体"/>
          <w:color w:val="000000" w:themeColor="text1"/>
          <w:kern w:val="0"/>
          <w:highlight w:val="none"/>
          <w14:textFill>
            <w14:solidFill>
              <w14:schemeClr w14:val="tx1"/>
            </w14:solidFill>
          </w14:textFill>
        </w:rPr>
      </w:pPr>
      <w:r>
        <w:rPr>
          <w:rFonts w:hint="eastAsia" w:ascii="宋体" w:hAnsi="宋体" w:cs="宋体"/>
          <w:color w:val="000000" w:themeColor="text1"/>
          <w:kern w:val="0"/>
          <w:szCs w:val="21"/>
          <w:highlight w:val="none"/>
          <w:lang w:val="zh-CN"/>
          <w14:textFill>
            <w14:solidFill>
              <w14:schemeClr w14:val="tx1"/>
            </w14:solidFill>
          </w14:textFill>
        </w:rPr>
        <w:t>说明：</w:t>
      </w:r>
      <w:r>
        <w:rPr>
          <w:rFonts w:hint="eastAsia" w:ascii="宋体" w:hAnsi="宋体" w:cs="宋体"/>
          <w:b/>
          <w:color w:val="000000" w:themeColor="text1"/>
          <w:kern w:val="0"/>
          <w:szCs w:val="21"/>
          <w:highlight w:val="none"/>
          <w:lang w:val="zh-CN"/>
          <w14:textFill>
            <w14:solidFill>
              <w14:schemeClr w14:val="tx1"/>
            </w14:solidFill>
          </w14:textFill>
        </w:rPr>
        <w:t>在“是否属于小和微型企业”栏后</w:t>
      </w:r>
      <w:r>
        <w:rPr>
          <w:rFonts w:hint="eastAsia" w:ascii="宋体" w:hAnsi="宋体" w:cs="宋体"/>
          <w:b/>
          <w:color w:val="000000" w:themeColor="text1"/>
          <w:kern w:val="0"/>
          <w:szCs w:val="21"/>
          <w:highlight w:val="none"/>
          <w14:textFill>
            <w14:solidFill>
              <w14:schemeClr w14:val="tx1"/>
            </w14:solidFill>
          </w14:textFill>
        </w:rPr>
        <w:t>填写</w:t>
      </w:r>
      <w:r>
        <w:rPr>
          <w:rFonts w:hint="eastAsia" w:ascii="宋体" w:hAnsi="宋体" w:cs="宋体"/>
          <w:b/>
          <w:color w:val="000000" w:themeColor="text1"/>
          <w:kern w:val="0"/>
          <w:szCs w:val="21"/>
          <w:highlight w:val="none"/>
          <w:lang w:val="zh-CN"/>
          <w14:textFill>
            <w14:solidFill>
              <w14:schemeClr w14:val="tx1"/>
            </w14:solidFill>
          </w14:textFill>
        </w:rPr>
        <w:t>“是”或“否”，评审过程中，如果小、微型企业报价无法划分计算的，将不予认可。</w:t>
      </w:r>
    </w:p>
    <w:p w14:paraId="6A52B0DF">
      <w:pPr>
        <w:pStyle w:val="9"/>
        <w:shd w:val="clear"/>
        <w:rPr>
          <w:color w:val="000000" w:themeColor="text1"/>
          <w:highlight w:val="none"/>
          <w14:textFill>
            <w14:solidFill>
              <w14:schemeClr w14:val="tx1"/>
            </w14:solidFill>
          </w14:textFill>
        </w:rPr>
      </w:pPr>
    </w:p>
    <w:p w14:paraId="5E17999E">
      <w:pPr>
        <w:widowControl/>
        <w:shd w:val="clear"/>
        <w:adjustRightInd w:val="0"/>
        <w:spacing w:line="240" w:lineRule="atLeast"/>
        <w:jc w:val="left"/>
        <w:rPr>
          <w:rFonts w:ascii="宋体" w:hAnsi="宋体" w:cs="宋体"/>
          <w:b/>
          <w:color w:val="000000" w:themeColor="text1"/>
          <w:kern w:val="0"/>
          <w:szCs w:val="21"/>
          <w:highlight w:val="none"/>
          <w:lang w:val="zh-CN"/>
          <w14:textFill>
            <w14:solidFill>
              <w14:schemeClr w14:val="tx1"/>
            </w14:solidFill>
          </w14:textFill>
        </w:rPr>
        <w:sectPr>
          <w:pgSz w:w="11906" w:h="16838"/>
          <w:pgMar w:top="850" w:right="850" w:bottom="850" w:left="1417" w:header="850" w:footer="992" w:gutter="0"/>
          <w:paperSrc/>
          <w:cols w:space="0" w:num="1"/>
          <w:rtlGutter w:val="0"/>
          <w:docGrid w:type="lines" w:linePitch="315" w:charSpace="0"/>
        </w:sectPr>
      </w:pPr>
    </w:p>
    <w:p w14:paraId="0114D7A1">
      <w:pPr>
        <w:widowControl/>
        <w:shd w:val="clear"/>
        <w:adjustRightInd w:val="0"/>
        <w:spacing w:line="240" w:lineRule="atLeast"/>
        <w:jc w:val="left"/>
        <w:rPr>
          <w:rFonts w:ascii="宋体" w:hAnsi="宋体" w:cs="宋体"/>
          <w:b/>
          <w:color w:val="000000" w:themeColor="text1"/>
          <w:kern w:val="0"/>
          <w:szCs w:val="21"/>
          <w:highlight w:val="none"/>
          <w:lang w:val="zh-CN"/>
          <w14:textFill>
            <w14:solidFill>
              <w14:schemeClr w14:val="tx1"/>
            </w14:solidFill>
          </w14:textFill>
        </w:rPr>
      </w:pPr>
      <w:r>
        <w:rPr>
          <w:rFonts w:hint="eastAsia" w:ascii="宋体" w:hAnsi="宋体" w:cs="宋体"/>
          <w:b/>
          <w:color w:val="000000" w:themeColor="text1"/>
          <w:kern w:val="0"/>
          <w:szCs w:val="21"/>
          <w:highlight w:val="none"/>
          <w:lang w:val="zh-CN"/>
          <w14:textFill>
            <w14:solidFill>
              <w14:schemeClr w14:val="tx1"/>
            </w14:solidFill>
          </w14:textFill>
        </w:rPr>
        <w:t>附件四、资格证明文件</w:t>
      </w:r>
    </w:p>
    <w:p w14:paraId="1980CC3A">
      <w:pPr>
        <w:shd w:val="clea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1.满足《中华人民共和国政府采购法》第二十二条规定；</w:t>
      </w:r>
    </w:p>
    <w:p w14:paraId="7DFDE455">
      <w:pPr>
        <w:spacing w:line="360" w:lineRule="auto"/>
        <w:ind w:firstLine="480" w:firstLineChars="200"/>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（1）具有独立承担民事责任的能力（提供法人或者其他组织的营业执照，自然人的身份证）；</w:t>
      </w:r>
    </w:p>
    <w:p w14:paraId="7DEEE2E8">
      <w:pP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（2）</w:t>
      </w:r>
      <w:r>
        <w:rPr>
          <w:rFonts w:hint="eastAsia" w:ascii="宋体" w:hAnsi="宋体" w:cs="宋体"/>
          <w:color w:val="000000" w:themeColor="text1"/>
          <w:sz w:val="24"/>
          <w:szCs w:val="24"/>
          <w:highlight w:val="none"/>
          <w14:textFill>
            <w14:solidFill>
              <w14:schemeClr w14:val="tx1"/>
            </w14:solidFill>
          </w14:textFill>
        </w:rPr>
        <w:t>具有良好的商业信誉和健全的财务会计制度（提供</w:t>
      </w:r>
      <w:r>
        <w:rPr>
          <w:rFonts w:hint="eastAsia" w:ascii="宋体" w:hAnsi="宋体" w:eastAsia="宋体" w:cs="Times New Roman"/>
          <w:color w:val="000000" w:themeColor="text1"/>
          <w:sz w:val="24"/>
          <w:szCs w:val="24"/>
          <w:highlight w:val="none"/>
          <w:lang w:eastAsia="zh-CN"/>
          <w14:textFill>
            <w14:solidFill>
              <w14:schemeClr w14:val="tx1"/>
            </w14:solidFill>
          </w14:textFill>
        </w:rPr>
        <w:t>投标截止时间前</w:t>
      </w:r>
      <w:r>
        <w:rPr>
          <w:rFonts w:hint="eastAsia" w:ascii="宋体" w:hAnsi="宋体" w:eastAsia="宋体" w:cs="Times New Roman"/>
          <w:color w:val="000000" w:themeColor="text1"/>
          <w:sz w:val="24"/>
          <w:szCs w:val="24"/>
          <w:highlight w:val="none"/>
          <w14:textFill>
            <w14:solidFill>
              <w14:schemeClr w14:val="tx1"/>
            </w14:solidFill>
          </w14:textFill>
        </w:rPr>
        <w:t>近半年内</w:t>
      </w:r>
      <w:r>
        <w:rPr>
          <w:rFonts w:hint="eastAsia" w:ascii="宋体" w:hAnsi="宋体" w:cs="宋体"/>
          <w:color w:val="000000" w:themeColor="text1"/>
          <w:sz w:val="24"/>
          <w:szCs w:val="24"/>
          <w:highlight w:val="none"/>
          <w14:textFill>
            <w14:solidFill>
              <w14:schemeClr w14:val="tx1"/>
            </w14:solidFill>
          </w14:textFill>
        </w:rPr>
        <w:t>银行出具的资信证明，或</w:t>
      </w:r>
      <w:r>
        <w:rPr>
          <w:rFonts w:hint="eastAsia" w:ascii="宋体" w:hAnsi="宋体" w:eastAsia="宋体" w:cs="Times New Roman"/>
          <w:color w:val="000000" w:themeColor="text1"/>
          <w:sz w:val="24"/>
          <w:szCs w:val="24"/>
          <w:highlight w:val="none"/>
          <w:lang w:eastAsia="zh-CN"/>
          <w14:textFill>
            <w14:solidFill>
              <w14:schemeClr w14:val="tx1"/>
            </w14:solidFill>
          </w14:textFill>
        </w:rPr>
        <w:t>投标截止时间前</w:t>
      </w:r>
      <w:r>
        <w:rPr>
          <w:rFonts w:hint="eastAsia" w:ascii="宋体" w:hAnsi="宋体" w:eastAsia="宋体" w:cs="Times New Roman"/>
          <w:color w:val="000000" w:themeColor="text1"/>
          <w:sz w:val="24"/>
          <w:szCs w:val="24"/>
          <w:highlight w:val="none"/>
          <w14:textFill>
            <w14:solidFill>
              <w14:schemeClr w14:val="tx1"/>
            </w14:solidFill>
          </w14:textFill>
        </w:rPr>
        <w:t>近半年内</w:t>
      </w:r>
      <w:r>
        <w:rPr>
          <w:rFonts w:hint="eastAsia" w:ascii="宋体" w:hAnsi="宋体" w:cs="宋体"/>
          <w:color w:val="000000" w:themeColor="text1"/>
          <w:sz w:val="24"/>
          <w:szCs w:val="24"/>
          <w:highlight w:val="none"/>
          <w14:textFill>
            <w14:solidFill>
              <w14:schemeClr w14:val="tx1"/>
            </w14:solidFill>
          </w14:textFill>
        </w:rPr>
        <w:t>任意一个月的财务状况报告（至少包括资产负债表和利润表），或</w:t>
      </w:r>
      <w:r>
        <w:rPr>
          <w:rFonts w:hint="eastAsia" w:ascii="宋体" w:hAnsi="宋体" w:cs="宋体"/>
          <w:color w:val="000000" w:themeColor="text1"/>
          <w:sz w:val="24"/>
          <w:szCs w:val="24"/>
          <w:highlight w:val="none"/>
          <w:lang w:eastAsia="zh-CN"/>
          <w14:textFill>
            <w14:solidFill>
              <w14:schemeClr w14:val="tx1"/>
            </w14:solidFill>
          </w14:textFill>
        </w:rPr>
        <w:t>上一年度（或</w:t>
      </w:r>
      <w:r>
        <w:rPr>
          <w:rFonts w:hint="eastAsia" w:ascii="宋体" w:hAnsi="宋体" w:cs="宋体"/>
          <w:color w:val="000000" w:themeColor="text1"/>
          <w:sz w:val="24"/>
          <w:szCs w:val="24"/>
          <w:highlight w:val="none"/>
          <w:lang w:val="en-US" w:eastAsia="zh-CN"/>
          <w14:textFill>
            <w14:solidFill>
              <w14:schemeClr w14:val="tx1"/>
            </w14:solidFill>
          </w14:textFill>
        </w:rPr>
        <w:t>2024</w:t>
      </w:r>
      <w:r>
        <w:rPr>
          <w:rFonts w:hint="eastAsia" w:ascii="宋体" w:hAnsi="宋体" w:cs="宋体"/>
          <w:color w:val="000000" w:themeColor="text1"/>
          <w:sz w:val="24"/>
          <w:szCs w:val="24"/>
          <w:highlight w:val="none"/>
          <w14:textFill>
            <w14:solidFill>
              <w14:schemeClr w14:val="tx1"/>
            </w14:solidFill>
          </w14:textFill>
        </w:rPr>
        <w:t>年度</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经审计的财务报告</w:t>
      </w:r>
      <w:r>
        <w:rPr>
          <w:rFonts w:hint="eastAsia" w:ascii="宋体" w:hAnsi="宋体" w:cs="宋体"/>
          <w:color w:val="000000" w:themeColor="text1"/>
          <w:sz w:val="24"/>
          <w:szCs w:val="24"/>
          <w:highlight w:val="none"/>
          <w:lang w:val="en-US" w:eastAsia="zh-CN"/>
          <w14:textFill>
            <w14:solidFill>
              <w14:schemeClr w14:val="tx1"/>
            </w14:solidFill>
          </w14:textFill>
        </w:rPr>
        <w:t>,成立不满一年无需提供</w:t>
      </w:r>
      <w:r>
        <w:rPr>
          <w:rFonts w:hint="eastAsia" w:ascii="宋体" w:hAnsi="宋体" w:cs="宋体"/>
          <w:color w:val="000000" w:themeColor="text1"/>
          <w:sz w:val="24"/>
          <w:szCs w:val="24"/>
          <w:highlight w:val="none"/>
          <w14:textFill>
            <w14:solidFill>
              <w14:schemeClr w14:val="tx1"/>
            </w14:solidFill>
          </w14:textFill>
        </w:rPr>
        <w:t>）；</w:t>
      </w:r>
    </w:p>
    <w:p w14:paraId="19673D7F">
      <w:pPr>
        <w:spacing w:line="360" w:lineRule="auto"/>
        <w:ind w:firstLine="480" w:firstLineChars="200"/>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（3）具有履行合同所必需的设备和专业技术能力（根据项目需求提供履行合同所必需的设备和专业技术能力的证明材料或相关加盖公章的声明函）；  </w:t>
      </w:r>
    </w:p>
    <w:p w14:paraId="0E83BE21">
      <w:pPr>
        <w:spacing w:line="360" w:lineRule="auto"/>
        <w:ind w:firstLine="480" w:firstLineChars="200"/>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（4）有依法缴纳税收和社会保障资金的良好记录（提供</w:t>
      </w:r>
      <w:r>
        <w:rPr>
          <w:rFonts w:hint="eastAsia" w:ascii="宋体" w:hAnsi="宋体" w:eastAsia="宋体" w:cs="Times New Roman"/>
          <w:color w:val="000000" w:themeColor="text1"/>
          <w:sz w:val="24"/>
          <w:szCs w:val="24"/>
          <w:highlight w:val="none"/>
          <w:lang w:eastAsia="zh-CN"/>
          <w14:textFill>
            <w14:solidFill>
              <w14:schemeClr w14:val="tx1"/>
            </w14:solidFill>
          </w14:textFill>
        </w:rPr>
        <w:t>投标截止时间前</w:t>
      </w:r>
      <w:r>
        <w:rPr>
          <w:rFonts w:hint="eastAsia" w:ascii="宋体" w:hAnsi="宋体" w:eastAsia="宋体" w:cs="Times New Roman"/>
          <w:color w:val="000000" w:themeColor="text1"/>
          <w:sz w:val="24"/>
          <w:szCs w:val="24"/>
          <w:highlight w:val="none"/>
          <w14:textFill>
            <w14:solidFill>
              <w14:schemeClr w14:val="tx1"/>
            </w14:solidFill>
          </w14:textFill>
        </w:rPr>
        <w:t>近半年内任意一个月的纳税证明文件（依法免缴的应提供相应文件说明）；并提供</w:t>
      </w:r>
      <w:r>
        <w:rPr>
          <w:rFonts w:hint="eastAsia" w:ascii="宋体" w:hAnsi="宋体" w:eastAsia="宋体" w:cs="Times New Roman"/>
          <w:color w:val="000000" w:themeColor="text1"/>
          <w:sz w:val="24"/>
          <w:szCs w:val="24"/>
          <w:highlight w:val="none"/>
          <w:lang w:eastAsia="zh-CN"/>
          <w14:textFill>
            <w14:solidFill>
              <w14:schemeClr w14:val="tx1"/>
            </w14:solidFill>
          </w14:textFill>
        </w:rPr>
        <w:t>投标截止时间前</w:t>
      </w:r>
      <w:r>
        <w:rPr>
          <w:rFonts w:hint="eastAsia" w:ascii="宋体" w:hAnsi="宋体" w:eastAsia="宋体" w:cs="Times New Roman"/>
          <w:color w:val="000000" w:themeColor="text1"/>
          <w:sz w:val="24"/>
          <w:szCs w:val="24"/>
          <w:highlight w:val="none"/>
          <w14:textFill>
            <w14:solidFill>
              <w14:schemeClr w14:val="tx1"/>
            </w14:solidFill>
          </w14:textFill>
        </w:rPr>
        <w:t>近半年内依法为员工缴纳社会保障资金的证明材料（任意一个月即可），证明材料可以是缴费的银行单据复印件、社保机构开具的证明（依法不需要缴纳社会保障资金的应提供相应文件说明））；</w:t>
      </w:r>
    </w:p>
    <w:p w14:paraId="203F5AE9">
      <w:pPr>
        <w:spacing w:line="360" w:lineRule="auto"/>
        <w:ind w:firstLine="480" w:firstLineChars="200"/>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（5）参加本次采购活动前三年内，在经营活动中没有重大违法记录（提供参加本次采购活动前三年内在经营活动中没有重大违法记录的书面声明）。</w:t>
      </w:r>
    </w:p>
    <w:p w14:paraId="205A1EC6">
      <w:pPr>
        <w:spacing w:line="360" w:lineRule="auto"/>
        <w:ind w:firstLine="480" w:firstLineChars="200"/>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（6）法律、行政法规规定的其他条件。（符合并提供承诺书加盖供应商公章编入响应文件中）。</w:t>
      </w:r>
    </w:p>
    <w:p w14:paraId="3A82BCEF">
      <w:pPr>
        <w:shd w:val="clea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2.落实政府采购政策需满足的资格要求：本项目为专门面向中小企业采购的项目。如为中小微型企业、监狱企业、残疾人福利性单位，提供的产品为国家认定的节能产品和环保产品的须按要求提供相关材料。</w:t>
      </w:r>
    </w:p>
    <w:p w14:paraId="2FA915E8">
      <w:pPr>
        <w:shd w:val="clea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3.本项目的特定资格要求：</w:t>
      </w:r>
    </w:p>
    <w:p w14:paraId="50F6C48E">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（1）</w:t>
      </w:r>
      <w:r>
        <w:rPr>
          <w:rFonts w:ascii="宋体" w:hAnsi="宋体" w:eastAsia="宋体"/>
          <w:color w:val="000000" w:themeColor="text1"/>
          <w:sz w:val="24"/>
          <w:szCs w:val="24"/>
          <w:highlight w:val="none"/>
          <w14:textFill>
            <w14:solidFill>
              <w14:schemeClr w14:val="tx1"/>
            </w14:solidFill>
          </w14:textFill>
        </w:rPr>
        <w:t>供应商资质等级及范围</w:t>
      </w:r>
      <w:r>
        <w:rPr>
          <w:rFonts w:hint="eastAsia" w:ascii="宋体" w:hAnsi="宋体" w:eastAsia="宋体"/>
          <w:color w:val="000000" w:themeColor="text1"/>
          <w:sz w:val="24"/>
          <w:szCs w:val="24"/>
          <w:highlight w:val="none"/>
          <w14:textFill>
            <w14:solidFill>
              <w14:schemeClr w14:val="tx1"/>
            </w14:solidFill>
          </w14:textFill>
        </w:rPr>
        <w:t>：</w:t>
      </w:r>
      <w:r>
        <w:rPr>
          <w:rFonts w:ascii="宋体" w:hAnsi="宋体" w:eastAsia="宋体"/>
          <w:color w:val="000000" w:themeColor="text1"/>
          <w:sz w:val="24"/>
          <w:szCs w:val="24"/>
          <w:highlight w:val="none"/>
          <w14:textFill>
            <w14:solidFill>
              <w14:schemeClr w14:val="tx1"/>
            </w14:solidFill>
          </w14:textFill>
        </w:rPr>
        <w:t>具</w:t>
      </w:r>
      <w:r>
        <w:rPr>
          <w:rFonts w:hint="eastAsia" w:ascii="宋体" w:hAnsi="宋体" w:eastAsia="宋体"/>
          <w:color w:val="000000" w:themeColor="text1"/>
          <w:sz w:val="24"/>
          <w:szCs w:val="24"/>
          <w:highlight w:val="none"/>
          <w14:textFill>
            <w14:solidFill>
              <w14:schemeClr w14:val="tx1"/>
            </w14:solidFill>
          </w14:textFill>
        </w:rPr>
        <w:t>备</w:t>
      </w:r>
      <w:r>
        <w:rPr>
          <w:rFonts w:ascii="宋体" w:hAnsi="宋体" w:eastAsia="宋体"/>
          <w:color w:val="000000" w:themeColor="text1"/>
          <w:sz w:val="24"/>
          <w:szCs w:val="24"/>
          <w:highlight w:val="none"/>
          <w14:textFill>
            <w14:solidFill>
              <w14:schemeClr w14:val="tx1"/>
            </w14:solidFill>
          </w14:textFill>
        </w:rPr>
        <w:t>建筑</w:t>
      </w:r>
      <w:r>
        <w:rPr>
          <w:rFonts w:hint="eastAsia" w:ascii="宋体" w:hAnsi="宋体" w:eastAsia="宋体"/>
          <w:color w:val="000000" w:themeColor="text1"/>
          <w:sz w:val="24"/>
          <w:szCs w:val="24"/>
          <w:highlight w:val="none"/>
          <w14:textFill>
            <w14:solidFill>
              <w14:schemeClr w14:val="tx1"/>
            </w14:solidFill>
          </w14:textFill>
        </w:rPr>
        <w:t>工程施工总承包三</w:t>
      </w:r>
      <w:r>
        <w:rPr>
          <w:rFonts w:ascii="宋体" w:hAnsi="宋体" w:eastAsia="宋体"/>
          <w:color w:val="000000" w:themeColor="text1"/>
          <w:sz w:val="24"/>
          <w:szCs w:val="24"/>
          <w:highlight w:val="none"/>
          <w14:textFill>
            <w14:solidFill>
              <w14:schemeClr w14:val="tx1"/>
            </w14:solidFill>
          </w14:textFill>
        </w:rPr>
        <w:t>级</w:t>
      </w:r>
      <w:r>
        <w:rPr>
          <w:rFonts w:hint="eastAsia" w:ascii="宋体" w:hAnsi="宋体" w:eastAsia="宋体"/>
          <w:color w:val="000000" w:themeColor="text1"/>
          <w:sz w:val="24"/>
          <w:szCs w:val="24"/>
          <w:highlight w:val="none"/>
          <w14:textFill>
            <w14:solidFill>
              <w14:schemeClr w14:val="tx1"/>
            </w14:solidFill>
          </w14:textFill>
        </w:rPr>
        <w:t>（含）</w:t>
      </w:r>
      <w:r>
        <w:rPr>
          <w:rFonts w:ascii="宋体" w:hAnsi="宋体" w:eastAsia="宋体"/>
          <w:color w:val="000000" w:themeColor="text1"/>
          <w:sz w:val="24"/>
          <w:szCs w:val="24"/>
          <w:highlight w:val="none"/>
          <w14:textFill>
            <w14:solidFill>
              <w14:schemeClr w14:val="tx1"/>
            </w14:solidFill>
          </w14:textFill>
        </w:rPr>
        <w:t>以上资质并具有有效的《安全生产许可证》</w:t>
      </w:r>
      <w:r>
        <w:rPr>
          <w:rFonts w:hint="eastAsia" w:ascii="宋体" w:hAnsi="宋体" w:eastAsia="宋体"/>
          <w:color w:val="000000" w:themeColor="text1"/>
          <w:sz w:val="24"/>
          <w:szCs w:val="24"/>
          <w:highlight w:val="none"/>
          <w14:textFill>
            <w14:solidFill>
              <w14:schemeClr w14:val="tx1"/>
            </w14:solidFill>
          </w14:textFill>
        </w:rPr>
        <w:t>，</w:t>
      </w:r>
      <w:r>
        <w:rPr>
          <w:rFonts w:ascii="宋体" w:hAnsi="宋体" w:eastAsia="宋体"/>
          <w:color w:val="000000" w:themeColor="text1"/>
          <w:sz w:val="24"/>
          <w:szCs w:val="24"/>
          <w:highlight w:val="none"/>
          <w14:textFill>
            <w14:solidFill>
              <w14:schemeClr w14:val="tx1"/>
            </w14:solidFill>
          </w14:textFill>
        </w:rPr>
        <w:t>提供有效的证书复印件加盖供应商公章编入响应文件中；</w:t>
      </w:r>
    </w:p>
    <w:p w14:paraId="7285B4BF">
      <w:pPr>
        <w:spacing w:line="360" w:lineRule="auto"/>
        <w:ind w:firstLine="480" w:firstLineChars="200"/>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w:t>
      </w:r>
      <w:r>
        <w:rPr>
          <w:rFonts w:hint="eastAsia" w:ascii="宋体" w:hAnsi="宋体" w:eastAsia="宋体"/>
          <w:color w:val="000000" w:themeColor="text1"/>
          <w:sz w:val="24"/>
          <w:szCs w:val="24"/>
          <w:highlight w:val="none"/>
          <w14:textFill>
            <w14:solidFill>
              <w14:schemeClr w14:val="tx1"/>
            </w14:solidFill>
          </w14:textFill>
        </w:rPr>
        <w:t>2</w:t>
      </w:r>
      <w:r>
        <w:rPr>
          <w:rFonts w:ascii="宋体" w:hAnsi="宋体" w:eastAsia="宋体"/>
          <w:color w:val="000000" w:themeColor="text1"/>
          <w:sz w:val="24"/>
          <w:szCs w:val="24"/>
          <w:highlight w:val="none"/>
          <w14:textFill>
            <w14:solidFill>
              <w14:schemeClr w14:val="tx1"/>
            </w14:solidFill>
          </w14:textFill>
        </w:rPr>
        <w:t>）</w:t>
      </w:r>
      <w:r>
        <w:rPr>
          <w:rFonts w:hint="eastAsia" w:ascii="宋体" w:hAnsi="宋体" w:eastAsia="宋体"/>
          <w:color w:val="000000" w:themeColor="text1"/>
          <w:sz w:val="24"/>
          <w:szCs w:val="24"/>
          <w:highlight w:val="none"/>
          <w14:textFill>
            <w14:solidFill>
              <w14:schemeClr w14:val="tx1"/>
            </w14:solidFill>
          </w14:textFill>
        </w:rPr>
        <w:t>项目负责人的资格要求：取得注册建造师证建筑工程二级(含)以上注册执业证书并取得《安全生产考核合格证书》B类证书；同时需提供本工程项目负责人与供应商签订的有效劳动合同、社保机构出具的近半年内(2025年7月-2025年12月)任意一个月供应商为其缴纳的养老保险缴费证明材料并加盖社保中心章或社保中心参保缴费证明电子专用章；若项目负责人属企业退休人员、现役军人等客观原因无法提供养老保险金缴费证明，必须出具劳务合同及相关证明材料，否则一律按未提供养老保险金缴费证明材料处理。（须供有效的证书复印件、合同及养老保险缴费证明材料复印件加盖公章）。</w:t>
      </w:r>
    </w:p>
    <w:p w14:paraId="2F50C7E0">
      <w:pPr>
        <w:spacing w:line="360" w:lineRule="auto"/>
        <w:ind w:firstLine="480" w:firstLineChars="200"/>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w:t>
      </w:r>
      <w:r>
        <w:rPr>
          <w:rFonts w:ascii="宋体" w:hAnsi="宋体" w:eastAsia="宋体"/>
          <w:color w:val="000000" w:themeColor="text1"/>
          <w:sz w:val="24"/>
          <w:szCs w:val="24"/>
          <w:highlight w:val="none"/>
          <w14:textFill>
            <w14:solidFill>
              <w14:schemeClr w14:val="tx1"/>
            </w14:solidFill>
          </w14:textFill>
        </w:rPr>
        <w:t>3</w:t>
      </w:r>
      <w:r>
        <w:rPr>
          <w:rFonts w:hint="eastAsia" w:ascii="宋体" w:hAnsi="宋体" w:eastAsia="宋体"/>
          <w:color w:val="000000" w:themeColor="text1"/>
          <w:sz w:val="24"/>
          <w:szCs w:val="24"/>
          <w:highlight w:val="none"/>
          <w14:textFill>
            <w14:solidFill>
              <w14:schemeClr w14:val="tx1"/>
            </w14:solidFill>
          </w14:textFill>
        </w:rPr>
        <w:t>）供应商须承诺</w:t>
      </w:r>
      <w:r>
        <w:rPr>
          <w:rFonts w:ascii="宋体" w:hAnsi="宋体" w:eastAsia="宋体"/>
          <w:color w:val="000000" w:themeColor="text1"/>
          <w:sz w:val="24"/>
          <w:szCs w:val="24"/>
          <w:highlight w:val="none"/>
          <w14:textFill>
            <w14:solidFill>
              <w14:schemeClr w14:val="tx1"/>
            </w14:solidFill>
          </w14:textFill>
        </w:rPr>
        <w:t>拟投入本项目的项目</w:t>
      </w:r>
      <w:r>
        <w:rPr>
          <w:rFonts w:hint="eastAsia" w:ascii="宋体" w:hAnsi="宋体" w:eastAsia="宋体"/>
          <w:color w:val="000000" w:themeColor="text1"/>
          <w:sz w:val="24"/>
          <w:szCs w:val="24"/>
          <w:highlight w:val="none"/>
          <w14:textFill>
            <w14:solidFill>
              <w14:schemeClr w14:val="tx1"/>
            </w14:solidFill>
          </w14:textFill>
        </w:rPr>
        <w:t>负责人无在建工程（提供承诺书加盖公章）</w:t>
      </w:r>
      <w:r>
        <w:rPr>
          <w:rFonts w:ascii="宋体" w:hAnsi="宋体" w:eastAsia="宋体"/>
          <w:color w:val="000000" w:themeColor="text1"/>
          <w:sz w:val="24"/>
          <w:szCs w:val="24"/>
          <w:highlight w:val="none"/>
          <w14:textFill>
            <w14:solidFill>
              <w14:schemeClr w14:val="tx1"/>
            </w14:solidFill>
          </w14:textFill>
        </w:rPr>
        <w:t>：</w:t>
      </w:r>
    </w:p>
    <w:p w14:paraId="25B4DD33">
      <w:pPr>
        <w:shd w:val="clea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4.拒绝下述供应商参加本次采购活动：（提供承诺书加盖供应商公章编入响应文件中）</w:t>
      </w:r>
    </w:p>
    <w:p w14:paraId="3A53B220">
      <w:pPr>
        <w:shd w:val="clea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（1）供应商单位负责人为同一人或者存在直接控股、管理关系的不同供应商，不得参加同一合同项下的采购活动。</w:t>
      </w:r>
    </w:p>
    <w:p w14:paraId="1145582B">
      <w:pPr>
        <w:shd w:val="clea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（2）凡为采购项目提供整体设计、规范编制或者项目管理、监理、检测等服务的供应商，不得再参加本项目的采购活动。</w:t>
      </w:r>
    </w:p>
    <w:p w14:paraId="47E052DB">
      <w:pPr>
        <w:shd w:val="clea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（3）拒绝列入失信被执行人、重大税收违法失信主体、政府采购严重违法失信行为记录名单中的供应商参加本项目的采购活动。</w:t>
      </w:r>
    </w:p>
    <w:p w14:paraId="365DE8CB">
      <w:pPr>
        <w:shd w:val="clea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注：采购人或代理机构通过 “信用中国”网站（www.creditchina.gov.cn）、“中国政府采购网”网站（www.ccgp.gov.cn）等渠道查询供应商信用记录并保存。</w:t>
      </w:r>
    </w:p>
    <w:p w14:paraId="20B0C00F">
      <w:pPr>
        <w:spacing w:line="360" w:lineRule="auto"/>
        <w:ind w:firstLine="480" w:firstLineChars="20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5.根据住房和城乡建设部办公厅关于全面实行一级建造师电子注册证书的通知（建办市〔2021〕40 号）要求，自 2021 年 10 月 15 日起，在全国范围内实行一级建造师电子证书，电子证书式样按照《全国一体化在线政务服务平台电子证照一级建造师注册证书》标准执行。自 2022 年 1 月 1 日起，一级建造师统一使用电子证书，纸质注册证书作废。各投标人须提供一级建造师证书电子注册证书，电子注册证书应当符合相关文件规定，签名图像应当与持证人个人手写签名笔迹一致，证书应当在使用有效期限内。若提供的电子件无法识别有效信息的，视为无效。投标人将自行承担资格审查不通过等相应后果。</w:t>
      </w:r>
    </w:p>
    <w:p w14:paraId="273DC19B">
      <w:pPr>
        <w:shd w:val="clea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p>
    <w:p w14:paraId="5FCA5B91">
      <w:pPr>
        <w:shd w:val="clear"/>
        <w:spacing w:line="360" w:lineRule="auto"/>
        <w:ind w:firstLine="480" w:firstLineChars="200"/>
        <w:rPr>
          <w:rFonts w:ascii="宋体" w:hAnsi="宋体" w:cs="宋体"/>
          <w:color w:val="000000" w:themeColor="text1"/>
          <w:sz w:val="24"/>
          <w:szCs w:val="24"/>
          <w:highlight w:val="none"/>
          <w14:textFill>
            <w14:solidFill>
              <w14:schemeClr w14:val="tx1"/>
            </w14:solidFill>
          </w14:textFill>
        </w:rPr>
      </w:pPr>
    </w:p>
    <w:p w14:paraId="7DA9D1E5">
      <w:pPr>
        <w:widowControl/>
        <w:shd w:val="clear"/>
        <w:adjustRightInd w:val="0"/>
        <w:spacing w:line="240" w:lineRule="atLeast"/>
        <w:jc w:val="left"/>
        <w:rPr>
          <w:rFonts w:ascii="宋体" w:hAnsi="宋体" w:cs="宋体"/>
          <w:b/>
          <w:color w:val="000000" w:themeColor="text1"/>
          <w:kern w:val="0"/>
          <w:szCs w:val="21"/>
          <w:highlight w:val="none"/>
          <w:lang w:val="zh-CN"/>
          <w14:textFill>
            <w14:solidFill>
              <w14:schemeClr w14:val="tx1"/>
            </w14:solidFill>
          </w14:textFill>
        </w:rPr>
      </w:pPr>
      <w:r>
        <w:rPr>
          <w:rFonts w:hint="eastAsia" w:ascii="宋体" w:hAnsi="宋体" w:cs="宋体"/>
          <w:b/>
          <w:color w:val="000000" w:themeColor="text1"/>
          <w:kern w:val="0"/>
          <w:szCs w:val="21"/>
          <w:highlight w:val="none"/>
          <w:lang w:val="zh-CN"/>
          <w14:textFill>
            <w14:solidFill>
              <w14:schemeClr w14:val="tx1"/>
            </w14:solidFill>
          </w14:textFill>
        </w:rPr>
        <w:t>五、分项报价表格式</w:t>
      </w:r>
    </w:p>
    <w:p w14:paraId="52F6DBED">
      <w:pPr>
        <w:shd w:val="clear"/>
        <w:autoSpaceDE w:val="0"/>
        <w:autoSpaceDN w:val="0"/>
        <w:adjustRightInd w:val="0"/>
        <w:jc w:val="center"/>
        <w:rPr>
          <w:rFonts w:ascii="宋体" w:hAnsi="宋体" w:cs="宋体"/>
          <w:b/>
          <w:color w:val="000000" w:themeColor="text1"/>
          <w:szCs w:val="21"/>
          <w:highlight w:val="none"/>
          <w:lang w:val="zh-CN"/>
          <w14:textFill>
            <w14:solidFill>
              <w14:schemeClr w14:val="tx1"/>
            </w14:solidFill>
          </w14:textFill>
        </w:rPr>
      </w:pPr>
    </w:p>
    <w:p w14:paraId="6FE8F309">
      <w:pPr>
        <w:shd w:val="clear"/>
        <w:autoSpaceDE w:val="0"/>
        <w:autoSpaceDN w:val="0"/>
        <w:adjustRightInd w:val="0"/>
        <w:jc w:val="center"/>
        <w:rPr>
          <w:rFonts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w:t>
      </w:r>
      <w:r>
        <w:rPr>
          <w:rFonts w:hint="eastAsia" w:ascii="宋体" w:hAnsi="宋体" w:cs="宋体"/>
          <w:b/>
          <w:color w:val="000000" w:themeColor="text1"/>
          <w:szCs w:val="21"/>
          <w:highlight w:val="none"/>
          <w14:textFill>
            <w14:solidFill>
              <w14:schemeClr w14:val="tx1"/>
            </w14:solidFill>
          </w14:textFill>
        </w:rPr>
        <w:t>格式自拟</w:t>
      </w:r>
      <w:r>
        <w:rPr>
          <w:rFonts w:hint="eastAsia" w:ascii="宋体" w:hAnsi="宋体" w:cs="宋体"/>
          <w:b/>
          <w:color w:val="000000" w:themeColor="text1"/>
          <w:szCs w:val="21"/>
          <w:highlight w:val="none"/>
          <w:lang w:val="zh-CN"/>
          <w14:textFill>
            <w14:solidFill>
              <w14:schemeClr w14:val="tx1"/>
            </w14:solidFill>
          </w14:textFill>
        </w:rPr>
        <w:t>）</w:t>
      </w:r>
    </w:p>
    <w:p w14:paraId="6F44DC8B">
      <w:pPr>
        <w:widowControl/>
        <w:shd w:val="clear"/>
        <w:adjustRightInd w:val="0"/>
        <w:spacing w:line="240" w:lineRule="atLeast"/>
        <w:jc w:val="left"/>
        <w:rPr>
          <w:rFonts w:ascii="宋体" w:hAnsi="宋体" w:cs="宋体"/>
          <w:color w:val="000000" w:themeColor="text1"/>
          <w:kern w:val="0"/>
          <w:sz w:val="36"/>
          <w:szCs w:val="36"/>
          <w:highlight w:val="none"/>
          <w:lang w:val="zh-CN"/>
          <w14:textFill>
            <w14:solidFill>
              <w14:schemeClr w14:val="tx1"/>
            </w14:solidFill>
          </w14:textFill>
        </w:rPr>
      </w:pPr>
    </w:p>
    <w:p w14:paraId="7B8C4BF4">
      <w:pPr>
        <w:shd w:val="clear"/>
        <w:rPr>
          <w:rFonts w:ascii="宋体" w:hAnsi="宋体" w:cs="宋体"/>
          <w:b/>
          <w:color w:val="000000" w:themeColor="text1"/>
          <w:kern w:val="0"/>
          <w:szCs w:val="21"/>
          <w:highlight w:val="none"/>
          <w:lang w:val="zh-CN"/>
          <w14:textFill>
            <w14:solidFill>
              <w14:schemeClr w14:val="tx1"/>
            </w14:solidFill>
          </w14:textFill>
        </w:rPr>
      </w:pPr>
      <w:r>
        <w:rPr>
          <w:rFonts w:hint="eastAsia" w:ascii="宋体" w:hAnsi="宋体" w:cs="宋体"/>
          <w:b/>
          <w:color w:val="000000" w:themeColor="text1"/>
          <w:kern w:val="0"/>
          <w:szCs w:val="21"/>
          <w:highlight w:val="none"/>
          <w:lang w:val="zh-CN"/>
          <w14:textFill>
            <w14:solidFill>
              <w14:schemeClr w14:val="tx1"/>
            </w14:solidFill>
          </w14:textFill>
        </w:rPr>
        <w:br w:type="page"/>
      </w:r>
    </w:p>
    <w:p w14:paraId="7ADD0ADC">
      <w:pPr>
        <w:shd w:val="clear"/>
        <w:spacing w:line="360" w:lineRule="auto"/>
        <w:jc w:val="left"/>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目录六、技术条款偏离表格式</w:t>
      </w:r>
    </w:p>
    <w:p w14:paraId="613C78E7">
      <w:pPr>
        <w:shd w:val="clear"/>
        <w:spacing w:line="360" w:lineRule="auto"/>
        <w:ind w:left="420"/>
        <w:jc w:val="center"/>
        <w:rPr>
          <w:rFonts w:ascii="宋体" w:hAnsi="宋体" w:cs="宋体"/>
          <w:color w:val="000000" w:themeColor="text1"/>
          <w:sz w:val="36"/>
          <w:highlight w:val="none"/>
          <w14:textFill>
            <w14:solidFill>
              <w14:schemeClr w14:val="tx1"/>
            </w14:solidFill>
          </w14:textFill>
        </w:rPr>
      </w:pPr>
      <w:r>
        <w:rPr>
          <w:rFonts w:hint="eastAsia" w:ascii="宋体" w:hAnsi="宋体" w:cs="宋体"/>
          <w:color w:val="000000" w:themeColor="text1"/>
          <w:sz w:val="36"/>
          <w:highlight w:val="none"/>
          <w14:textFill>
            <w14:solidFill>
              <w14:schemeClr w14:val="tx1"/>
            </w14:solidFill>
          </w14:textFill>
        </w:rPr>
        <w:t>技术条款偏离表</w:t>
      </w:r>
    </w:p>
    <w:tbl>
      <w:tblPr>
        <w:tblStyle w:val="25"/>
        <w:tblW w:w="9635" w:type="dxa"/>
        <w:jc w:val="center"/>
        <w:tblLayout w:type="fixed"/>
        <w:tblCellMar>
          <w:top w:w="0" w:type="dxa"/>
          <w:left w:w="10" w:type="dxa"/>
          <w:bottom w:w="0" w:type="dxa"/>
          <w:right w:w="10" w:type="dxa"/>
        </w:tblCellMar>
      </w:tblPr>
      <w:tblGrid>
        <w:gridCol w:w="1036"/>
        <w:gridCol w:w="1828"/>
        <w:gridCol w:w="2590"/>
        <w:gridCol w:w="3107"/>
        <w:gridCol w:w="1074"/>
      </w:tblGrid>
      <w:tr w14:paraId="7C8CC227">
        <w:tblPrEx>
          <w:tblCellMar>
            <w:top w:w="0" w:type="dxa"/>
            <w:left w:w="10" w:type="dxa"/>
            <w:bottom w:w="0" w:type="dxa"/>
            <w:right w:w="10" w:type="dxa"/>
          </w:tblCellMar>
        </w:tblPrEx>
        <w:trPr>
          <w:trHeight w:val="397" w:hRule="atLeast"/>
          <w:jc w:val="center"/>
        </w:trPr>
        <w:tc>
          <w:tcPr>
            <w:tcW w:w="5454" w:type="dxa"/>
            <w:gridSpan w:val="3"/>
            <w:shd w:val="clear" w:color="000000" w:fill="FFFFFF"/>
            <w:tcMar>
              <w:left w:w="0" w:type="dxa"/>
              <w:right w:w="0" w:type="dxa"/>
            </w:tcMar>
            <w:vAlign w:val="center"/>
          </w:tcPr>
          <w:p w14:paraId="091E1975">
            <w:pPr>
              <w:shd w:val="clear"/>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项目名称：</w:t>
            </w:r>
          </w:p>
        </w:tc>
        <w:tc>
          <w:tcPr>
            <w:tcW w:w="4181" w:type="dxa"/>
            <w:gridSpan w:val="2"/>
            <w:shd w:val="clear" w:color="000000" w:fill="FFFFFF"/>
            <w:tcMar>
              <w:left w:w="0" w:type="dxa"/>
              <w:right w:w="0" w:type="dxa"/>
            </w:tcMar>
            <w:vAlign w:val="center"/>
          </w:tcPr>
          <w:p w14:paraId="050E624A">
            <w:pPr>
              <w:shd w:val="clear"/>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项目编号：</w:t>
            </w:r>
          </w:p>
        </w:tc>
      </w:tr>
      <w:tr w14:paraId="486B4201">
        <w:tblPrEx>
          <w:tblCellMar>
            <w:top w:w="0" w:type="dxa"/>
            <w:left w:w="10" w:type="dxa"/>
            <w:bottom w:w="0" w:type="dxa"/>
            <w:right w:w="10" w:type="dxa"/>
          </w:tblCellMar>
        </w:tblPrEx>
        <w:trPr>
          <w:trHeight w:val="397" w:hRule="atLeast"/>
          <w:jc w:val="center"/>
        </w:trPr>
        <w:tc>
          <w:tcPr>
            <w:tcW w:w="1036"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41179ADF">
            <w:pPr>
              <w:shd w:val="clea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序号</w:t>
            </w:r>
          </w:p>
        </w:tc>
        <w:tc>
          <w:tcPr>
            <w:tcW w:w="1828"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561B0E69">
            <w:pPr>
              <w:shd w:val="clea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采购文件条目号</w:t>
            </w:r>
          </w:p>
        </w:tc>
        <w:tc>
          <w:tcPr>
            <w:tcW w:w="2590"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0764202E">
            <w:pPr>
              <w:shd w:val="clea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服务要求</w:t>
            </w:r>
          </w:p>
        </w:tc>
        <w:tc>
          <w:tcPr>
            <w:tcW w:w="3107"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31EA00B3">
            <w:pPr>
              <w:shd w:val="clea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投标响应</w:t>
            </w:r>
          </w:p>
        </w:tc>
        <w:tc>
          <w:tcPr>
            <w:tcW w:w="1074"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0381A1F6">
            <w:pPr>
              <w:shd w:val="clea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偏离</w:t>
            </w:r>
          </w:p>
        </w:tc>
      </w:tr>
      <w:tr w14:paraId="5169D03D">
        <w:tblPrEx>
          <w:tblCellMar>
            <w:top w:w="0" w:type="dxa"/>
            <w:left w:w="10" w:type="dxa"/>
            <w:bottom w:w="0" w:type="dxa"/>
            <w:right w:w="10" w:type="dxa"/>
          </w:tblCellMar>
        </w:tblPrEx>
        <w:trPr>
          <w:trHeight w:val="397" w:hRule="atLeast"/>
          <w:jc w:val="center"/>
        </w:trPr>
        <w:tc>
          <w:tcPr>
            <w:tcW w:w="1036"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51F79E86">
            <w:pPr>
              <w:shd w:val="clear"/>
              <w:jc w:val="center"/>
              <w:rPr>
                <w:rFonts w:ascii="宋体" w:hAnsi="宋体" w:cs="宋体"/>
                <w:color w:val="000000" w:themeColor="text1"/>
                <w:sz w:val="22"/>
                <w:highlight w:val="none"/>
                <w14:textFill>
                  <w14:solidFill>
                    <w14:schemeClr w14:val="tx1"/>
                  </w14:solidFill>
                </w14:textFill>
              </w:rPr>
            </w:pPr>
          </w:p>
        </w:tc>
        <w:tc>
          <w:tcPr>
            <w:tcW w:w="1828"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110A4D7D">
            <w:pPr>
              <w:shd w:val="clear"/>
              <w:jc w:val="center"/>
              <w:rPr>
                <w:rFonts w:ascii="宋体" w:hAnsi="宋体" w:cs="宋体"/>
                <w:color w:val="000000" w:themeColor="text1"/>
                <w:sz w:val="22"/>
                <w:highlight w:val="none"/>
                <w14:textFill>
                  <w14:solidFill>
                    <w14:schemeClr w14:val="tx1"/>
                  </w14:solidFill>
                </w14:textFill>
              </w:rPr>
            </w:pPr>
          </w:p>
        </w:tc>
        <w:tc>
          <w:tcPr>
            <w:tcW w:w="2590"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39728FE9">
            <w:pPr>
              <w:shd w:val="clear"/>
              <w:jc w:val="center"/>
              <w:rPr>
                <w:rFonts w:ascii="宋体" w:hAnsi="宋体" w:cs="宋体"/>
                <w:color w:val="000000" w:themeColor="text1"/>
                <w:sz w:val="22"/>
                <w:highlight w:val="none"/>
                <w14:textFill>
                  <w14:solidFill>
                    <w14:schemeClr w14:val="tx1"/>
                  </w14:solidFill>
                </w14:textFill>
              </w:rPr>
            </w:pPr>
          </w:p>
        </w:tc>
        <w:tc>
          <w:tcPr>
            <w:tcW w:w="3107"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2C5CB8D8">
            <w:pPr>
              <w:shd w:val="clear"/>
              <w:jc w:val="center"/>
              <w:rPr>
                <w:rFonts w:ascii="宋体" w:hAnsi="宋体" w:cs="宋体"/>
                <w:color w:val="000000" w:themeColor="text1"/>
                <w:sz w:val="22"/>
                <w:highlight w:val="none"/>
                <w14:textFill>
                  <w14:solidFill>
                    <w14:schemeClr w14:val="tx1"/>
                  </w14:solidFill>
                </w14:textFill>
              </w:rPr>
            </w:pPr>
          </w:p>
        </w:tc>
        <w:tc>
          <w:tcPr>
            <w:tcW w:w="1074"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3BCD0068">
            <w:pPr>
              <w:shd w:val="clear"/>
              <w:jc w:val="center"/>
              <w:rPr>
                <w:rFonts w:ascii="宋体" w:hAnsi="宋体" w:cs="宋体"/>
                <w:color w:val="000000" w:themeColor="text1"/>
                <w:sz w:val="22"/>
                <w:highlight w:val="none"/>
                <w14:textFill>
                  <w14:solidFill>
                    <w14:schemeClr w14:val="tx1"/>
                  </w14:solidFill>
                </w14:textFill>
              </w:rPr>
            </w:pPr>
          </w:p>
        </w:tc>
      </w:tr>
      <w:tr w14:paraId="583A673D">
        <w:tblPrEx>
          <w:tblCellMar>
            <w:top w:w="0" w:type="dxa"/>
            <w:left w:w="10" w:type="dxa"/>
            <w:bottom w:w="0" w:type="dxa"/>
            <w:right w:w="10" w:type="dxa"/>
          </w:tblCellMar>
        </w:tblPrEx>
        <w:trPr>
          <w:trHeight w:val="397" w:hRule="atLeast"/>
          <w:jc w:val="center"/>
        </w:trPr>
        <w:tc>
          <w:tcPr>
            <w:tcW w:w="1036"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086BE421">
            <w:pPr>
              <w:shd w:val="clear"/>
              <w:jc w:val="center"/>
              <w:rPr>
                <w:rFonts w:ascii="宋体" w:hAnsi="宋体" w:cs="宋体"/>
                <w:color w:val="000000" w:themeColor="text1"/>
                <w:sz w:val="22"/>
                <w:highlight w:val="none"/>
                <w14:textFill>
                  <w14:solidFill>
                    <w14:schemeClr w14:val="tx1"/>
                  </w14:solidFill>
                </w14:textFill>
              </w:rPr>
            </w:pPr>
          </w:p>
        </w:tc>
        <w:tc>
          <w:tcPr>
            <w:tcW w:w="1828"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18DA5F31">
            <w:pPr>
              <w:shd w:val="clear"/>
              <w:jc w:val="center"/>
              <w:rPr>
                <w:rFonts w:ascii="宋体" w:hAnsi="宋体" w:cs="宋体"/>
                <w:color w:val="000000" w:themeColor="text1"/>
                <w:sz w:val="22"/>
                <w:highlight w:val="none"/>
                <w14:textFill>
                  <w14:solidFill>
                    <w14:schemeClr w14:val="tx1"/>
                  </w14:solidFill>
                </w14:textFill>
              </w:rPr>
            </w:pPr>
          </w:p>
        </w:tc>
        <w:tc>
          <w:tcPr>
            <w:tcW w:w="2590"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56E76DA2">
            <w:pPr>
              <w:shd w:val="clear"/>
              <w:jc w:val="center"/>
              <w:rPr>
                <w:rFonts w:ascii="宋体" w:hAnsi="宋体" w:cs="宋体"/>
                <w:color w:val="000000" w:themeColor="text1"/>
                <w:sz w:val="22"/>
                <w:highlight w:val="none"/>
                <w14:textFill>
                  <w14:solidFill>
                    <w14:schemeClr w14:val="tx1"/>
                  </w14:solidFill>
                </w14:textFill>
              </w:rPr>
            </w:pPr>
          </w:p>
        </w:tc>
        <w:tc>
          <w:tcPr>
            <w:tcW w:w="3107"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5CEABE8B">
            <w:pPr>
              <w:shd w:val="clear"/>
              <w:jc w:val="center"/>
              <w:rPr>
                <w:rFonts w:ascii="宋体" w:hAnsi="宋体" w:cs="宋体"/>
                <w:color w:val="000000" w:themeColor="text1"/>
                <w:sz w:val="22"/>
                <w:highlight w:val="none"/>
                <w14:textFill>
                  <w14:solidFill>
                    <w14:schemeClr w14:val="tx1"/>
                  </w14:solidFill>
                </w14:textFill>
              </w:rPr>
            </w:pPr>
          </w:p>
        </w:tc>
        <w:tc>
          <w:tcPr>
            <w:tcW w:w="1074"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22926D43">
            <w:pPr>
              <w:shd w:val="clear"/>
              <w:jc w:val="center"/>
              <w:rPr>
                <w:rFonts w:ascii="宋体" w:hAnsi="宋体" w:cs="宋体"/>
                <w:color w:val="000000" w:themeColor="text1"/>
                <w:sz w:val="22"/>
                <w:highlight w:val="none"/>
                <w14:textFill>
                  <w14:solidFill>
                    <w14:schemeClr w14:val="tx1"/>
                  </w14:solidFill>
                </w14:textFill>
              </w:rPr>
            </w:pPr>
          </w:p>
        </w:tc>
      </w:tr>
      <w:tr w14:paraId="7A5014EB">
        <w:tblPrEx>
          <w:tblCellMar>
            <w:top w:w="0" w:type="dxa"/>
            <w:left w:w="10" w:type="dxa"/>
            <w:bottom w:w="0" w:type="dxa"/>
            <w:right w:w="10" w:type="dxa"/>
          </w:tblCellMar>
        </w:tblPrEx>
        <w:trPr>
          <w:trHeight w:val="397" w:hRule="atLeast"/>
          <w:jc w:val="center"/>
        </w:trPr>
        <w:tc>
          <w:tcPr>
            <w:tcW w:w="1036"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1E0CE184">
            <w:pPr>
              <w:shd w:val="clear"/>
              <w:jc w:val="center"/>
              <w:rPr>
                <w:rFonts w:ascii="宋体" w:hAnsi="宋体" w:cs="宋体"/>
                <w:color w:val="000000" w:themeColor="text1"/>
                <w:sz w:val="22"/>
                <w:highlight w:val="none"/>
                <w14:textFill>
                  <w14:solidFill>
                    <w14:schemeClr w14:val="tx1"/>
                  </w14:solidFill>
                </w14:textFill>
              </w:rPr>
            </w:pPr>
          </w:p>
        </w:tc>
        <w:tc>
          <w:tcPr>
            <w:tcW w:w="1828"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4CDC9284">
            <w:pPr>
              <w:shd w:val="clear"/>
              <w:jc w:val="center"/>
              <w:rPr>
                <w:rFonts w:ascii="宋体" w:hAnsi="宋体" w:cs="宋体"/>
                <w:color w:val="000000" w:themeColor="text1"/>
                <w:sz w:val="22"/>
                <w:highlight w:val="none"/>
                <w14:textFill>
                  <w14:solidFill>
                    <w14:schemeClr w14:val="tx1"/>
                  </w14:solidFill>
                </w14:textFill>
              </w:rPr>
            </w:pPr>
          </w:p>
        </w:tc>
        <w:tc>
          <w:tcPr>
            <w:tcW w:w="2590"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79C4DDC3">
            <w:pPr>
              <w:shd w:val="clear"/>
              <w:jc w:val="center"/>
              <w:rPr>
                <w:rFonts w:ascii="宋体" w:hAnsi="宋体" w:cs="宋体"/>
                <w:color w:val="000000" w:themeColor="text1"/>
                <w:sz w:val="22"/>
                <w:highlight w:val="none"/>
                <w14:textFill>
                  <w14:solidFill>
                    <w14:schemeClr w14:val="tx1"/>
                  </w14:solidFill>
                </w14:textFill>
              </w:rPr>
            </w:pPr>
          </w:p>
        </w:tc>
        <w:tc>
          <w:tcPr>
            <w:tcW w:w="3107"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7AAC4804">
            <w:pPr>
              <w:shd w:val="clear"/>
              <w:jc w:val="center"/>
              <w:rPr>
                <w:rFonts w:ascii="宋体" w:hAnsi="宋体" w:cs="宋体"/>
                <w:color w:val="000000" w:themeColor="text1"/>
                <w:sz w:val="22"/>
                <w:highlight w:val="none"/>
                <w14:textFill>
                  <w14:solidFill>
                    <w14:schemeClr w14:val="tx1"/>
                  </w14:solidFill>
                </w14:textFill>
              </w:rPr>
            </w:pPr>
          </w:p>
        </w:tc>
        <w:tc>
          <w:tcPr>
            <w:tcW w:w="1074" w:type="dxa"/>
            <w:tcBorders>
              <w:top w:val="single" w:color="000000" w:sz="6" w:space="0"/>
              <w:left w:val="single" w:color="000000" w:sz="6" w:space="0"/>
              <w:bottom w:val="single" w:color="000000" w:sz="6" w:space="0"/>
              <w:right w:val="single" w:color="000000" w:sz="6" w:space="0"/>
            </w:tcBorders>
            <w:shd w:val="clear" w:color="000000" w:fill="FFFFFF"/>
            <w:tcMar>
              <w:left w:w="0" w:type="dxa"/>
              <w:right w:w="0" w:type="dxa"/>
            </w:tcMar>
            <w:vAlign w:val="center"/>
          </w:tcPr>
          <w:p w14:paraId="32B4C631">
            <w:pPr>
              <w:shd w:val="clear"/>
              <w:jc w:val="center"/>
              <w:rPr>
                <w:rFonts w:ascii="宋体" w:hAnsi="宋体" w:cs="宋体"/>
                <w:color w:val="000000" w:themeColor="text1"/>
                <w:sz w:val="22"/>
                <w:highlight w:val="none"/>
                <w14:textFill>
                  <w14:solidFill>
                    <w14:schemeClr w14:val="tx1"/>
                  </w14:solidFill>
                </w14:textFill>
              </w:rPr>
            </w:pPr>
          </w:p>
        </w:tc>
      </w:tr>
    </w:tbl>
    <w:p w14:paraId="034ECB67">
      <w:pPr>
        <w:shd w:val="clear"/>
        <w:spacing w:line="360" w:lineRule="auto"/>
        <w:jc w:val="left"/>
        <w:rPr>
          <w:rFonts w:ascii="宋体" w:hAnsi="宋体" w:cs="宋体"/>
          <w:color w:val="000000" w:themeColor="text1"/>
          <w:highlight w:val="none"/>
          <w14:textFill>
            <w14:solidFill>
              <w14:schemeClr w14:val="tx1"/>
            </w14:solidFill>
          </w14:textFill>
        </w:rPr>
      </w:pPr>
    </w:p>
    <w:p w14:paraId="1EA68B6D">
      <w:pPr>
        <w:shd w:val="clear"/>
        <w:spacing w:line="360" w:lineRule="auto"/>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供应商名称：（盖章）</w:t>
      </w:r>
    </w:p>
    <w:p w14:paraId="634CFAEF">
      <w:pPr>
        <w:shd w:val="clear"/>
        <w:spacing w:line="360" w:lineRule="auto"/>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说明：1、如果行数不够，请自行增加。</w:t>
      </w:r>
    </w:p>
    <w:p w14:paraId="7D862882">
      <w:pPr>
        <w:shd w:val="clear"/>
        <w:spacing w:line="360" w:lineRule="auto"/>
        <w:ind w:firstLine="632"/>
        <w:jc w:val="left"/>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2、供应商应对磋商文件技术要求逐条填写偏离情况(正偏离、负偏离或无偏离)，并说明偏离的具体内容及做出必要说明。未在上表中说明的视为无偏离，如在响应文件其他内容中已有文字说明或相关证明材料的与偏离表不一致的以偏离表为准。如有偏离供应商需如实填写偏离表，请勿虚假响应，供应商应对故意隐瞒偏离的行为承担责任。</w:t>
      </w:r>
    </w:p>
    <w:p w14:paraId="6BE15D56">
      <w:pPr>
        <w:shd w:val="clear"/>
        <w:jc w:val="left"/>
        <w:rPr>
          <w:rFonts w:ascii="宋体" w:hAnsi="宋体" w:cs="宋体"/>
          <w:color w:val="000000" w:themeColor="text1"/>
          <w:highlight w:val="none"/>
          <w14:textFill>
            <w14:solidFill>
              <w14:schemeClr w14:val="tx1"/>
            </w14:solidFill>
          </w14:textFill>
        </w:rPr>
      </w:pPr>
    </w:p>
    <w:p w14:paraId="1BFB9430">
      <w:pPr>
        <w:shd w:val="clear"/>
        <w:spacing w:line="360" w:lineRule="auto"/>
        <w:jc w:val="left"/>
        <w:rPr>
          <w:rFonts w:ascii="宋体" w:hAnsi="宋体" w:cs="宋体"/>
          <w:b/>
          <w:color w:val="000000" w:themeColor="text1"/>
          <w:highlight w:val="none"/>
          <w14:textFill>
            <w14:solidFill>
              <w14:schemeClr w14:val="tx1"/>
            </w14:solidFill>
          </w14:textFill>
        </w:rPr>
      </w:pPr>
    </w:p>
    <w:p w14:paraId="32085491">
      <w:pPr>
        <w:shd w:val="clear"/>
        <w:spacing w:line="360" w:lineRule="auto"/>
        <w:jc w:val="left"/>
        <w:rPr>
          <w:rFonts w:ascii="宋体" w:hAnsi="宋体" w:cs="宋体"/>
          <w:b/>
          <w:color w:val="000000" w:themeColor="text1"/>
          <w:highlight w:val="none"/>
          <w14:textFill>
            <w14:solidFill>
              <w14:schemeClr w14:val="tx1"/>
            </w14:solidFill>
          </w14:textFill>
        </w:rPr>
      </w:pPr>
    </w:p>
    <w:p w14:paraId="43A638BB">
      <w:pPr>
        <w:shd w:val="clear"/>
        <w:spacing w:line="360" w:lineRule="auto"/>
        <w:jc w:val="left"/>
        <w:rPr>
          <w:rFonts w:ascii="宋体" w:hAnsi="宋体" w:cs="宋体"/>
          <w:b/>
          <w:color w:val="000000" w:themeColor="text1"/>
          <w:highlight w:val="none"/>
          <w14:textFill>
            <w14:solidFill>
              <w14:schemeClr w14:val="tx1"/>
            </w14:solidFill>
          </w14:textFill>
        </w:rPr>
      </w:pPr>
    </w:p>
    <w:p w14:paraId="1659E017">
      <w:pPr>
        <w:shd w:val="clear"/>
        <w:spacing w:line="360" w:lineRule="auto"/>
        <w:jc w:val="left"/>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目录七、商务条款偏离表格式</w:t>
      </w:r>
    </w:p>
    <w:p w14:paraId="62D95BBE">
      <w:pPr>
        <w:shd w:val="clear"/>
        <w:spacing w:line="360" w:lineRule="auto"/>
        <w:ind w:left="420"/>
        <w:jc w:val="center"/>
        <w:rPr>
          <w:rFonts w:ascii="宋体" w:hAnsi="宋体" w:cs="宋体"/>
          <w:color w:val="000000" w:themeColor="text1"/>
          <w:sz w:val="36"/>
          <w:highlight w:val="none"/>
          <w14:textFill>
            <w14:solidFill>
              <w14:schemeClr w14:val="tx1"/>
            </w14:solidFill>
          </w14:textFill>
        </w:rPr>
      </w:pPr>
      <w:r>
        <w:rPr>
          <w:rFonts w:hint="eastAsia" w:ascii="宋体" w:hAnsi="宋体" w:cs="宋体"/>
          <w:color w:val="000000" w:themeColor="text1"/>
          <w:sz w:val="36"/>
          <w:highlight w:val="none"/>
          <w14:textFill>
            <w14:solidFill>
              <w14:schemeClr w14:val="tx1"/>
            </w14:solidFill>
          </w14:textFill>
        </w:rPr>
        <w:t>商务条款偏离表</w:t>
      </w:r>
    </w:p>
    <w:tbl>
      <w:tblPr>
        <w:tblStyle w:val="25"/>
        <w:tblW w:w="9629" w:type="dxa"/>
        <w:jc w:val="center"/>
        <w:tblLayout w:type="fixed"/>
        <w:tblCellMar>
          <w:top w:w="0" w:type="dxa"/>
          <w:left w:w="10" w:type="dxa"/>
          <w:bottom w:w="0" w:type="dxa"/>
          <w:right w:w="10" w:type="dxa"/>
        </w:tblCellMar>
      </w:tblPr>
      <w:tblGrid>
        <w:gridCol w:w="944"/>
        <w:gridCol w:w="1845"/>
        <w:gridCol w:w="2658"/>
        <w:gridCol w:w="2828"/>
        <w:gridCol w:w="1354"/>
      </w:tblGrid>
      <w:tr w14:paraId="66409435">
        <w:tblPrEx>
          <w:tblCellMar>
            <w:top w:w="0" w:type="dxa"/>
            <w:left w:w="10" w:type="dxa"/>
            <w:bottom w:w="0" w:type="dxa"/>
            <w:right w:w="10" w:type="dxa"/>
          </w:tblCellMar>
        </w:tblPrEx>
        <w:trPr>
          <w:trHeight w:val="454" w:hRule="atLeast"/>
          <w:jc w:val="center"/>
        </w:trPr>
        <w:tc>
          <w:tcPr>
            <w:tcW w:w="5447" w:type="dxa"/>
            <w:gridSpan w:val="3"/>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785DDB3A">
            <w:pPr>
              <w:shd w:val="clear"/>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项目名称：</w:t>
            </w:r>
          </w:p>
        </w:tc>
        <w:tc>
          <w:tcPr>
            <w:tcW w:w="4182" w:type="dxa"/>
            <w:gridSpan w:val="2"/>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669B2403">
            <w:pPr>
              <w:shd w:val="clear"/>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项目编号：</w:t>
            </w:r>
          </w:p>
        </w:tc>
      </w:tr>
      <w:tr w14:paraId="234298BB">
        <w:tblPrEx>
          <w:tblCellMar>
            <w:top w:w="0" w:type="dxa"/>
            <w:left w:w="10" w:type="dxa"/>
            <w:bottom w:w="0" w:type="dxa"/>
            <w:right w:w="10" w:type="dxa"/>
          </w:tblCellMar>
        </w:tblPrEx>
        <w:trPr>
          <w:trHeight w:val="454" w:hRule="atLeast"/>
          <w:jc w:val="center"/>
        </w:trPr>
        <w:tc>
          <w:tcPr>
            <w:tcW w:w="944"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22ED73E4">
            <w:pPr>
              <w:shd w:val="clea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序号</w:t>
            </w:r>
          </w:p>
        </w:tc>
        <w:tc>
          <w:tcPr>
            <w:tcW w:w="1845"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68B703A7">
            <w:pPr>
              <w:shd w:val="clea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采购文件条目号</w:t>
            </w:r>
          </w:p>
        </w:tc>
        <w:tc>
          <w:tcPr>
            <w:tcW w:w="2658"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2D2D1789">
            <w:pPr>
              <w:shd w:val="clea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采购文件要求的商务条款</w:t>
            </w:r>
          </w:p>
        </w:tc>
        <w:tc>
          <w:tcPr>
            <w:tcW w:w="2828"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628BC6AB">
            <w:pPr>
              <w:shd w:val="clea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投标响应</w:t>
            </w:r>
          </w:p>
        </w:tc>
        <w:tc>
          <w:tcPr>
            <w:tcW w:w="1354"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47934718">
            <w:pPr>
              <w:shd w:val="clea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偏离</w:t>
            </w:r>
          </w:p>
        </w:tc>
      </w:tr>
      <w:tr w14:paraId="5F711FD3">
        <w:tblPrEx>
          <w:tblCellMar>
            <w:top w:w="0" w:type="dxa"/>
            <w:left w:w="10" w:type="dxa"/>
            <w:bottom w:w="0" w:type="dxa"/>
            <w:right w:w="10" w:type="dxa"/>
          </w:tblCellMar>
        </w:tblPrEx>
        <w:trPr>
          <w:trHeight w:val="454" w:hRule="atLeast"/>
          <w:jc w:val="center"/>
        </w:trPr>
        <w:tc>
          <w:tcPr>
            <w:tcW w:w="944"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0BCD0804">
            <w:pPr>
              <w:shd w:val="clear"/>
              <w:jc w:val="center"/>
              <w:rPr>
                <w:rFonts w:ascii="宋体" w:hAnsi="宋体" w:cs="宋体"/>
                <w:color w:val="000000" w:themeColor="text1"/>
                <w:sz w:val="22"/>
                <w:highlight w:val="none"/>
                <w14:textFill>
                  <w14:solidFill>
                    <w14:schemeClr w14:val="tx1"/>
                  </w14:solidFill>
                </w14:textFill>
              </w:rPr>
            </w:pPr>
          </w:p>
        </w:tc>
        <w:tc>
          <w:tcPr>
            <w:tcW w:w="1845"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7E4F6421">
            <w:pPr>
              <w:shd w:val="clear"/>
              <w:jc w:val="center"/>
              <w:rPr>
                <w:rFonts w:ascii="宋体" w:hAnsi="宋体" w:cs="宋体"/>
                <w:color w:val="000000" w:themeColor="text1"/>
                <w:sz w:val="22"/>
                <w:highlight w:val="none"/>
                <w14:textFill>
                  <w14:solidFill>
                    <w14:schemeClr w14:val="tx1"/>
                  </w14:solidFill>
                </w14:textFill>
              </w:rPr>
            </w:pPr>
          </w:p>
        </w:tc>
        <w:tc>
          <w:tcPr>
            <w:tcW w:w="2658"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27FEE538">
            <w:pPr>
              <w:shd w:val="clear"/>
              <w:jc w:val="center"/>
              <w:rPr>
                <w:rFonts w:ascii="宋体" w:hAnsi="宋体" w:cs="宋体"/>
                <w:color w:val="000000" w:themeColor="text1"/>
                <w:sz w:val="22"/>
                <w:highlight w:val="none"/>
                <w14:textFill>
                  <w14:solidFill>
                    <w14:schemeClr w14:val="tx1"/>
                  </w14:solidFill>
                </w14:textFill>
              </w:rPr>
            </w:pPr>
          </w:p>
        </w:tc>
        <w:tc>
          <w:tcPr>
            <w:tcW w:w="2828"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28255B07">
            <w:pPr>
              <w:shd w:val="clear"/>
              <w:jc w:val="center"/>
              <w:rPr>
                <w:rFonts w:ascii="宋体" w:hAnsi="宋体" w:cs="宋体"/>
                <w:color w:val="000000" w:themeColor="text1"/>
                <w:sz w:val="22"/>
                <w:highlight w:val="none"/>
                <w14:textFill>
                  <w14:solidFill>
                    <w14:schemeClr w14:val="tx1"/>
                  </w14:solidFill>
                </w14:textFill>
              </w:rPr>
            </w:pPr>
          </w:p>
        </w:tc>
        <w:tc>
          <w:tcPr>
            <w:tcW w:w="1354"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59E4AEB5">
            <w:pPr>
              <w:shd w:val="clear"/>
              <w:jc w:val="center"/>
              <w:rPr>
                <w:rFonts w:ascii="宋体" w:hAnsi="宋体" w:cs="宋体"/>
                <w:color w:val="000000" w:themeColor="text1"/>
                <w:sz w:val="22"/>
                <w:highlight w:val="none"/>
                <w14:textFill>
                  <w14:solidFill>
                    <w14:schemeClr w14:val="tx1"/>
                  </w14:solidFill>
                </w14:textFill>
              </w:rPr>
            </w:pPr>
          </w:p>
        </w:tc>
      </w:tr>
      <w:tr w14:paraId="0E13748A">
        <w:tblPrEx>
          <w:tblCellMar>
            <w:top w:w="0" w:type="dxa"/>
            <w:left w:w="10" w:type="dxa"/>
            <w:bottom w:w="0" w:type="dxa"/>
            <w:right w:w="10" w:type="dxa"/>
          </w:tblCellMar>
        </w:tblPrEx>
        <w:trPr>
          <w:trHeight w:val="454" w:hRule="atLeast"/>
          <w:jc w:val="center"/>
        </w:trPr>
        <w:tc>
          <w:tcPr>
            <w:tcW w:w="944"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27818FC2">
            <w:pPr>
              <w:shd w:val="clear"/>
              <w:jc w:val="center"/>
              <w:rPr>
                <w:rFonts w:ascii="宋体" w:hAnsi="宋体" w:cs="宋体"/>
                <w:color w:val="000000" w:themeColor="text1"/>
                <w:sz w:val="22"/>
                <w:highlight w:val="none"/>
                <w14:textFill>
                  <w14:solidFill>
                    <w14:schemeClr w14:val="tx1"/>
                  </w14:solidFill>
                </w14:textFill>
              </w:rPr>
            </w:pPr>
          </w:p>
        </w:tc>
        <w:tc>
          <w:tcPr>
            <w:tcW w:w="1845"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121C98D1">
            <w:pPr>
              <w:shd w:val="clear"/>
              <w:jc w:val="center"/>
              <w:rPr>
                <w:rFonts w:ascii="宋体" w:hAnsi="宋体" w:cs="宋体"/>
                <w:color w:val="000000" w:themeColor="text1"/>
                <w:sz w:val="22"/>
                <w:highlight w:val="none"/>
                <w14:textFill>
                  <w14:solidFill>
                    <w14:schemeClr w14:val="tx1"/>
                  </w14:solidFill>
                </w14:textFill>
              </w:rPr>
            </w:pPr>
          </w:p>
        </w:tc>
        <w:tc>
          <w:tcPr>
            <w:tcW w:w="2658"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0684F96B">
            <w:pPr>
              <w:shd w:val="clear"/>
              <w:jc w:val="center"/>
              <w:rPr>
                <w:rFonts w:ascii="宋体" w:hAnsi="宋体" w:cs="宋体"/>
                <w:color w:val="000000" w:themeColor="text1"/>
                <w:sz w:val="22"/>
                <w:highlight w:val="none"/>
                <w14:textFill>
                  <w14:solidFill>
                    <w14:schemeClr w14:val="tx1"/>
                  </w14:solidFill>
                </w14:textFill>
              </w:rPr>
            </w:pPr>
          </w:p>
        </w:tc>
        <w:tc>
          <w:tcPr>
            <w:tcW w:w="2828"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416BBD1E">
            <w:pPr>
              <w:shd w:val="clear"/>
              <w:jc w:val="center"/>
              <w:rPr>
                <w:rFonts w:ascii="宋体" w:hAnsi="宋体" w:cs="宋体"/>
                <w:color w:val="000000" w:themeColor="text1"/>
                <w:sz w:val="22"/>
                <w:highlight w:val="none"/>
                <w14:textFill>
                  <w14:solidFill>
                    <w14:schemeClr w14:val="tx1"/>
                  </w14:solidFill>
                </w14:textFill>
              </w:rPr>
            </w:pPr>
          </w:p>
        </w:tc>
        <w:tc>
          <w:tcPr>
            <w:tcW w:w="1354"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041B2666">
            <w:pPr>
              <w:shd w:val="clear"/>
              <w:jc w:val="center"/>
              <w:rPr>
                <w:rFonts w:ascii="宋体" w:hAnsi="宋体" w:cs="宋体"/>
                <w:color w:val="000000" w:themeColor="text1"/>
                <w:sz w:val="22"/>
                <w:highlight w:val="none"/>
                <w14:textFill>
                  <w14:solidFill>
                    <w14:schemeClr w14:val="tx1"/>
                  </w14:solidFill>
                </w14:textFill>
              </w:rPr>
            </w:pPr>
          </w:p>
        </w:tc>
      </w:tr>
      <w:tr w14:paraId="6B074DFC">
        <w:tblPrEx>
          <w:tblCellMar>
            <w:top w:w="0" w:type="dxa"/>
            <w:left w:w="10" w:type="dxa"/>
            <w:bottom w:w="0" w:type="dxa"/>
            <w:right w:w="10" w:type="dxa"/>
          </w:tblCellMar>
        </w:tblPrEx>
        <w:trPr>
          <w:trHeight w:val="454" w:hRule="atLeast"/>
          <w:jc w:val="center"/>
        </w:trPr>
        <w:tc>
          <w:tcPr>
            <w:tcW w:w="944"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1E972837">
            <w:pPr>
              <w:shd w:val="clear"/>
              <w:jc w:val="center"/>
              <w:rPr>
                <w:rFonts w:ascii="宋体" w:hAnsi="宋体" w:cs="宋体"/>
                <w:color w:val="000000" w:themeColor="text1"/>
                <w:sz w:val="22"/>
                <w:highlight w:val="none"/>
                <w14:textFill>
                  <w14:solidFill>
                    <w14:schemeClr w14:val="tx1"/>
                  </w14:solidFill>
                </w14:textFill>
              </w:rPr>
            </w:pPr>
          </w:p>
        </w:tc>
        <w:tc>
          <w:tcPr>
            <w:tcW w:w="1845"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0364009F">
            <w:pPr>
              <w:shd w:val="clear"/>
              <w:jc w:val="center"/>
              <w:rPr>
                <w:rFonts w:ascii="宋体" w:hAnsi="宋体" w:cs="宋体"/>
                <w:color w:val="000000" w:themeColor="text1"/>
                <w:sz w:val="22"/>
                <w:highlight w:val="none"/>
                <w14:textFill>
                  <w14:solidFill>
                    <w14:schemeClr w14:val="tx1"/>
                  </w14:solidFill>
                </w14:textFill>
              </w:rPr>
            </w:pPr>
          </w:p>
        </w:tc>
        <w:tc>
          <w:tcPr>
            <w:tcW w:w="2658"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2D2CB860">
            <w:pPr>
              <w:shd w:val="clear"/>
              <w:jc w:val="center"/>
              <w:rPr>
                <w:rFonts w:ascii="宋体" w:hAnsi="宋体" w:cs="宋体"/>
                <w:color w:val="000000" w:themeColor="text1"/>
                <w:sz w:val="22"/>
                <w:highlight w:val="none"/>
                <w14:textFill>
                  <w14:solidFill>
                    <w14:schemeClr w14:val="tx1"/>
                  </w14:solidFill>
                </w14:textFill>
              </w:rPr>
            </w:pPr>
          </w:p>
        </w:tc>
        <w:tc>
          <w:tcPr>
            <w:tcW w:w="2828"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2973A306">
            <w:pPr>
              <w:shd w:val="clear"/>
              <w:jc w:val="center"/>
              <w:rPr>
                <w:rFonts w:ascii="宋体" w:hAnsi="宋体" w:cs="宋体"/>
                <w:color w:val="000000" w:themeColor="text1"/>
                <w:sz w:val="22"/>
                <w:highlight w:val="none"/>
                <w14:textFill>
                  <w14:solidFill>
                    <w14:schemeClr w14:val="tx1"/>
                  </w14:solidFill>
                </w14:textFill>
              </w:rPr>
            </w:pPr>
          </w:p>
        </w:tc>
        <w:tc>
          <w:tcPr>
            <w:tcW w:w="1354" w:type="dxa"/>
            <w:tcBorders>
              <w:top w:val="single" w:color="000000" w:sz="4" w:space="0"/>
              <w:left w:val="single" w:color="000000" w:sz="4" w:space="0"/>
              <w:bottom w:val="single" w:color="000000" w:sz="4" w:space="0"/>
              <w:right w:val="single" w:color="000000" w:sz="4" w:space="0"/>
            </w:tcBorders>
            <w:shd w:val="clear" w:color="000000" w:fill="FFFFFF"/>
            <w:tcMar>
              <w:left w:w="0" w:type="dxa"/>
              <w:right w:w="0" w:type="dxa"/>
            </w:tcMar>
            <w:vAlign w:val="center"/>
          </w:tcPr>
          <w:p w14:paraId="673DBB14">
            <w:pPr>
              <w:shd w:val="clear"/>
              <w:jc w:val="center"/>
              <w:rPr>
                <w:rFonts w:ascii="宋体" w:hAnsi="宋体" w:cs="宋体"/>
                <w:color w:val="000000" w:themeColor="text1"/>
                <w:sz w:val="22"/>
                <w:highlight w:val="none"/>
                <w14:textFill>
                  <w14:solidFill>
                    <w14:schemeClr w14:val="tx1"/>
                  </w14:solidFill>
                </w14:textFill>
              </w:rPr>
            </w:pPr>
          </w:p>
        </w:tc>
      </w:tr>
    </w:tbl>
    <w:p w14:paraId="149061EB">
      <w:pPr>
        <w:shd w:val="clear"/>
        <w:spacing w:line="360" w:lineRule="auto"/>
        <w:jc w:val="left"/>
        <w:rPr>
          <w:rFonts w:ascii="宋体" w:hAnsi="宋体" w:cs="宋体"/>
          <w:color w:val="000000" w:themeColor="text1"/>
          <w:highlight w:val="none"/>
          <w14:textFill>
            <w14:solidFill>
              <w14:schemeClr w14:val="tx1"/>
            </w14:solidFill>
          </w14:textFill>
        </w:rPr>
      </w:pPr>
    </w:p>
    <w:p w14:paraId="43E7BDD6">
      <w:pPr>
        <w:shd w:val="clear"/>
        <w:spacing w:line="360" w:lineRule="auto"/>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供应商名称：（盖章）</w:t>
      </w:r>
    </w:p>
    <w:p w14:paraId="0BB377D4">
      <w:pPr>
        <w:shd w:val="clear"/>
        <w:spacing w:line="360" w:lineRule="auto"/>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说明：1、如果行数不够，请自行增加。</w:t>
      </w:r>
    </w:p>
    <w:p w14:paraId="14931788">
      <w:pPr>
        <w:shd w:val="clear"/>
        <w:spacing w:line="360" w:lineRule="auto"/>
        <w:ind w:firstLine="630" w:firstLineChars="300"/>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供应商应对磋商文件商务要求逐条填写偏离情况(正偏离、负偏离或无偏离)，并说明偏离的具体内容及做出必要说明。未在上表中说明的视为无偏离，如在响应文件其他内容中已有文字说明或相关证明材料的与偏离表不一致的以偏离表为准。如有偏离供应商需如实填写偏离表，请勿虚假响应，供应商应对故意隐瞒偏离的行为承担责任。</w:t>
      </w:r>
    </w:p>
    <w:p w14:paraId="74A0F483">
      <w:pPr>
        <w:shd w:val="clear"/>
        <w:jc w:val="left"/>
        <w:rPr>
          <w:rFonts w:ascii="宋体" w:hAnsi="宋体" w:cs="宋体"/>
          <w:color w:val="000000" w:themeColor="text1"/>
          <w:highlight w:val="none"/>
          <w14:textFill>
            <w14:solidFill>
              <w14:schemeClr w14:val="tx1"/>
            </w14:solidFill>
          </w14:textFill>
        </w:rPr>
      </w:pPr>
    </w:p>
    <w:p w14:paraId="35417A7B">
      <w:pPr>
        <w:shd w:val="clear"/>
        <w:jc w:val="left"/>
        <w:rPr>
          <w:rFonts w:ascii="宋体" w:hAnsi="宋体" w:cs="宋体"/>
          <w:color w:val="000000" w:themeColor="text1"/>
          <w:highlight w:val="none"/>
          <w14:textFill>
            <w14:solidFill>
              <w14:schemeClr w14:val="tx1"/>
            </w14:solidFill>
          </w14:textFill>
        </w:rPr>
      </w:pPr>
    </w:p>
    <w:p w14:paraId="5CA2318A">
      <w:pPr>
        <w:shd w:val="clear"/>
        <w:jc w:val="left"/>
        <w:rPr>
          <w:rFonts w:ascii="宋体" w:hAnsi="宋体" w:cs="宋体"/>
          <w:color w:val="000000" w:themeColor="text1"/>
          <w:highlight w:val="none"/>
          <w14:textFill>
            <w14:solidFill>
              <w14:schemeClr w14:val="tx1"/>
            </w14:solidFill>
          </w14:textFill>
        </w:rPr>
      </w:pPr>
    </w:p>
    <w:p w14:paraId="0BA68948">
      <w:pPr>
        <w:shd w:val="clear"/>
        <w:jc w:val="left"/>
        <w:rPr>
          <w:rFonts w:ascii="宋体" w:hAnsi="宋体" w:cs="宋体"/>
          <w:color w:val="000000" w:themeColor="text1"/>
          <w:highlight w:val="none"/>
          <w14:textFill>
            <w14:solidFill>
              <w14:schemeClr w14:val="tx1"/>
            </w14:solidFill>
          </w14:textFill>
        </w:rPr>
      </w:pPr>
    </w:p>
    <w:p w14:paraId="4C37783F">
      <w:pPr>
        <w:shd w:val="clear"/>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八、项目实施或集成方案</w:t>
      </w:r>
    </w:p>
    <w:p w14:paraId="5DE37BDC">
      <w:pPr>
        <w:shd w:val="clear"/>
        <w:rPr>
          <w:rFonts w:ascii="宋体" w:hAnsi="宋体" w:cs="宋体"/>
          <w:b/>
          <w:color w:val="000000" w:themeColor="text1"/>
          <w:highlight w:val="none"/>
          <w14:textFill>
            <w14:solidFill>
              <w14:schemeClr w14:val="tx1"/>
            </w14:solidFill>
          </w14:textFill>
        </w:rPr>
      </w:pPr>
    </w:p>
    <w:p w14:paraId="5D89A291">
      <w:pPr>
        <w:shd w:val="clear"/>
        <w:jc w:val="center"/>
        <w:rPr>
          <w:rFonts w:ascii="宋体" w:hAnsi="宋体" w:cs="宋体"/>
          <w:color w:val="000000" w:themeColor="text1"/>
          <w:sz w:val="36"/>
          <w:highlight w:val="none"/>
          <w14:textFill>
            <w14:solidFill>
              <w14:schemeClr w14:val="tx1"/>
            </w14:solidFill>
          </w14:textFill>
        </w:rPr>
      </w:pPr>
      <w:r>
        <w:rPr>
          <w:rFonts w:hint="eastAsia" w:ascii="宋体" w:hAnsi="宋体" w:cs="宋体"/>
          <w:color w:val="000000" w:themeColor="text1"/>
          <w:sz w:val="36"/>
          <w:highlight w:val="none"/>
          <w14:textFill>
            <w14:solidFill>
              <w14:schemeClr w14:val="tx1"/>
            </w14:solidFill>
          </w14:textFill>
        </w:rPr>
        <w:t>项目实施或集成方案（若有）</w:t>
      </w:r>
    </w:p>
    <w:p w14:paraId="0F7F1EBA">
      <w:pPr>
        <w:shd w:val="clear"/>
        <w:rPr>
          <w:rFonts w:ascii="宋体" w:hAnsi="宋体" w:cs="宋体"/>
          <w:color w:val="000000" w:themeColor="text1"/>
          <w:sz w:val="36"/>
          <w:highlight w:val="none"/>
          <w14:textFill>
            <w14:solidFill>
              <w14:schemeClr w14:val="tx1"/>
            </w14:solidFill>
          </w14:textFill>
        </w:rPr>
      </w:pPr>
    </w:p>
    <w:p w14:paraId="29EC2340">
      <w:pPr>
        <w:shd w:val="clear"/>
        <w:rPr>
          <w:rFonts w:ascii="宋体" w:hAnsi="宋体" w:cs="宋体"/>
          <w:color w:val="000000" w:themeColor="text1"/>
          <w:sz w:val="36"/>
          <w:highlight w:val="none"/>
          <w14:textFill>
            <w14:solidFill>
              <w14:schemeClr w14:val="tx1"/>
            </w14:solidFill>
          </w14:textFill>
        </w:rPr>
      </w:pPr>
    </w:p>
    <w:p w14:paraId="0121CBFF">
      <w:pPr>
        <w:shd w:val="clear"/>
        <w:rPr>
          <w:rFonts w:ascii="宋体" w:hAnsi="宋体" w:cs="宋体"/>
          <w:color w:val="000000" w:themeColor="text1"/>
          <w:sz w:val="28"/>
          <w:highlight w:val="none"/>
          <w14:textFill>
            <w14:solidFill>
              <w14:schemeClr w14:val="tx1"/>
            </w14:solidFill>
          </w14:textFill>
        </w:rPr>
      </w:pPr>
    </w:p>
    <w:p w14:paraId="029CC2F6">
      <w:pPr>
        <w:widowControl/>
        <w:shd w:val="clear"/>
        <w:jc w:val="left"/>
        <w:rPr>
          <w:rFonts w:ascii="宋体" w:hAnsi="宋体" w:cs="宋体"/>
          <w:b/>
          <w:color w:val="000000" w:themeColor="text1"/>
          <w:highlight w:val="none"/>
          <w14:textFill>
            <w14:solidFill>
              <w14:schemeClr w14:val="tx1"/>
            </w14:solidFill>
          </w14:textFill>
        </w:rPr>
      </w:pPr>
    </w:p>
    <w:p w14:paraId="638A16E7">
      <w:pPr>
        <w:widowControl/>
        <w:shd w:val="clear"/>
        <w:jc w:val="left"/>
        <w:rPr>
          <w:rFonts w:ascii="宋体" w:hAnsi="宋体" w:cs="宋体"/>
          <w:b/>
          <w:color w:val="000000" w:themeColor="text1"/>
          <w:highlight w:val="none"/>
          <w14:textFill>
            <w14:solidFill>
              <w14:schemeClr w14:val="tx1"/>
            </w14:solidFill>
          </w14:textFill>
        </w:rPr>
      </w:pPr>
    </w:p>
    <w:p w14:paraId="604BF9D5">
      <w:pPr>
        <w:widowControl/>
        <w:shd w:val="clear"/>
        <w:jc w:val="left"/>
        <w:rPr>
          <w:rFonts w:ascii="宋体" w:hAnsi="宋体" w:cs="宋体"/>
          <w:b/>
          <w:color w:val="000000" w:themeColor="text1"/>
          <w:highlight w:val="none"/>
          <w14:textFill>
            <w14:solidFill>
              <w14:schemeClr w14:val="tx1"/>
            </w14:solidFill>
          </w14:textFill>
        </w:rPr>
      </w:pPr>
    </w:p>
    <w:p w14:paraId="2BF7E2DA">
      <w:pPr>
        <w:widowControl/>
        <w:shd w:val="clear"/>
        <w:jc w:val="left"/>
        <w:rPr>
          <w:rFonts w:ascii="宋体" w:hAnsi="宋体" w:cs="宋体"/>
          <w:b/>
          <w:color w:val="000000" w:themeColor="text1"/>
          <w:highlight w:val="none"/>
          <w14:textFill>
            <w14:solidFill>
              <w14:schemeClr w14:val="tx1"/>
            </w14:solidFill>
          </w14:textFill>
        </w:rPr>
      </w:pPr>
    </w:p>
    <w:p w14:paraId="2F6FBD0B">
      <w:pPr>
        <w:widowControl/>
        <w:shd w:val="clear"/>
        <w:jc w:val="left"/>
        <w:rPr>
          <w:rFonts w:ascii="宋体" w:hAnsi="宋体" w:cs="宋体"/>
          <w:b/>
          <w:color w:val="000000" w:themeColor="text1"/>
          <w:highlight w:val="none"/>
          <w14:textFill>
            <w14:solidFill>
              <w14:schemeClr w14:val="tx1"/>
            </w14:solidFill>
          </w14:textFill>
        </w:rPr>
      </w:pPr>
    </w:p>
    <w:p w14:paraId="38D8AE82">
      <w:pPr>
        <w:widowControl/>
        <w:shd w:val="clear"/>
        <w:jc w:val="left"/>
        <w:rPr>
          <w:rFonts w:ascii="宋体" w:hAnsi="宋体" w:cs="宋体"/>
          <w:b/>
          <w:color w:val="000000" w:themeColor="text1"/>
          <w:highlight w:val="none"/>
          <w14:textFill>
            <w14:solidFill>
              <w14:schemeClr w14:val="tx1"/>
            </w14:solidFill>
          </w14:textFill>
        </w:rPr>
      </w:pPr>
    </w:p>
    <w:p w14:paraId="73D1320C">
      <w:pPr>
        <w:widowControl/>
        <w:shd w:val="clear"/>
        <w:jc w:val="left"/>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九、服务与承诺</w:t>
      </w:r>
    </w:p>
    <w:p w14:paraId="6C914EE5">
      <w:pPr>
        <w:shd w:val="clear"/>
        <w:rPr>
          <w:rFonts w:ascii="宋体" w:hAnsi="宋体" w:cs="宋体"/>
          <w:b/>
          <w:color w:val="000000" w:themeColor="text1"/>
          <w:highlight w:val="none"/>
          <w14:textFill>
            <w14:solidFill>
              <w14:schemeClr w14:val="tx1"/>
            </w14:solidFill>
          </w14:textFill>
        </w:rPr>
      </w:pPr>
    </w:p>
    <w:p w14:paraId="464FA8F4">
      <w:pPr>
        <w:shd w:val="clear"/>
        <w:jc w:val="center"/>
        <w:rPr>
          <w:rFonts w:ascii="宋体" w:hAnsi="宋体" w:cs="宋体"/>
          <w:color w:val="000000" w:themeColor="text1"/>
          <w:sz w:val="36"/>
          <w:highlight w:val="none"/>
          <w14:textFill>
            <w14:solidFill>
              <w14:schemeClr w14:val="tx1"/>
            </w14:solidFill>
          </w14:textFill>
        </w:rPr>
      </w:pPr>
      <w:r>
        <w:rPr>
          <w:rFonts w:hint="eastAsia" w:ascii="宋体" w:hAnsi="宋体" w:cs="宋体"/>
          <w:color w:val="000000" w:themeColor="text1"/>
          <w:sz w:val="36"/>
          <w:highlight w:val="none"/>
          <w14:textFill>
            <w14:solidFill>
              <w14:schemeClr w14:val="tx1"/>
            </w14:solidFill>
          </w14:textFill>
        </w:rPr>
        <w:t>服务与承诺</w:t>
      </w:r>
    </w:p>
    <w:p w14:paraId="0FDAC59D">
      <w:pPr>
        <w:shd w:val="clear"/>
        <w:rPr>
          <w:rFonts w:ascii="宋体" w:hAnsi="宋体" w:cs="宋体"/>
          <w:color w:val="000000" w:themeColor="text1"/>
          <w:sz w:val="36"/>
          <w:highlight w:val="none"/>
          <w14:textFill>
            <w14:solidFill>
              <w14:schemeClr w14:val="tx1"/>
            </w14:solidFill>
          </w14:textFill>
        </w:rPr>
      </w:pPr>
    </w:p>
    <w:p w14:paraId="0B2988A8">
      <w:pPr>
        <w:shd w:val="clear"/>
        <w:rPr>
          <w:rFonts w:ascii="宋体" w:hAnsi="宋体" w:cs="宋体"/>
          <w:color w:val="000000" w:themeColor="text1"/>
          <w:sz w:val="36"/>
          <w:highlight w:val="none"/>
          <w14:textFill>
            <w14:solidFill>
              <w14:schemeClr w14:val="tx1"/>
            </w14:solidFill>
          </w14:textFill>
        </w:rPr>
      </w:pPr>
    </w:p>
    <w:p w14:paraId="14585FBE">
      <w:pPr>
        <w:shd w:val="clear"/>
        <w:rPr>
          <w:rFonts w:ascii="宋体" w:hAnsi="宋体" w:cs="宋体"/>
          <w:color w:val="000000" w:themeColor="text1"/>
          <w:sz w:val="36"/>
          <w:highlight w:val="none"/>
          <w14:textFill>
            <w14:solidFill>
              <w14:schemeClr w14:val="tx1"/>
            </w14:solidFill>
          </w14:textFill>
        </w:rPr>
      </w:pPr>
    </w:p>
    <w:p w14:paraId="6FC1CC97">
      <w:pPr>
        <w:widowControl/>
        <w:shd w:val="clear"/>
        <w:jc w:val="left"/>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十、投标需要的其他证明文件及材料</w:t>
      </w:r>
    </w:p>
    <w:p w14:paraId="6F7FEBF2">
      <w:pPr>
        <w:shd w:val="clear"/>
        <w:rPr>
          <w:rFonts w:ascii="宋体" w:hAnsi="宋体" w:cs="宋体"/>
          <w:b/>
          <w:color w:val="000000" w:themeColor="text1"/>
          <w:highlight w:val="none"/>
          <w14:textFill>
            <w14:solidFill>
              <w14:schemeClr w14:val="tx1"/>
            </w14:solidFill>
          </w14:textFill>
        </w:rPr>
      </w:pPr>
    </w:p>
    <w:p w14:paraId="6B8DD9D9">
      <w:pPr>
        <w:shd w:val="clear"/>
        <w:rPr>
          <w:rFonts w:ascii="宋体" w:hAnsi="宋体" w:cs="宋体"/>
          <w:b/>
          <w:color w:val="000000" w:themeColor="text1"/>
          <w:highlight w:val="none"/>
          <w14:textFill>
            <w14:solidFill>
              <w14:schemeClr w14:val="tx1"/>
            </w14:solidFill>
          </w14:textFill>
        </w:rPr>
      </w:pPr>
    </w:p>
    <w:p w14:paraId="3BF3E42A">
      <w:pPr>
        <w:shd w:val="clea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36"/>
          <w:highlight w:val="none"/>
          <w14:textFill>
            <w14:solidFill>
              <w14:schemeClr w14:val="tx1"/>
            </w14:solidFill>
          </w14:textFill>
        </w:rPr>
        <w:t>投标需要的其他证明文件及材料（若有）</w:t>
      </w:r>
    </w:p>
    <w:p w14:paraId="15184981">
      <w:pPr>
        <w:shd w:val="clear"/>
        <w:rPr>
          <w:rFonts w:ascii="宋体" w:hAnsi="宋体" w:cs="宋体"/>
          <w:b/>
          <w:color w:val="000000" w:themeColor="text1"/>
          <w:highlight w:val="none"/>
          <w14:textFill>
            <w14:solidFill>
              <w14:schemeClr w14:val="tx1"/>
            </w14:solidFill>
          </w14:textFill>
        </w:rPr>
      </w:pPr>
    </w:p>
    <w:p w14:paraId="72E2678E">
      <w:pPr>
        <w:shd w:val="clear"/>
        <w:spacing w:before="50" w:after="50" w:line="360" w:lineRule="auto"/>
        <w:jc w:val="left"/>
        <w:rPr>
          <w:rFonts w:ascii="宋体" w:hAnsi="宋体" w:cs="宋体"/>
          <w:b/>
          <w:color w:val="000000" w:themeColor="text1"/>
          <w:highlight w:val="none"/>
          <w14:textFill>
            <w14:solidFill>
              <w14:schemeClr w14:val="tx1"/>
            </w14:solidFill>
          </w14:textFill>
        </w:rPr>
        <w:sectPr>
          <w:pgSz w:w="11906" w:h="16838"/>
          <w:pgMar w:top="850" w:right="850" w:bottom="850" w:left="1417" w:header="850" w:footer="992" w:gutter="0"/>
          <w:paperSrc/>
          <w:cols w:space="0" w:num="1"/>
          <w:rtlGutter w:val="0"/>
          <w:docGrid w:type="lines" w:linePitch="315" w:charSpace="0"/>
        </w:sectPr>
      </w:pPr>
    </w:p>
    <w:p w14:paraId="66F57E29">
      <w:pPr>
        <w:shd w:val="clear"/>
        <w:spacing w:before="50" w:after="50" w:line="360" w:lineRule="auto"/>
        <w:jc w:val="left"/>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十一、资格性审查响应对照表</w:t>
      </w:r>
    </w:p>
    <w:p w14:paraId="57E5AF3E">
      <w:pPr>
        <w:shd w:val="clear"/>
        <w:spacing w:before="50" w:after="50" w:line="360" w:lineRule="auto"/>
        <w:jc w:val="center"/>
        <w:rPr>
          <w:rFonts w:ascii="宋体" w:hAnsi="宋体" w:cs="宋体"/>
          <w:color w:val="000000" w:themeColor="text1"/>
          <w:sz w:val="36"/>
          <w:highlight w:val="none"/>
          <w14:textFill>
            <w14:solidFill>
              <w14:schemeClr w14:val="tx1"/>
            </w14:solidFill>
          </w14:textFill>
        </w:rPr>
      </w:pPr>
      <w:r>
        <w:rPr>
          <w:rFonts w:hint="eastAsia" w:ascii="宋体" w:hAnsi="宋体" w:cs="宋体"/>
          <w:color w:val="000000" w:themeColor="text1"/>
          <w:sz w:val="36"/>
          <w:highlight w:val="none"/>
          <w14:textFill>
            <w14:solidFill>
              <w14:schemeClr w14:val="tx1"/>
            </w14:solidFill>
          </w14:textFill>
        </w:rPr>
        <w:t>资格性审查响应对照表</w:t>
      </w:r>
    </w:p>
    <w:p w14:paraId="280F39F8">
      <w:pPr>
        <w:shd w:val="clear"/>
        <w:spacing w:before="50" w:after="50"/>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项目名称：</w:t>
      </w:r>
    </w:p>
    <w:p w14:paraId="37E27387">
      <w:pPr>
        <w:shd w:val="clear"/>
        <w:spacing w:before="50" w:after="50"/>
        <w:jc w:val="left"/>
        <w:rPr>
          <w:rFonts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项目编号：</w:t>
      </w:r>
    </w:p>
    <w:tbl>
      <w:tblPr>
        <w:tblStyle w:val="25"/>
        <w:tblW w:w="9699" w:type="dxa"/>
        <w:jc w:val="center"/>
        <w:tblLayout w:type="fixed"/>
        <w:tblCellMar>
          <w:top w:w="0" w:type="dxa"/>
          <w:left w:w="10" w:type="dxa"/>
          <w:bottom w:w="0" w:type="dxa"/>
          <w:right w:w="10" w:type="dxa"/>
        </w:tblCellMar>
      </w:tblPr>
      <w:tblGrid>
        <w:gridCol w:w="1023"/>
        <w:gridCol w:w="5327"/>
        <w:gridCol w:w="1629"/>
        <w:gridCol w:w="1720"/>
      </w:tblGrid>
      <w:tr w14:paraId="54127941">
        <w:tblPrEx>
          <w:tblCellMar>
            <w:top w:w="0" w:type="dxa"/>
            <w:left w:w="10" w:type="dxa"/>
            <w:bottom w:w="0" w:type="dxa"/>
            <w:right w:w="10" w:type="dxa"/>
          </w:tblCellMar>
        </w:tblPrEx>
        <w:trPr>
          <w:trHeight w:val="737" w:hRule="atLeast"/>
          <w:jc w:val="center"/>
        </w:trPr>
        <w:tc>
          <w:tcPr>
            <w:tcW w:w="1023"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A195C0E">
            <w:pPr>
              <w:shd w:val="clea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序号</w:t>
            </w:r>
          </w:p>
        </w:tc>
        <w:tc>
          <w:tcPr>
            <w:tcW w:w="5327"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2D3A4F35">
            <w:pPr>
              <w:shd w:val="clear"/>
              <w:jc w:val="center"/>
              <w:rPr>
                <w:rFonts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资格性审查响应内容</w:t>
            </w:r>
          </w:p>
        </w:tc>
        <w:tc>
          <w:tcPr>
            <w:tcW w:w="162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CF712AF">
            <w:pPr>
              <w:shd w:val="clea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是否响应</w:t>
            </w:r>
          </w:p>
          <w:p w14:paraId="46469511">
            <w:pPr>
              <w:shd w:val="clea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（填是或者否）</w:t>
            </w:r>
          </w:p>
        </w:tc>
        <w:tc>
          <w:tcPr>
            <w:tcW w:w="17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87E23ED">
            <w:pPr>
              <w:shd w:val="clea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投标文件中的</w:t>
            </w:r>
          </w:p>
          <w:p w14:paraId="211B2110">
            <w:pPr>
              <w:shd w:val="clea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页码位置</w:t>
            </w:r>
          </w:p>
        </w:tc>
      </w:tr>
      <w:tr w14:paraId="55EB97E0">
        <w:tblPrEx>
          <w:tblCellMar>
            <w:top w:w="0" w:type="dxa"/>
            <w:left w:w="10" w:type="dxa"/>
            <w:bottom w:w="0" w:type="dxa"/>
            <w:right w:w="10" w:type="dxa"/>
          </w:tblCellMar>
        </w:tblPrEx>
        <w:trPr>
          <w:trHeight w:val="737" w:hRule="atLeast"/>
          <w:jc w:val="center"/>
        </w:trPr>
        <w:tc>
          <w:tcPr>
            <w:tcW w:w="1023"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826C35D">
            <w:pPr>
              <w:shd w:val="clea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1</w:t>
            </w:r>
          </w:p>
        </w:tc>
        <w:tc>
          <w:tcPr>
            <w:tcW w:w="5327"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35861F6F">
            <w:pPr>
              <w:shd w:val="clear"/>
              <w:rPr>
                <w:rFonts w:ascii="宋体" w:hAnsi="宋体" w:cs="宋体"/>
                <w:color w:val="000000" w:themeColor="text1"/>
                <w:sz w:val="22"/>
                <w:highlight w:val="none"/>
                <w14:textFill>
                  <w14:solidFill>
                    <w14:schemeClr w14:val="tx1"/>
                  </w14:solidFill>
                </w14:textFill>
              </w:rPr>
            </w:pPr>
          </w:p>
        </w:tc>
        <w:tc>
          <w:tcPr>
            <w:tcW w:w="162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3E58CE6">
            <w:pPr>
              <w:shd w:val="clear"/>
              <w:rPr>
                <w:rFonts w:ascii="宋体" w:hAnsi="宋体" w:cs="宋体"/>
                <w:color w:val="000000" w:themeColor="text1"/>
                <w:sz w:val="22"/>
                <w:highlight w:val="none"/>
                <w14:textFill>
                  <w14:solidFill>
                    <w14:schemeClr w14:val="tx1"/>
                  </w14:solidFill>
                </w14:textFill>
              </w:rPr>
            </w:pPr>
          </w:p>
        </w:tc>
        <w:tc>
          <w:tcPr>
            <w:tcW w:w="17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0539D98">
            <w:pPr>
              <w:shd w:val="clear"/>
              <w:rPr>
                <w:rFonts w:ascii="宋体" w:hAnsi="宋体" w:cs="宋体"/>
                <w:color w:val="000000" w:themeColor="text1"/>
                <w:sz w:val="22"/>
                <w:highlight w:val="none"/>
                <w14:textFill>
                  <w14:solidFill>
                    <w14:schemeClr w14:val="tx1"/>
                  </w14:solidFill>
                </w14:textFill>
              </w:rPr>
            </w:pPr>
          </w:p>
        </w:tc>
      </w:tr>
      <w:tr w14:paraId="03F7E7BE">
        <w:tblPrEx>
          <w:tblCellMar>
            <w:top w:w="0" w:type="dxa"/>
            <w:left w:w="10" w:type="dxa"/>
            <w:bottom w:w="0" w:type="dxa"/>
            <w:right w:w="10" w:type="dxa"/>
          </w:tblCellMar>
        </w:tblPrEx>
        <w:trPr>
          <w:trHeight w:val="737" w:hRule="atLeast"/>
          <w:jc w:val="center"/>
        </w:trPr>
        <w:tc>
          <w:tcPr>
            <w:tcW w:w="1023"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802E949">
            <w:pPr>
              <w:shd w:val="clea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2</w:t>
            </w:r>
          </w:p>
        </w:tc>
        <w:tc>
          <w:tcPr>
            <w:tcW w:w="5327"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710C842">
            <w:pPr>
              <w:shd w:val="clear"/>
              <w:rPr>
                <w:rFonts w:ascii="宋体" w:hAnsi="宋体" w:cs="宋体"/>
                <w:color w:val="000000" w:themeColor="text1"/>
                <w:sz w:val="22"/>
                <w:highlight w:val="none"/>
                <w14:textFill>
                  <w14:solidFill>
                    <w14:schemeClr w14:val="tx1"/>
                  </w14:solidFill>
                </w14:textFill>
              </w:rPr>
            </w:pPr>
          </w:p>
        </w:tc>
        <w:tc>
          <w:tcPr>
            <w:tcW w:w="162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DAE31D1">
            <w:pPr>
              <w:shd w:val="clear"/>
              <w:rPr>
                <w:rFonts w:ascii="宋体" w:hAnsi="宋体" w:cs="宋体"/>
                <w:color w:val="000000" w:themeColor="text1"/>
                <w:sz w:val="22"/>
                <w:highlight w:val="none"/>
                <w14:textFill>
                  <w14:solidFill>
                    <w14:schemeClr w14:val="tx1"/>
                  </w14:solidFill>
                </w14:textFill>
              </w:rPr>
            </w:pPr>
          </w:p>
        </w:tc>
        <w:tc>
          <w:tcPr>
            <w:tcW w:w="17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35DFD75F">
            <w:pPr>
              <w:shd w:val="clear"/>
              <w:rPr>
                <w:rFonts w:ascii="宋体" w:hAnsi="宋体" w:cs="宋体"/>
                <w:color w:val="000000" w:themeColor="text1"/>
                <w:sz w:val="22"/>
                <w:highlight w:val="none"/>
                <w14:textFill>
                  <w14:solidFill>
                    <w14:schemeClr w14:val="tx1"/>
                  </w14:solidFill>
                </w14:textFill>
              </w:rPr>
            </w:pPr>
          </w:p>
        </w:tc>
      </w:tr>
      <w:tr w14:paraId="1F85B933">
        <w:tblPrEx>
          <w:tblCellMar>
            <w:top w:w="0" w:type="dxa"/>
            <w:left w:w="10" w:type="dxa"/>
            <w:bottom w:w="0" w:type="dxa"/>
            <w:right w:w="10" w:type="dxa"/>
          </w:tblCellMar>
        </w:tblPrEx>
        <w:trPr>
          <w:trHeight w:val="737" w:hRule="atLeast"/>
          <w:jc w:val="center"/>
        </w:trPr>
        <w:tc>
          <w:tcPr>
            <w:tcW w:w="1023"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43C89AD9">
            <w:pPr>
              <w:shd w:val="clea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3</w:t>
            </w:r>
          </w:p>
        </w:tc>
        <w:tc>
          <w:tcPr>
            <w:tcW w:w="5327"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18477789">
            <w:pPr>
              <w:shd w:val="clear"/>
              <w:rPr>
                <w:rFonts w:ascii="宋体" w:hAnsi="宋体" w:cs="宋体"/>
                <w:color w:val="000000" w:themeColor="text1"/>
                <w:sz w:val="22"/>
                <w:highlight w:val="none"/>
                <w14:textFill>
                  <w14:solidFill>
                    <w14:schemeClr w14:val="tx1"/>
                  </w14:solidFill>
                </w14:textFill>
              </w:rPr>
            </w:pPr>
          </w:p>
        </w:tc>
        <w:tc>
          <w:tcPr>
            <w:tcW w:w="162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E35E249">
            <w:pPr>
              <w:shd w:val="clear"/>
              <w:rPr>
                <w:rFonts w:ascii="宋体" w:hAnsi="宋体" w:cs="宋体"/>
                <w:color w:val="000000" w:themeColor="text1"/>
                <w:sz w:val="22"/>
                <w:highlight w:val="none"/>
                <w14:textFill>
                  <w14:solidFill>
                    <w14:schemeClr w14:val="tx1"/>
                  </w14:solidFill>
                </w14:textFill>
              </w:rPr>
            </w:pPr>
          </w:p>
        </w:tc>
        <w:tc>
          <w:tcPr>
            <w:tcW w:w="17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E52252B">
            <w:pPr>
              <w:shd w:val="clear"/>
              <w:rPr>
                <w:rFonts w:ascii="宋体" w:hAnsi="宋体" w:cs="宋体"/>
                <w:color w:val="000000" w:themeColor="text1"/>
                <w:sz w:val="22"/>
                <w:highlight w:val="none"/>
                <w14:textFill>
                  <w14:solidFill>
                    <w14:schemeClr w14:val="tx1"/>
                  </w14:solidFill>
                </w14:textFill>
              </w:rPr>
            </w:pPr>
          </w:p>
        </w:tc>
      </w:tr>
      <w:tr w14:paraId="083CE234">
        <w:tblPrEx>
          <w:tblCellMar>
            <w:top w:w="0" w:type="dxa"/>
            <w:left w:w="10" w:type="dxa"/>
            <w:bottom w:w="0" w:type="dxa"/>
            <w:right w:w="10" w:type="dxa"/>
          </w:tblCellMar>
        </w:tblPrEx>
        <w:trPr>
          <w:trHeight w:val="737" w:hRule="atLeast"/>
          <w:jc w:val="center"/>
        </w:trPr>
        <w:tc>
          <w:tcPr>
            <w:tcW w:w="1023"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2BFC24D">
            <w:pPr>
              <w:shd w:val="clea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w:t>
            </w:r>
          </w:p>
        </w:tc>
        <w:tc>
          <w:tcPr>
            <w:tcW w:w="5327"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1014648E">
            <w:pPr>
              <w:shd w:val="clear"/>
              <w:rPr>
                <w:rFonts w:ascii="宋体" w:hAnsi="宋体" w:cs="宋体"/>
                <w:color w:val="000000" w:themeColor="text1"/>
                <w:sz w:val="22"/>
                <w:highlight w:val="none"/>
                <w14:textFill>
                  <w14:solidFill>
                    <w14:schemeClr w14:val="tx1"/>
                  </w14:solidFill>
                </w14:textFill>
              </w:rPr>
            </w:pPr>
          </w:p>
        </w:tc>
        <w:tc>
          <w:tcPr>
            <w:tcW w:w="162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0BFE2B4">
            <w:pPr>
              <w:shd w:val="clear"/>
              <w:rPr>
                <w:rFonts w:ascii="宋体" w:hAnsi="宋体" w:cs="宋体"/>
                <w:color w:val="000000" w:themeColor="text1"/>
                <w:sz w:val="22"/>
                <w:highlight w:val="none"/>
                <w14:textFill>
                  <w14:solidFill>
                    <w14:schemeClr w14:val="tx1"/>
                  </w14:solidFill>
                </w14:textFill>
              </w:rPr>
            </w:pPr>
          </w:p>
        </w:tc>
        <w:tc>
          <w:tcPr>
            <w:tcW w:w="17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E76C568">
            <w:pPr>
              <w:shd w:val="clear"/>
              <w:rPr>
                <w:rFonts w:ascii="宋体" w:hAnsi="宋体" w:cs="宋体"/>
                <w:color w:val="000000" w:themeColor="text1"/>
                <w:sz w:val="22"/>
                <w:highlight w:val="none"/>
                <w14:textFill>
                  <w14:solidFill>
                    <w14:schemeClr w14:val="tx1"/>
                  </w14:solidFill>
                </w14:textFill>
              </w:rPr>
            </w:pPr>
          </w:p>
        </w:tc>
      </w:tr>
      <w:tr w14:paraId="3CC1A9F8">
        <w:tblPrEx>
          <w:tblCellMar>
            <w:top w:w="0" w:type="dxa"/>
            <w:left w:w="10" w:type="dxa"/>
            <w:bottom w:w="0" w:type="dxa"/>
            <w:right w:w="10" w:type="dxa"/>
          </w:tblCellMar>
        </w:tblPrEx>
        <w:trPr>
          <w:trHeight w:val="737" w:hRule="atLeast"/>
          <w:jc w:val="center"/>
        </w:trPr>
        <w:tc>
          <w:tcPr>
            <w:tcW w:w="1023"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18F0A144">
            <w:pPr>
              <w:shd w:val="clear"/>
              <w:jc w:val="cente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w:t>
            </w:r>
          </w:p>
        </w:tc>
        <w:tc>
          <w:tcPr>
            <w:tcW w:w="5327"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CFB3B04">
            <w:pPr>
              <w:shd w:val="clear"/>
              <w:rPr>
                <w:rFonts w:ascii="宋体" w:hAnsi="宋体" w:cs="宋体"/>
                <w:color w:val="000000" w:themeColor="text1"/>
                <w:sz w:val="22"/>
                <w:highlight w:val="none"/>
                <w14:textFill>
                  <w14:solidFill>
                    <w14:schemeClr w14:val="tx1"/>
                  </w14:solidFill>
                </w14:textFill>
              </w:rPr>
            </w:pPr>
          </w:p>
        </w:tc>
        <w:tc>
          <w:tcPr>
            <w:tcW w:w="162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86B1C97">
            <w:pPr>
              <w:shd w:val="clear"/>
              <w:rPr>
                <w:rFonts w:ascii="宋体" w:hAnsi="宋体" w:cs="宋体"/>
                <w:color w:val="000000" w:themeColor="text1"/>
                <w:sz w:val="22"/>
                <w:highlight w:val="none"/>
                <w14:textFill>
                  <w14:solidFill>
                    <w14:schemeClr w14:val="tx1"/>
                  </w14:solidFill>
                </w14:textFill>
              </w:rPr>
            </w:pPr>
          </w:p>
        </w:tc>
        <w:tc>
          <w:tcPr>
            <w:tcW w:w="17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46DA49F">
            <w:pPr>
              <w:shd w:val="clear"/>
              <w:rPr>
                <w:rFonts w:ascii="宋体" w:hAnsi="宋体" w:cs="宋体"/>
                <w:color w:val="000000" w:themeColor="text1"/>
                <w:sz w:val="22"/>
                <w:highlight w:val="none"/>
                <w14:textFill>
                  <w14:solidFill>
                    <w14:schemeClr w14:val="tx1"/>
                  </w14:solidFill>
                </w14:textFill>
              </w:rPr>
            </w:pPr>
          </w:p>
        </w:tc>
      </w:tr>
    </w:tbl>
    <w:p w14:paraId="60D3FFF2">
      <w:pPr>
        <w:shd w:val="clear"/>
        <w:spacing w:line="360" w:lineRule="auto"/>
        <w:jc w:val="left"/>
        <w:rPr>
          <w:rFonts w:ascii="宋体" w:hAnsi="宋体" w:cs="宋体"/>
          <w:color w:val="000000" w:themeColor="text1"/>
          <w:highlight w:val="none"/>
          <w14:textFill>
            <w14:solidFill>
              <w14:schemeClr w14:val="tx1"/>
            </w14:solidFill>
          </w14:textFill>
        </w:rPr>
      </w:pPr>
    </w:p>
    <w:p w14:paraId="64E11CF3">
      <w:pPr>
        <w:shd w:val="clear"/>
        <w:spacing w:line="360" w:lineRule="auto"/>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供应商名称：（盖章）</w:t>
      </w:r>
    </w:p>
    <w:p w14:paraId="16093D0C">
      <w:pPr>
        <w:shd w:val="clear"/>
        <w:spacing w:line="360" w:lineRule="auto"/>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说明：如果行数不够，请自行增加。</w:t>
      </w:r>
    </w:p>
    <w:p w14:paraId="26E69058">
      <w:pPr>
        <w:shd w:val="clear"/>
        <w:spacing w:line="360" w:lineRule="auto"/>
        <w:jc w:val="left"/>
        <w:rPr>
          <w:rFonts w:ascii="宋体" w:hAnsi="宋体" w:cs="宋体"/>
          <w:b/>
          <w:color w:val="000000" w:themeColor="text1"/>
          <w:highlight w:val="none"/>
          <w14:textFill>
            <w14:solidFill>
              <w14:schemeClr w14:val="tx1"/>
            </w14:solidFill>
          </w14:textFill>
        </w:rPr>
        <w:sectPr>
          <w:pgSz w:w="11906" w:h="16838"/>
          <w:pgMar w:top="850" w:right="850" w:bottom="850" w:left="1417" w:header="850" w:footer="992" w:gutter="0"/>
          <w:paperSrc/>
          <w:cols w:space="0" w:num="1"/>
          <w:rtlGutter w:val="0"/>
          <w:docGrid w:type="lines" w:linePitch="315" w:charSpace="0"/>
        </w:sectPr>
      </w:pPr>
    </w:p>
    <w:p w14:paraId="474295B3">
      <w:pPr>
        <w:shd w:val="clear"/>
        <w:rPr>
          <w:rFonts w:ascii="宋体" w:hAnsi="宋体" w:cs="宋体"/>
          <w:b/>
          <w:color w:val="000000" w:themeColor="text1"/>
          <w:highlight w:val="none"/>
          <w14:textFill>
            <w14:solidFill>
              <w14:schemeClr w14:val="tx1"/>
            </w14:solidFill>
          </w14:textFill>
        </w:rPr>
      </w:pPr>
    </w:p>
    <w:p w14:paraId="3749BD19">
      <w:pPr>
        <w:widowControl/>
        <w:shd w:val="clear"/>
        <w:adjustRightInd w:val="0"/>
        <w:spacing w:line="240" w:lineRule="atLeast"/>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附件一、中小企业声明函格式</w:t>
      </w:r>
    </w:p>
    <w:p w14:paraId="63828BDC">
      <w:pPr>
        <w:widowControl/>
        <w:shd w:val="clear"/>
        <w:adjustRightInd w:val="0"/>
        <w:spacing w:line="240" w:lineRule="atLeast"/>
        <w:ind w:left="420"/>
        <w:jc w:val="center"/>
        <w:outlineLvl w:val="9"/>
        <w:rPr>
          <w:rFonts w:ascii="宋体" w:hAnsi="宋体" w:cs="宋体"/>
          <w:color w:val="000000" w:themeColor="text1"/>
          <w:kern w:val="0"/>
          <w:sz w:val="36"/>
          <w:szCs w:val="36"/>
          <w:highlight w:val="none"/>
          <w:lang w:val="zh-CN"/>
          <w14:textFill>
            <w14:solidFill>
              <w14:schemeClr w14:val="tx1"/>
            </w14:solidFill>
          </w14:textFill>
        </w:rPr>
      </w:pPr>
      <w:bookmarkStart w:id="646" w:name="_Toc24902"/>
      <w:bookmarkStart w:id="647" w:name="_Toc11611"/>
      <w:bookmarkStart w:id="648" w:name="_Toc32028"/>
      <w:r>
        <w:rPr>
          <w:rFonts w:hint="eastAsia" w:ascii="宋体" w:hAnsi="宋体" w:cs="宋体"/>
          <w:color w:val="000000" w:themeColor="text1"/>
          <w:kern w:val="0"/>
          <w:sz w:val="36"/>
          <w:szCs w:val="36"/>
          <w:highlight w:val="none"/>
          <w:lang w:val="zh-CN"/>
          <w14:textFill>
            <w14:solidFill>
              <w14:schemeClr w14:val="tx1"/>
            </w14:solidFill>
          </w14:textFill>
        </w:rPr>
        <w:t>中小企业声明函（工程、服务）</w:t>
      </w:r>
      <w:bookmarkEnd w:id="646"/>
      <w:bookmarkEnd w:id="647"/>
      <w:bookmarkEnd w:id="648"/>
    </w:p>
    <w:p w14:paraId="0D8054D9">
      <w:pPr>
        <w:shd w:val="clear"/>
        <w:spacing w:line="360" w:lineRule="auto"/>
        <w:rPr>
          <w:color w:val="000000" w:themeColor="text1"/>
          <w:highlight w:val="none"/>
          <w14:textFill>
            <w14:solidFill>
              <w14:schemeClr w14:val="tx1"/>
            </w14:solidFill>
          </w14:textFill>
        </w:rPr>
      </w:pPr>
    </w:p>
    <w:p w14:paraId="50110D41">
      <w:pPr>
        <w:shd w:val="clear"/>
        <w:autoSpaceDE w:val="0"/>
        <w:autoSpaceDN w:val="0"/>
        <w:spacing w:line="360" w:lineRule="auto"/>
        <w:ind w:firstLine="420" w:firstLineChars="2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本公司（联合体）郑重声明，根据《政府采购促进中小企业发展管理办法》（财库﹝2020﹞46 号）的规定，本公司（联合体）参加</w:t>
      </w:r>
      <w:r>
        <w:rPr>
          <w:color w:val="000000" w:themeColor="text1"/>
          <w:highlight w:val="none"/>
          <w:u w:val="single"/>
          <w14:textFill>
            <w14:solidFill>
              <w14:schemeClr w14:val="tx1"/>
            </w14:solidFill>
          </w14:textFill>
        </w:rPr>
        <w:t>（单位名称）</w:t>
      </w:r>
      <w:r>
        <w:rPr>
          <w:color w:val="000000" w:themeColor="text1"/>
          <w:highlight w:val="none"/>
          <w14:textFill>
            <w14:solidFill>
              <w14:schemeClr w14:val="tx1"/>
            </w14:solidFill>
          </w14:textFill>
        </w:rPr>
        <w:t>的</w:t>
      </w:r>
      <w:r>
        <w:rPr>
          <w:color w:val="000000" w:themeColor="text1"/>
          <w:highlight w:val="none"/>
          <w:u w:val="single"/>
          <w14:textFill>
            <w14:solidFill>
              <w14:schemeClr w14:val="tx1"/>
            </w14:solidFill>
          </w14:textFill>
        </w:rPr>
        <w:t>（项目名称）</w:t>
      </w:r>
      <w:r>
        <w:rPr>
          <w:color w:val="000000" w:themeColor="text1"/>
          <w:highlight w:val="none"/>
          <w14:textFill>
            <w14:solidFill>
              <w14:schemeClr w14:val="tx1"/>
            </w14:solidFill>
          </w14:textFill>
        </w:rPr>
        <w:t>采购活动，工程的施工单位全部为符合政策要求的中小企业（或者：服务全部由符合政策要求的中小企业承接）。相关企业（含联合体中的中小企业、签订分包意向协议的中小企业）的具体情况如下：</w:t>
      </w:r>
    </w:p>
    <w:p w14:paraId="0CB87080">
      <w:pPr>
        <w:shd w:val="clear"/>
        <w:autoSpaceDE w:val="0"/>
        <w:autoSpaceDN w:val="0"/>
        <w:spacing w:line="360" w:lineRule="auto"/>
        <w:ind w:firstLine="420" w:firstLineChars="20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w:t>
      </w:r>
      <w:r>
        <w:rPr>
          <w:color w:val="000000" w:themeColor="text1"/>
          <w:highlight w:val="none"/>
          <w:u w:val="single"/>
          <w14:textFill>
            <w14:solidFill>
              <w14:schemeClr w14:val="tx1"/>
            </w14:solidFill>
          </w14:textFill>
        </w:rPr>
        <w:t>（标的名称）</w:t>
      </w:r>
      <w:r>
        <w:rPr>
          <w:color w:val="000000" w:themeColor="text1"/>
          <w:highlight w:val="none"/>
          <w14:textFill>
            <w14:solidFill>
              <w14:schemeClr w14:val="tx1"/>
            </w14:solidFill>
          </w14:textFill>
        </w:rPr>
        <w:t>，属于</w:t>
      </w:r>
      <w:r>
        <w:rPr>
          <w:rFonts w:hint="eastAsia"/>
          <w:color w:val="000000" w:themeColor="text1"/>
          <w:highlight w:val="none"/>
          <w:u w:val="single"/>
          <w14:textFill>
            <w14:solidFill>
              <w14:schemeClr w14:val="tx1"/>
            </w14:solidFill>
          </w14:textFill>
        </w:rPr>
        <w:t>建筑业</w:t>
      </w:r>
      <w:r>
        <w:rPr>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采购文件中明确的所属行业</w:t>
      </w:r>
      <w:r>
        <w:rPr>
          <w:color w:val="000000" w:themeColor="text1"/>
          <w:highlight w:val="none"/>
          <w14:textFill>
            <w14:solidFill>
              <w14:schemeClr w14:val="tx1"/>
            </w14:solidFill>
          </w14:textFill>
        </w:rPr>
        <w:t>）；承建（承接）企业为</w:t>
      </w:r>
      <w:r>
        <w:rPr>
          <w:color w:val="000000" w:themeColor="text1"/>
          <w:highlight w:val="none"/>
          <w:u w:val="single"/>
          <w14:textFill>
            <w14:solidFill>
              <w14:schemeClr w14:val="tx1"/>
            </w14:solidFill>
          </w14:textFill>
        </w:rPr>
        <w:t>（企业名称）</w:t>
      </w:r>
      <w:r>
        <w:rPr>
          <w:color w:val="000000" w:themeColor="text1"/>
          <w:highlight w:val="none"/>
          <w14:textFill>
            <w14:solidFill>
              <w14:schemeClr w14:val="tx1"/>
            </w14:solidFill>
          </w14:textFill>
        </w:rPr>
        <w:t>，从业人员</w:t>
      </w:r>
      <w:r>
        <w:rPr>
          <w:color w:val="000000" w:themeColor="text1"/>
          <w:highlight w:val="none"/>
          <w:u w:val="single"/>
          <w14:textFill>
            <w14:solidFill>
              <w14:schemeClr w14:val="tx1"/>
            </w14:solidFill>
          </w14:textFill>
        </w:rPr>
        <w:tab/>
      </w:r>
      <w:r>
        <w:rPr>
          <w:color w:val="000000" w:themeColor="text1"/>
          <w:highlight w:val="none"/>
          <w14:textFill>
            <w14:solidFill>
              <w14:schemeClr w14:val="tx1"/>
            </w14:solidFill>
          </w14:textFill>
        </w:rPr>
        <w:t>人，营业收入为</w:t>
      </w:r>
      <w:r>
        <w:rPr>
          <w:color w:val="000000" w:themeColor="text1"/>
          <w:highlight w:val="none"/>
          <w:u w:val="single"/>
          <w14:textFill>
            <w14:solidFill>
              <w14:schemeClr w14:val="tx1"/>
            </w14:solidFill>
          </w14:textFill>
        </w:rPr>
        <w:tab/>
      </w:r>
      <w:r>
        <w:rPr>
          <w:color w:val="000000" w:themeColor="text1"/>
          <w:highlight w:val="none"/>
          <w14:textFill>
            <w14:solidFill>
              <w14:schemeClr w14:val="tx1"/>
            </w14:solidFill>
          </w14:textFill>
        </w:rPr>
        <w:t>万元，资产总额为</w:t>
      </w:r>
      <w:r>
        <w:rPr>
          <w:rFonts w:hint="eastAsia"/>
          <w:color w:val="000000" w:themeColor="text1"/>
          <w:highlight w:val="none"/>
          <w:u w:val="single"/>
          <w:lang w:val="en-US" w:eastAsia="zh-CN"/>
          <w14:textFill>
            <w14:solidFill>
              <w14:schemeClr w14:val="tx1"/>
            </w14:solidFill>
          </w14:textFill>
        </w:rPr>
        <w:t xml:space="preserve">    </w:t>
      </w:r>
      <w:r>
        <w:rPr>
          <w:color w:val="000000" w:themeColor="text1"/>
          <w:highlight w:val="none"/>
          <w14:textFill>
            <w14:solidFill>
              <w14:schemeClr w14:val="tx1"/>
            </w14:solidFill>
          </w14:textFill>
        </w:rPr>
        <w:t>万元，属于</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（中型企业、小型企业、微型企业）；</w:t>
      </w:r>
    </w:p>
    <w:p w14:paraId="21BADB01">
      <w:pPr>
        <w:shd w:val="clear"/>
        <w:autoSpaceDE w:val="0"/>
        <w:autoSpaceDN w:val="0"/>
        <w:spacing w:line="360" w:lineRule="auto"/>
        <w:ind w:firstLine="420" w:firstLineChars="20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w:t>
      </w:r>
      <w:r>
        <w:rPr>
          <w:color w:val="000000" w:themeColor="text1"/>
          <w:highlight w:val="none"/>
          <w:u w:val="single"/>
          <w14:textFill>
            <w14:solidFill>
              <w14:schemeClr w14:val="tx1"/>
            </w14:solidFill>
          </w14:textFill>
        </w:rPr>
        <w:t>（标的名称）</w:t>
      </w:r>
      <w:r>
        <w:rPr>
          <w:color w:val="000000" w:themeColor="text1"/>
          <w:highlight w:val="none"/>
          <w14:textFill>
            <w14:solidFill>
              <w14:schemeClr w14:val="tx1"/>
            </w14:solidFill>
          </w14:textFill>
        </w:rPr>
        <w:t>，属于</w:t>
      </w:r>
      <w:r>
        <w:rPr>
          <w:rFonts w:hint="eastAsia"/>
          <w:color w:val="000000" w:themeColor="text1"/>
          <w:highlight w:val="none"/>
          <w:u w:val="single"/>
          <w14:textFill>
            <w14:solidFill>
              <w14:schemeClr w14:val="tx1"/>
            </w14:solidFill>
          </w14:textFill>
        </w:rPr>
        <w:t>建筑业</w:t>
      </w:r>
      <w:r>
        <w:rPr>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采购文件中明确的所属行业</w:t>
      </w:r>
      <w:r>
        <w:rPr>
          <w:color w:val="000000" w:themeColor="text1"/>
          <w:highlight w:val="none"/>
          <w14:textFill>
            <w14:solidFill>
              <w14:schemeClr w14:val="tx1"/>
            </w14:solidFill>
          </w14:textFill>
        </w:rPr>
        <w:t>）；承建（承接）企业为</w:t>
      </w:r>
      <w:r>
        <w:rPr>
          <w:color w:val="000000" w:themeColor="text1"/>
          <w:highlight w:val="none"/>
          <w:u w:val="single"/>
          <w14:textFill>
            <w14:solidFill>
              <w14:schemeClr w14:val="tx1"/>
            </w14:solidFill>
          </w14:textFill>
        </w:rPr>
        <w:t>（企业名称）</w:t>
      </w:r>
      <w:r>
        <w:rPr>
          <w:color w:val="000000" w:themeColor="text1"/>
          <w:highlight w:val="none"/>
          <w14:textFill>
            <w14:solidFill>
              <w14:schemeClr w14:val="tx1"/>
            </w14:solidFill>
          </w14:textFill>
        </w:rPr>
        <w:t>，从业人员</w:t>
      </w:r>
      <w:r>
        <w:rPr>
          <w:color w:val="000000" w:themeColor="text1"/>
          <w:highlight w:val="none"/>
          <w:u w:val="single"/>
          <w14:textFill>
            <w14:solidFill>
              <w14:schemeClr w14:val="tx1"/>
            </w14:solidFill>
          </w14:textFill>
        </w:rPr>
        <w:tab/>
      </w:r>
      <w:r>
        <w:rPr>
          <w:color w:val="000000" w:themeColor="text1"/>
          <w:highlight w:val="none"/>
          <w14:textFill>
            <w14:solidFill>
              <w14:schemeClr w14:val="tx1"/>
            </w14:solidFill>
          </w14:textFill>
        </w:rPr>
        <w:t>人，营业收入为</w:t>
      </w:r>
      <w:r>
        <w:rPr>
          <w:color w:val="000000" w:themeColor="text1"/>
          <w:highlight w:val="none"/>
          <w:u w:val="single"/>
          <w14:textFill>
            <w14:solidFill>
              <w14:schemeClr w14:val="tx1"/>
            </w14:solidFill>
          </w14:textFill>
        </w:rPr>
        <w:tab/>
      </w:r>
      <w:r>
        <w:rPr>
          <w:color w:val="000000" w:themeColor="text1"/>
          <w:highlight w:val="none"/>
          <w14:textFill>
            <w14:solidFill>
              <w14:schemeClr w14:val="tx1"/>
            </w14:solidFill>
          </w14:textFill>
        </w:rPr>
        <w:t>万元，资产总额为</w:t>
      </w:r>
      <w:r>
        <w:rPr>
          <w:color w:val="000000" w:themeColor="text1"/>
          <w:highlight w:val="none"/>
          <w:u w:val="single"/>
          <w14:textFill>
            <w14:solidFill>
              <w14:schemeClr w14:val="tx1"/>
            </w14:solidFill>
          </w14:textFill>
        </w:rPr>
        <w:tab/>
      </w:r>
      <w:r>
        <w:rPr>
          <w:color w:val="000000" w:themeColor="text1"/>
          <w:highlight w:val="none"/>
          <w14:textFill>
            <w14:solidFill>
              <w14:schemeClr w14:val="tx1"/>
            </w14:solidFill>
          </w14:textFill>
        </w:rPr>
        <w:t>万元，属于</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（中型企业、小型企业、微型企业）；</w:t>
      </w:r>
    </w:p>
    <w:p w14:paraId="47BB2FBA">
      <w:pPr>
        <w:shd w:val="clear"/>
        <w:autoSpaceDE w:val="0"/>
        <w:autoSpaceDN w:val="0"/>
        <w:spacing w:line="360" w:lineRule="auto"/>
        <w:ind w:firstLine="420" w:firstLineChars="2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w:t>
      </w:r>
    </w:p>
    <w:p w14:paraId="2C748D76">
      <w:pPr>
        <w:shd w:val="clear"/>
        <w:autoSpaceDE w:val="0"/>
        <w:autoSpaceDN w:val="0"/>
        <w:spacing w:line="360" w:lineRule="auto"/>
        <w:ind w:firstLine="420" w:firstLineChars="2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以上企业，不属于大企业的分支机构，不存在控股股东为大企业的情形，也不存在与大企业的负责人为同一人的情形。</w:t>
      </w:r>
    </w:p>
    <w:p w14:paraId="5632D436">
      <w:pPr>
        <w:shd w:val="clear"/>
        <w:ind w:firstLine="420"/>
        <w:rPr>
          <w:rFonts w:ascii="宋体" w:hAnsi="宋体" w:cs="宋体"/>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本企业对上述声明内容的真实性负责。如有虚假，将依法承担相应责任。</w:t>
      </w:r>
    </w:p>
    <w:p w14:paraId="71D7F1BA">
      <w:pPr>
        <w:shd w:val="clear"/>
        <w:rPr>
          <w:rFonts w:ascii="宋体" w:hAnsi="宋体" w:cs="宋体"/>
          <w:color w:val="000000" w:themeColor="text1"/>
          <w:highlight w:val="none"/>
          <w14:textFill>
            <w14:solidFill>
              <w14:schemeClr w14:val="tx1"/>
            </w14:solidFill>
          </w14:textFill>
        </w:rPr>
      </w:pPr>
    </w:p>
    <w:p w14:paraId="4BB009EB">
      <w:pPr>
        <w:shd w:val="clear"/>
        <w:ind w:firstLine="4200" w:firstLineChars="20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企业名称（盖章）：</w:t>
      </w:r>
    </w:p>
    <w:p w14:paraId="59CFFAE8">
      <w:pPr>
        <w:shd w:val="clear"/>
        <w:ind w:firstLine="4200" w:firstLineChars="2000"/>
        <w:rPr>
          <w:rFonts w:ascii="宋体" w:hAnsi="宋体" w:cs="宋体"/>
          <w:color w:val="000000" w:themeColor="text1"/>
          <w:highlight w:val="none"/>
          <w14:textFill>
            <w14:solidFill>
              <w14:schemeClr w14:val="tx1"/>
            </w14:solidFill>
          </w14:textFill>
        </w:rPr>
      </w:pPr>
    </w:p>
    <w:p w14:paraId="6CF4AB2C">
      <w:pPr>
        <w:shd w:val="clea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日　　　　　　期：</w:t>
      </w:r>
    </w:p>
    <w:p w14:paraId="3C3AA6A8">
      <w:pPr>
        <w:shd w:val="clear"/>
        <w:spacing w:line="360" w:lineRule="auto"/>
        <w:jc w:val="left"/>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注1：为方便投标人识别企业规模类型，工业和信息化部组织开发了中小企业规模类型自测小程序，在国务院客户端和工业和信息化部网站上均有链接，投标人可填写企业所属的行业和指标数据自动生成企业规模类型测试结果。</w:t>
      </w:r>
    </w:p>
    <w:p w14:paraId="38C23108">
      <w:pPr>
        <w:shd w:val="clear"/>
        <w:spacing w:line="360" w:lineRule="auto"/>
        <w:jc w:val="lef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注2：从业人员、营业收入、资产总额填报上一年度数据，无上一年度数据的新成立企业可不填报。</w:t>
      </w:r>
    </w:p>
    <w:p w14:paraId="569AF465">
      <w:pPr>
        <w:shd w:val="clear"/>
        <w:spacing w:line="360" w:lineRule="auto"/>
        <w:jc w:val="lef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注3：投标人如不提供此声明函，价格将不做相应扣除。</w:t>
      </w:r>
    </w:p>
    <w:p w14:paraId="02F9B1BA">
      <w:pPr>
        <w:shd w:val="clear"/>
        <w:spacing w:line="360" w:lineRule="auto"/>
        <w:jc w:val="left"/>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注4：依据《</w:t>
      </w:r>
      <w:r>
        <w:rPr>
          <w:rFonts w:hint="eastAsia" w:ascii="宋体" w:hAnsi="宋体" w:eastAsia="宋体" w:cs="宋体"/>
          <w:color w:val="000000" w:themeColor="text1"/>
          <w:highlight w:val="none"/>
          <w14:textFill>
            <w14:solidFill>
              <w14:schemeClr w14:val="tx1"/>
            </w14:solidFill>
          </w14:textFill>
        </w:rPr>
        <w:t>关于印发中小企业划型标准规定的通知</w:t>
      </w:r>
      <w:r>
        <w:rPr>
          <w:rFonts w:hint="eastAsia" w:ascii="宋体" w:hAnsi="宋体" w:eastAsia="宋体" w:cs="宋体"/>
          <w:color w:val="000000" w:themeColor="text1"/>
          <w:highlight w:val="none"/>
          <w:lang w:val="en-US" w:eastAsia="zh-CN"/>
          <w14:textFill>
            <w14:solidFill>
              <w14:schemeClr w14:val="tx1"/>
            </w14:solidFill>
          </w14:textFill>
        </w:rPr>
        <w:t>》（</w:t>
      </w:r>
      <w:r>
        <w:rPr>
          <w:rFonts w:hint="eastAsia" w:ascii="宋体" w:hAnsi="宋体" w:eastAsia="宋体" w:cs="宋体"/>
          <w:color w:val="000000" w:themeColor="text1"/>
          <w:highlight w:val="none"/>
          <w14:textFill>
            <w14:solidFill>
              <w14:schemeClr w14:val="tx1"/>
            </w14:solidFill>
          </w14:textFill>
        </w:rPr>
        <w:t xml:space="preserve">工信部联企业〔2011〕300号 </w:t>
      </w:r>
      <w:r>
        <w:rPr>
          <w:rFonts w:hint="eastAsia" w:ascii="宋体" w:hAnsi="宋体" w:eastAsia="宋体" w:cs="宋体"/>
          <w:color w:val="000000" w:themeColor="text1"/>
          <w:highlight w:val="none"/>
          <w:lang w:val="en-US" w:eastAsia="zh-CN"/>
          <w14:textFill>
            <w14:solidFill>
              <w14:schemeClr w14:val="tx1"/>
            </w14:solidFill>
          </w14:textFill>
        </w:rPr>
        <w:t>）</w:t>
      </w:r>
    </w:p>
    <w:p w14:paraId="6649E100">
      <w:pPr>
        <w:shd w:val="clear"/>
        <w:spacing w:line="360" w:lineRule="auto"/>
        <w:jc w:val="left"/>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建筑业。营业收入80000万元以下或资产总额80000万元以下的为中小微型企业。其中，营业收入6000万元及以上，且资产总额5000万元及以上的为中型企 业；营业收入300万元及以上，且资产总额300万元及以上的为小型企业；营业收入 300万元以下或资产总额300万元以下的为微型企业。</w:t>
      </w:r>
    </w:p>
    <w:p w14:paraId="6DBC48B1">
      <w:pPr>
        <w:widowControl/>
        <w:shd w:val="clear"/>
        <w:jc w:val="left"/>
        <w:rPr>
          <w:rFonts w:ascii="宋体" w:hAnsi="宋体" w:cs="宋体"/>
          <w:b/>
          <w:color w:val="000000" w:themeColor="text1"/>
          <w:highlight w:val="none"/>
          <w14:textFill>
            <w14:solidFill>
              <w14:schemeClr w14:val="tx1"/>
            </w14:solidFill>
          </w14:textFill>
        </w:rPr>
      </w:pPr>
    </w:p>
    <w:p w14:paraId="6D3D9B10">
      <w:pPr>
        <w:widowControl/>
        <w:shd w:val="clear"/>
        <w:jc w:val="left"/>
        <w:rPr>
          <w:rFonts w:ascii="宋体" w:hAnsi="宋体" w:cs="宋体"/>
          <w:b/>
          <w:color w:val="000000" w:themeColor="text1"/>
          <w:highlight w:val="none"/>
          <w14:textFill>
            <w14:solidFill>
              <w14:schemeClr w14:val="tx1"/>
            </w14:solidFill>
          </w14:textFill>
        </w:rPr>
      </w:pPr>
      <w:r>
        <w:rPr>
          <w:rFonts w:ascii="宋体" w:hAnsi="宋体" w:cs="宋体"/>
          <w:b/>
          <w:color w:val="000000" w:themeColor="text1"/>
          <w:highlight w:val="none"/>
          <w14:textFill>
            <w14:solidFill>
              <w14:schemeClr w14:val="tx1"/>
            </w14:solidFill>
          </w14:textFill>
        </w:rPr>
        <w:br w:type="page"/>
      </w:r>
    </w:p>
    <w:p w14:paraId="6B582CB2">
      <w:pPr>
        <w:widowControl/>
        <w:shd w:val="clear"/>
        <w:adjustRightInd w:val="0"/>
        <w:spacing w:line="240" w:lineRule="atLeast"/>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附件二、无重大违法记录声明格式</w:t>
      </w:r>
    </w:p>
    <w:p w14:paraId="2460C8C0">
      <w:pPr>
        <w:widowControl/>
        <w:shd w:val="clear"/>
        <w:adjustRightInd w:val="0"/>
        <w:spacing w:line="240" w:lineRule="atLeast"/>
        <w:rPr>
          <w:rFonts w:ascii="宋体" w:hAnsi="宋体" w:cs="宋体"/>
          <w:b/>
          <w:color w:val="000000" w:themeColor="text1"/>
          <w:highlight w:val="none"/>
          <w14:textFill>
            <w14:solidFill>
              <w14:schemeClr w14:val="tx1"/>
            </w14:solidFill>
          </w14:textFill>
        </w:rPr>
      </w:pPr>
    </w:p>
    <w:p w14:paraId="4C72FB55">
      <w:pPr>
        <w:shd w:val="clear"/>
        <w:jc w:val="center"/>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无重大违法记录声明</w:t>
      </w:r>
    </w:p>
    <w:p w14:paraId="75790630">
      <w:pPr>
        <w:shd w:val="clear"/>
        <w:rPr>
          <w:rFonts w:ascii="宋体" w:hAnsi="宋体" w:cs="宋体"/>
          <w:color w:val="000000" w:themeColor="text1"/>
          <w:sz w:val="30"/>
          <w:szCs w:val="30"/>
          <w:highlight w:val="none"/>
          <w14:textFill>
            <w14:solidFill>
              <w14:schemeClr w14:val="tx1"/>
            </w14:solidFill>
          </w14:textFill>
        </w:rPr>
      </w:pPr>
    </w:p>
    <w:p w14:paraId="3CBA7F40">
      <w:pPr>
        <w:shd w:val="clear"/>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中国药科大学</w:t>
      </w:r>
      <w:r>
        <w:rPr>
          <w:rFonts w:hint="eastAsia" w:ascii="宋体" w:hAnsi="宋体" w:cs="宋体"/>
          <w:color w:val="000000" w:themeColor="text1"/>
          <w:highlight w:val="none"/>
          <w14:textFill>
            <w14:solidFill>
              <w14:schemeClr w14:val="tx1"/>
            </w14:solidFill>
          </w14:textFill>
        </w:rPr>
        <w:t>：</w:t>
      </w:r>
    </w:p>
    <w:p w14:paraId="249BEFC8">
      <w:pPr>
        <w:shd w:val="clear"/>
        <w:ind w:firstLine="420"/>
        <w:rPr>
          <w:rFonts w:ascii="宋体" w:hAnsi="宋体" w:cs="宋体"/>
          <w:color w:val="000000" w:themeColor="text1"/>
          <w:highlight w:val="none"/>
          <w14:textFill>
            <w14:solidFill>
              <w14:schemeClr w14:val="tx1"/>
            </w14:solidFill>
          </w14:textFill>
        </w:rPr>
      </w:pPr>
    </w:p>
    <w:p w14:paraId="6BE13AF2">
      <w:pPr>
        <w:shd w:val="clea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我单位 </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（供应商名称）郑重声明：</w:t>
      </w:r>
    </w:p>
    <w:p w14:paraId="2EF997CF">
      <w:pPr>
        <w:shd w:val="clea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参加政府采购活动前3年内在经营活动中</w:t>
      </w:r>
      <w:r>
        <w:rPr>
          <w:rFonts w:hint="eastAsia" w:ascii="宋体" w:hAnsi="宋体" w:cs="宋体"/>
          <w:color w:val="000000" w:themeColor="text1"/>
          <w:highlight w:val="none"/>
          <w:u w:val="single"/>
          <w14:textFill>
            <w14:solidFill>
              <w14:schemeClr w14:val="tx1"/>
            </w14:solidFill>
          </w14:textFill>
        </w:rPr>
        <w:t xml:space="preserve">        </w:t>
      </w:r>
      <w:r>
        <w:rPr>
          <w:rFonts w:hint="eastAsia" w:ascii="宋体" w:hAnsi="宋体" w:cs="宋体"/>
          <w:color w:val="000000" w:themeColor="text1"/>
          <w:highlight w:val="none"/>
          <w14:textFill>
            <w14:solidFill>
              <w14:schemeClr w14:val="tx1"/>
            </w14:solidFill>
          </w14:textFill>
        </w:rPr>
        <w:t>（在下划线上如实填写：有或没有）重大违法记录。</w:t>
      </w:r>
    </w:p>
    <w:p w14:paraId="039EEC2B">
      <w:pPr>
        <w:shd w:val="clea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（说明：政府采购法第二十二条第一款第五项所称重大违法记录，是指供应商因违法经营受到刑事处罚或者责令停产停业、吊销许可证或者执照、较大数额罚款等行政处罚。）</w:t>
      </w:r>
    </w:p>
    <w:p w14:paraId="65546E9A">
      <w:pPr>
        <w:shd w:val="clear"/>
        <w:ind w:firstLine="420"/>
        <w:rPr>
          <w:rFonts w:ascii="宋体" w:hAnsi="宋体" w:cs="宋体"/>
          <w:color w:val="000000" w:themeColor="text1"/>
          <w:highlight w:val="none"/>
          <w14:textFill>
            <w14:solidFill>
              <w14:schemeClr w14:val="tx1"/>
            </w14:solidFill>
          </w14:textFill>
        </w:rPr>
      </w:pPr>
    </w:p>
    <w:p w14:paraId="6C257D44">
      <w:pPr>
        <w:shd w:val="clear"/>
        <w:spacing w:line="360" w:lineRule="auto"/>
        <w:rPr>
          <w:rFonts w:ascii="宋体" w:hAnsi="宋体" w:cs="宋体"/>
          <w:color w:val="000000" w:themeColor="text1"/>
          <w:sz w:val="30"/>
          <w:szCs w:val="30"/>
          <w:highlight w:val="none"/>
          <w14:textFill>
            <w14:solidFill>
              <w14:schemeClr w14:val="tx1"/>
            </w14:solidFill>
          </w14:textFill>
        </w:rPr>
      </w:pPr>
    </w:p>
    <w:p w14:paraId="42205D3B">
      <w:pPr>
        <w:shd w:val="clear"/>
        <w:ind w:firstLine="42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声明人：          （公章）</w:t>
      </w:r>
    </w:p>
    <w:p w14:paraId="64FB019B">
      <w:pPr>
        <w:shd w:val="clear"/>
        <w:rPr>
          <w:rFonts w:ascii="宋体" w:hAnsi="宋体" w:cs="宋体"/>
          <w:color w:val="000000" w:themeColor="text1"/>
          <w:highlight w:val="none"/>
          <w14:textFill>
            <w14:solidFill>
              <w14:schemeClr w14:val="tx1"/>
            </w14:solidFill>
          </w14:textFill>
        </w:rPr>
      </w:pPr>
    </w:p>
    <w:p w14:paraId="33E1A040">
      <w:pPr>
        <w:shd w:val="clear"/>
        <w:spacing w:line="360" w:lineRule="auto"/>
        <w:ind w:firstLine="211" w:firstLineChars="100"/>
        <w:rPr>
          <w:rFonts w:ascii="宋体" w:hAnsi="宋体" w:cs="宋体"/>
          <w:b/>
          <w:color w:val="000000" w:themeColor="text1"/>
          <w:highlight w:val="none"/>
          <w14:textFill>
            <w14:solidFill>
              <w14:schemeClr w14:val="tx1"/>
            </w14:solidFill>
          </w14:textFill>
        </w:rPr>
      </w:pPr>
    </w:p>
    <w:p w14:paraId="2E09EB9F">
      <w:pPr>
        <w:shd w:val="clear"/>
        <w:spacing w:line="360" w:lineRule="auto"/>
        <w:ind w:firstLine="211" w:firstLineChars="100"/>
        <w:rPr>
          <w:rFonts w:ascii="宋体" w:hAnsi="宋体" w:cs="宋体"/>
          <w:b/>
          <w:color w:val="000000" w:themeColor="text1"/>
          <w:highlight w:val="none"/>
          <w14:textFill>
            <w14:solidFill>
              <w14:schemeClr w14:val="tx1"/>
            </w14:solidFill>
          </w14:textFill>
        </w:rPr>
      </w:pPr>
    </w:p>
    <w:p w14:paraId="0C67EF18">
      <w:pPr>
        <w:shd w:val="clear"/>
        <w:spacing w:line="360" w:lineRule="auto"/>
        <w:rPr>
          <w:rFonts w:asciiTheme="minorEastAsia" w:hAnsiTheme="minorEastAsia" w:eastAsiaTheme="minorEastAsia"/>
          <w:b/>
          <w:color w:val="000000" w:themeColor="text1"/>
          <w:highlight w:val="none"/>
          <w14:textFill>
            <w14:solidFill>
              <w14:schemeClr w14:val="tx1"/>
            </w14:solidFill>
          </w14:textFill>
        </w:rPr>
      </w:pPr>
      <w:r>
        <w:rPr>
          <w:rFonts w:hint="eastAsia" w:asciiTheme="minorEastAsia" w:hAnsiTheme="minorEastAsia" w:eastAsiaTheme="minorEastAsia"/>
          <w:b/>
          <w:color w:val="000000" w:themeColor="text1"/>
          <w:highlight w:val="none"/>
          <w14:textFill>
            <w14:solidFill>
              <w14:schemeClr w14:val="tx1"/>
            </w14:solidFill>
          </w14:textFill>
        </w:rPr>
        <w:t>附件三：具备履行合同所必需的设备和专业技术能力的声明格式及证明材料</w:t>
      </w:r>
    </w:p>
    <w:p w14:paraId="1AED9E13">
      <w:pPr>
        <w:shd w:val="clear"/>
        <w:rPr>
          <w:rFonts w:ascii="宋体" w:hAnsi="宋体" w:cs="宋体"/>
          <w:b/>
          <w:color w:val="000000" w:themeColor="text1"/>
          <w:highlight w:val="none"/>
          <w14:textFill>
            <w14:solidFill>
              <w14:schemeClr w14:val="tx1"/>
            </w14:solidFill>
          </w14:textFill>
        </w:rPr>
      </w:pPr>
    </w:p>
    <w:p w14:paraId="33001798">
      <w:pPr>
        <w:shd w:val="clear"/>
        <w:jc w:val="center"/>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具备履行合同所必需的设备和专业技术能力的声明</w:t>
      </w:r>
    </w:p>
    <w:p w14:paraId="7EC556F6">
      <w:pPr>
        <w:pStyle w:val="9"/>
        <w:shd w:val="clear"/>
        <w:rPr>
          <w:color w:val="000000" w:themeColor="text1"/>
          <w:highlight w:val="none"/>
          <w14:textFill>
            <w14:solidFill>
              <w14:schemeClr w14:val="tx1"/>
            </w14:solidFill>
          </w14:textFill>
        </w:rPr>
      </w:pPr>
    </w:p>
    <w:p w14:paraId="14DE3F46">
      <w:pPr>
        <w:shd w:val="clear"/>
        <w:jc w:val="left"/>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中国药科大学：</w:t>
      </w:r>
    </w:p>
    <w:p w14:paraId="2ED7F157">
      <w:pPr>
        <w:shd w:val="clear"/>
        <w:spacing w:line="460" w:lineRule="exact"/>
        <w:ind w:firstLine="492"/>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我单位（供应商名称）郑重声明：我公司具备履行本项采购合同所必需的设备和专业技术能力，为履行本项采购合同我单位具备如下主要设备和主要专业技术能力：</w:t>
      </w:r>
    </w:p>
    <w:p w14:paraId="3C349479">
      <w:pPr>
        <w:shd w:val="clear"/>
        <w:spacing w:line="460" w:lineRule="exact"/>
        <w:ind w:firstLine="492"/>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主要设备有：</w:t>
      </w:r>
      <w:r>
        <w:rPr>
          <w:rFonts w:hint="eastAsia" w:ascii="宋体" w:hAnsi="宋体" w:cs="宋体"/>
          <w:color w:val="000000" w:themeColor="text1"/>
          <w:highlight w:val="none"/>
          <w:u w:val="single"/>
          <w14:textFill>
            <w14:solidFill>
              <w14:schemeClr w14:val="tx1"/>
            </w14:solidFill>
          </w14:textFill>
        </w:rPr>
        <w:t xml:space="preserve">                     。</w:t>
      </w:r>
    </w:p>
    <w:p w14:paraId="4D334520">
      <w:pPr>
        <w:shd w:val="clear"/>
        <w:spacing w:line="460" w:lineRule="exact"/>
        <w:ind w:firstLine="492"/>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主要专业技术能力有：</w:t>
      </w:r>
      <w:r>
        <w:rPr>
          <w:rFonts w:hint="eastAsia" w:ascii="宋体" w:hAnsi="宋体" w:cs="宋体"/>
          <w:color w:val="000000" w:themeColor="text1"/>
          <w:highlight w:val="none"/>
          <w:u w:val="single"/>
          <w14:textFill>
            <w14:solidFill>
              <w14:schemeClr w14:val="tx1"/>
            </w14:solidFill>
          </w14:textFill>
        </w:rPr>
        <w:t xml:space="preserve">                     。</w:t>
      </w:r>
    </w:p>
    <w:p w14:paraId="4193A2DA">
      <w:pPr>
        <w:shd w:val="clear"/>
        <w:spacing w:line="360" w:lineRule="auto"/>
        <w:rPr>
          <w:rFonts w:ascii="宋体" w:hAnsi="宋体" w:cs="宋体"/>
          <w:color w:val="000000" w:themeColor="text1"/>
          <w:highlight w:val="none"/>
          <w14:textFill>
            <w14:solidFill>
              <w14:schemeClr w14:val="tx1"/>
            </w14:solidFill>
          </w14:textFill>
        </w:rPr>
      </w:pPr>
    </w:p>
    <w:p w14:paraId="4DCAFADB">
      <w:pPr>
        <w:shd w:val="clear"/>
        <w:spacing w:line="360" w:lineRule="auto"/>
        <w:rPr>
          <w:rFonts w:ascii="宋体" w:hAnsi="宋体" w:cs="宋体"/>
          <w:color w:val="000000" w:themeColor="text1"/>
          <w:highlight w:val="none"/>
          <w14:textFill>
            <w14:solidFill>
              <w14:schemeClr w14:val="tx1"/>
            </w14:solidFill>
          </w14:textFill>
        </w:rPr>
      </w:pPr>
    </w:p>
    <w:p w14:paraId="3BEEF50D">
      <w:pPr>
        <w:shd w:val="clear"/>
        <w:spacing w:line="360" w:lineRule="auto"/>
        <w:ind w:firstLine="5250" w:firstLineChars="25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声明人（公章）：</w:t>
      </w:r>
    </w:p>
    <w:p w14:paraId="36A14A33">
      <w:pPr>
        <w:shd w:val="clear"/>
        <w:spacing w:line="360" w:lineRule="auto"/>
        <w:ind w:firstLine="5250" w:firstLineChars="250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日  期：        年     月    日</w:t>
      </w:r>
    </w:p>
    <w:p w14:paraId="6E47BD8C">
      <w:pPr>
        <w:shd w:val="clear"/>
        <w:spacing w:line="360" w:lineRule="auto"/>
        <w:rPr>
          <w:rFonts w:ascii="宋体" w:hAnsi="宋体" w:cs="宋体"/>
          <w:color w:val="000000" w:themeColor="text1"/>
          <w:highlight w:val="none"/>
          <w14:textFill>
            <w14:solidFill>
              <w14:schemeClr w14:val="tx1"/>
            </w14:solidFill>
          </w14:textFill>
        </w:rPr>
      </w:pPr>
    </w:p>
    <w:p w14:paraId="6450DB4F">
      <w:pPr>
        <w:shd w:val="clear"/>
        <w:spacing w:line="460" w:lineRule="exact"/>
        <w:ind w:firstLine="492"/>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其他证明材料及文件：（如果投标人认为需要提供的话）  </w:t>
      </w:r>
    </w:p>
    <w:p w14:paraId="15E94E6E">
      <w:pPr>
        <w:pStyle w:val="53"/>
        <w:widowControl/>
        <w:shd w:val="clear"/>
        <w:spacing w:before="20"/>
        <w:ind w:left="0"/>
        <w:outlineLvl w:val="9"/>
        <w:rPr>
          <w:rFonts w:hint="default" w:cs="宋体"/>
          <w:color w:val="000000" w:themeColor="text1"/>
          <w:highlight w:val="none"/>
          <w14:textFill>
            <w14:solidFill>
              <w14:schemeClr w14:val="tx1"/>
            </w14:solidFill>
          </w14:textFill>
        </w:rPr>
      </w:pPr>
    </w:p>
    <w:p w14:paraId="7C38F4EF">
      <w:pPr>
        <w:pStyle w:val="53"/>
        <w:widowControl/>
        <w:shd w:val="clear"/>
        <w:spacing w:before="20"/>
        <w:ind w:left="0"/>
        <w:outlineLvl w:val="9"/>
        <w:rPr>
          <w:rFonts w:hint="default" w:cs="宋体"/>
          <w:color w:val="000000" w:themeColor="text1"/>
          <w:highlight w:val="none"/>
          <w14:textFill>
            <w14:solidFill>
              <w14:schemeClr w14:val="tx1"/>
            </w14:solidFill>
          </w14:textFill>
        </w:rPr>
      </w:pPr>
    </w:p>
    <w:p w14:paraId="47FC0B64">
      <w:pPr>
        <w:shd w:val="clea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r>
    </w:p>
    <w:p w14:paraId="6F2A6093">
      <w:pPr>
        <w:widowControl/>
        <w:shd w:val="clear"/>
        <w:adjustRightInd w:val="0"/>
        <w:spacing w:line="240" w:lineRule="atLeast"/>
        <w:rPr>
          <w:rFonts w:ascii="宋体" w:hAnsi="宋体" w:cs="宋体"/>
          <w:b/>
          <w:color w:val="000000" w:themeColor="text1"/>
          <w:highlight w:val="none"/>
          <w14:textFill>
            <w14:solidFill>
              <w14:schemeClr w14:val="tx1"/>
            </w14:solidFill>
          </w14:textFill>
        </w:rPr>
      </w:pPr>
    </w:p>
    <w:p w14:paraId="2699C8BC">
      <w:pPr>
        <w:widowControl/>
        <w:shd w:val="clear"/>
        <w:adjustRightInd w:val="0"/>
        <w:spacing w:line="240" w:lineRule="atLeast"/>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附件四、残疾人福利性单位声明函格式</w:t>
      </w:r>
    </w:p>
    <w:p w14:paraId="6683E1FC">
      <w:pPr>
        <w:pStyle w:val="9"/>
        <w:widowControl/>
        <w:shd w:val="clear"/>
        <w:rPr>
          <w:rFonts w:ascii="宋体" w:hAnsi="宋体" w:cs="宋体"/>
          <w:b/>
          <w:color w:val="000000" w:themeColor="text1"/>
          <w:highlight w:val="none"/>
          <w14:textFill>
            <w14:solidFill>
              <w14:schemeClr w14:val="tx1"/>
            </w14:solidFill>
          </w14:textFill>
        </w:rPr>
      </w:pPr>
    </w:p>
    <w:p w14:paraId="45993318">
      <w:pPr>
        <w:pStyle w:val="9"/>
        <w:widowControl/>
        <w:shd w:val="clear"/>
        <w:rPr>
          <w:rFonts w:ascii="宋体" w:hAnsi="宋体" w:cs="宋体"/>
          <w:b/>
          <w:color w:val="000000" w:themeColor="text1"/>
          <w:highlight w:val="none"/>
          <w14:textFill>
            <w14:solidFill>
              <w14:schemeClr w14:val="tx1"/>
            </w14:solidFill>
          </w14:textFill>
        </w:rPr>
      </w:pPr>
    </w:p>
    <w:p w14:paraId="3759E2F3">
      <w:pPr>
        <w:shd w:val="clear"/>
        <w:jc w:val="center"/>
        <w:rPr>
          <w:rFonts w:ascii="宋体" w:hAnsi="宋体" w:cs="宋体"/>
          <w:color w:val="000000" w:themeColor="text1"/>
          <w:sz w:val="36"/>
          <w:szCs w:val="36"/>
          <w:highlight w:val="none"/>
          <w14:textFill>
            <w14:solidFill>
              <w14:schemeClr w14:val="tx1"/>
            </w14:solidFill>
          </w14:textFill>
        </w:rPr>
      </w:pPr>
      <w:r>
        <w:rPr>
          <w:rFonts w:hint="eastAsia" w:ascii="宋体" w:hAnsi="宋体" w:cs="宋体"/>
          <w:color w:val="000000" w:themeColor="text1"/>
          <w:sz w:val="36"/>
          <w:szCs w:val="36"/>
          <w:highlight w:val="none"/>
          <w14:textFill>
            <w14:solidFill>
              <w14:schemeClr w14:val="tx1"/>
            </w14:solidFill>
          </w14:textFill>
        </w:rPr>
        <w:t>残疾人福利性单位声明函</w:t>
      </w:r>
    </w:p>
    <w:p w14:paraId="19481C28">
      <w:pPr>
        <w:pStyle w:val="9"/>
        <w:widowControl/>
        <w:shd w:val="clear"/>
        <w:spacing w:before="7"/>
        <w:rPr>
          <w:rFonts w:ascii="宋体" w:hAnsi="宋体" w:cs="宋体"/>
          <w:b/>
          <w:color w:val="000000" w:themeColor="text1"/>
          <w:sz w:val="18"/>
          <w:highlight w:val="none"/>
          <w14:textFill>
            <w14:solidFill>
              <w14:schemeClr w14:val="tx1"/>
            </w14:solidFill>
          </w14:textFill>
        </w:rPr>
      </w:pPr>
    </w:p>
    <w:p w14:paraId="2288B13D">
      <w:pPr>
        <w:pStyle w:val="9"/>
        <w:widowControl/>
        <w:shd w:val="clear"/>
        <w:tabs>
          <w:tab w:val="left" w:pos="3711"/>
          <w:tab w:val="left" w:pos="5151"/>
        </w:tabs>
        <w:spacing w:line="422" w:lineRule="auto"/>
        <w:ind w:right="617" w:firstLine="480"/>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本单位郑重声明</w:t>
      </w:r>
      <w:r>
        <w:rPr>
          <w:rFonts w:hint="eastAsia" w:ascii="宋体" w:hAnsi="宋体" w:cs="宋体"/>
          <w:color w:val="000000" w:themeColor="text1"/>
          <w:spacing w:val="-27"/>
          <w:highlight w:val="none"/>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根</w:t>
      </w:r>
      <w:r>
        <w:rPr>
          <w:rFonts w:hint="eastAsia" w:ascii="宋体" w:hAnsi="宋体" w:cs="宋体"/>
          <w:color w:val="000000" w:themeColor="text1"/>
          <w:spacing w:val="-24"/>
          <w:highlight w:val="none"/>
          <w14:textFill>
            <w14:solidFill>
              <w14:schemeClr w14:val="tx1"/>
            </w14:solidFill>
          </w14:textFill>
        </w:rPr>
        <w:t>据</w:t>
      </w:r>
      <w:r>
        <w:rPr>
          <w:rFonts w:hint="eastAsia" w:ascii="宋体" w:hAnsi="宋体" w:cs="宋体"/>
          <w:color w:val="000000" w:themeColor="text1"/>
          <w:highlight w:val="none"/>
          <w14:textFill>
            <w14:solidFill>
              <w14:schemeClr w14:val="tx1"/>
            </w14:solidFill>
          </w14:textFill>
        </w:rPr>
        <w:t>《财政部 民政部 中国残疾人联合会关于促进残疾人就业</w:t>
      </w:r>
      <w:r>
        <w:rPr>
          <w:rFonts w:hint="eastAsia" w:ascii="宋体" w:hAnsi="宋体" w:cs="宋体"/>
          <w:color w:val="000000" w:themeColor="text1"/>
          <w:spacing w:val="-18"/>
          <w:highlight w:val="none"/>
          <w14:textFill>
            <w14:solidFill>
              <w14:schemeClr w14:val="tx1"/>
            </w14:solidFill>
          </w14:textFill>
        </w:rPr>
        <w:t>政</w:t>
      </w:r>
      <w:r>
        <w:rPr>
          <w:rFonts w:hint="eastAsia" w:ascii="宋体" w:hAnsi="宋体" w:cs="宋体"/>
          <w:color w:val="000000" w:themeColor="text1"/>
          <w:highlight w:val="none"/>
          <w14:textFill>
            <w14:solidFill>
              <w14:schemeClr w14:val="tx1"/>
            </w14:solidFill>
          </w14:textFill>
        </w:rPr>
        <w:t>府采购政策的通知</w:t>
      </w:r>
      <w:r>
        <w:rPr>
          <w:rFonts w:hint="eastAsia" w:ascii="宋体" w:hAnsi="宋体" w:cs="宋体"/>
          <w:color w:val="000000" w:themeColor="text1"/>
          <w:spacing w:val="-39"/>
          <w:highlight w:val="none"/>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（财</w:t>
      </w:r>
      <w:r>
        <w:rPr>
          <w:rFonts w:hint="eastAsia" w:ascii="宋体" w:hAnsi="宋体" w:cs="宋体"/>
          <w:color w:val="000000" w:themeColor="text1"/>
          <w:spacing w:val="-17"/>
          <w:highlight w:val="none"/>
          <w14:textFill>
            <w14:solidFill>
              <w14:schemeClr w14:val="tx1"/>
            </w14:solidFill>
          </w14:textFill>
        </w:rPr>
        <w:t>库</w:t>
      </w:r>
      <w:r>
        <w:rPr>
          <w:rFonts w:hint="eastAsia" w:ascii="宋体" w:hAnsi="宋体" w:cs="宋体"/>
          <w:color w:val="000000" w:themeColor="text1"/>
          <w:highlight w:val="none"/>
          <w14:textFill>
            <w14:solidFill>
              <w14:schemeClr w14:val="tx1"/>
            </w14:solidFill>
          </w14:textFill>
        </w:rPr>
        <w:t>〔2017〕141号</w:t>
      </w:r>
      <w:r>
        <w:rPr>
          <w:rFonts w:hint="eastAsia" w:ascii="宋体" w:hAnsi="宋体" w:cs="宋体"/>
          <w:color w:val="000000" w:themeColor="text1"/>
          <w:spacing w:val="-20"/>
          <w:highlight w:val="none"/>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的规定</w:t>
      </w:r>
      <w:r>
        <w:rPr>
          <w:rFonts w:hint="eastAsia" w:ascii="宋体" w:hAnsi="宋体" w:cs="宋体"/>
          <w:color w:val="000000" w:themeColor="text1"/>
          <w:spacing w:val="-17"/>
          <w:highlight w:val="none"/>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本单位为符合条件的残疾人福</w:t>
      </w:r>
      <w:r>
        <w:rPr>
          <w:rFonts w:hint="eastAsia" w:ascii="宋体" w:hAnsi="宋体" w:cs="宋体"/>
          <w:color w:val="000000" w:themeColor="text1"/>
          <w:spacing w:val="-16"/>
          <w:highlight w:val="none"/>
          <w14:textFill>
            <w14:solidFill>
              <w14:schemeClr w14:val="tx1"/>
            </w14:solidFill>
          </w14:textFill>
        </w:rPr>
        <w:t>利</w:t>
      </w:r>
      <w:r>
        <w:rPr>
          <w:rFonts w:hint="eastAsia" w:ascii="宋体" w:hAnsi="宋体" w:cs="宋体"/>
          <w:color w:val="000000" w:themeColor="text1"/>
          <w:highlight w:val="none"/>
          <w14:textFill>
            <w14:solidFill>
              <w14:schemeClr w14:val="tx1"/>
            </w14:solidFill>
          </w14:textFill>
        </w:rPr>
        <w:t>性单位</w:t>
      </w:r>
      <w:r>
        <w:rPr>
          <w:rFonts w:hint="eastAsia" w:ascii="宋体" w:hAnsi="宋体" w:cs="宋体"/>
          <w:color w:val="000000" w:themeColor="text1"/>
          <w:spacing w:val="-27"/>
          <w:highlight w:val="none"/>
          <w14:textFill>
            <w14:solidFill>
              <w14:schemeClr w14:val="tx1"/>
            </w14:solidFill>
          </w14:textFill>
        </w:rPr>
        <w:t>，</w:t>
      </w:r>
      <w:r>
        <w:rPr>
          <w:rFonts w:hint="eastAsia" w:ascii="宋体" w:hAnsi="宋体" w:cs="宋体"/>
          <w:color w:val="000000" w:themeColor="text1"/>
          <w:highlight w:val="none"/>
          <w14:textFill>
            <w14:solidFill>
              <w14:schemeClr w14:val="tx1"/>
            </w14:solidFill>
          </w14:textFill>
        </w:rPr>
        <w:t>且本单位参加</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t>单位的</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t>项目采购活动提供本单位制造的货</w:t>
      </w:r>
      <w:r>
        <w:rPr>
          <w:rFonts w:hint="eastAsia" w:ascii="宋体" w:hAnsi="宋体" w:cs="宋体"/>
          <w:color w:val="000000" w:themeColor="text1"/>
          <w:spacing w:val="-24"/>
          <w:highlight w:val="none"/>
          <w14:textFill>
            <w14:solidFill>
              <w14:schemeClr w14:val="tx1"/>
            </w14:solidFill>
          </w14:textFill>
        </w:rPr>
        <w:t>物</w:t>
      </w:r>
      <w:r>
        <w:rPr>
          <w:rFonts w:hint="eastAsia" w:ascii="宋体" w:hAnsi="宋体" w:cs="宋体"/>
          <w:color w:val="000000" w:themeColor="text1"/>
          <w:highlight w:val="none"/>
          <w14:textFill>
            <w14:solidFill>
              <w14:schemeClr w14:val="tx1"/>
            </w14:solidFill>
          </w14:textFill>
        </w:rPr>
        <w:t>（由</w:t>
      </w:r>
      <w:r>
        <w:rPr>
          <w:rFonts w:hint="eastAsia" w:ascii="宋体" w:hAnsi="宋体" w:cs="宋体"/>
          <w:color w:val="000000" w:themeColor="text1"/>
          <w:spacing w:val="-18"/>
          <w:highlight w:val="none"/>
          <w14:textFill>
            <w14:solidFill>
              <w14:schemeClr w14:val="tx1"/>
            </w14:solidFill>
          </w14:textFill>
        </w:rPr>
        <w:t>本</w:t>
      </w:r>
      <w:r>
        <w:rPr>
          <w:rFonts w:hint="eastAsia" w:ascii="宋体" w:hAnsi="宋体" w:cs="宋体"/>
          <w:color w:val="000000" w:themeColor="text1"/>
          <w:highlight w:val="none"/>
          <w14:textFill>
            <w14:solidFill>
              <w14:schemeClr w14:val="tx1"/>
            </w14:solidFill>
          </w14:textFill>
        </w:rPr>
        <w:t>单位承担工程/提供服务），或者提供其他残疾人福利性单位制造的货物（不包括使用非残疾人福利性单位注册商标的货物）。</w:t>
      </w:r>
    </w:p>
    <w:p w14:paraId="6CC73581">
      <w:pPr>
        <w:pStyle w:val="9"/>
        <w:widowControl/>
        <w:shd w:val="clear"/>
        <w:spacing w:before="3"/>
        <w:ind w:left="1098"/>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本单位对上述声明的真实性负责。如有虚假，将依法承担相应责任。</w:t>
      </w:r>
    </w:p>
    <w:p w14:paraId="2D904498">
      <w:pPr>
        <w:pStyle w:val="9"/>
        <w:widowControl/>
        <w:shd w:val="clear"/>
        <w:spacing w:before="6"/>
        <w:rPr>
          <w:rFonts w:ascii="宋体" w:hAnsi="宋体" w:cs="宋体"/>
          <w:color w:val="000000" w:themeColor="text1"/>
          <w:sz w:val="18"/>
          <w:highlight w:val="none"/>
          <w14:textFill>
            <w14:solidFill>
              <w14:schemeClr w14:val="tx1"/>
            </w14:solidFill>
          </w14:textFill>
        </w:rPr>
      </w:pPr>
    </w:p>
    <w:p w14:paraId="03C11A06">
      <w:pPr>
        <w:pStyle w:val="9"/>
        <w:widowControl/>
        <w:shd w:val="clear"/>
        <w:tabs>
          <w:tab w:val="left" w:pos="7098"/>
        </w:tabs>
        <w:spacing w:line="420" w:lineRule="auto"/>
        <w:ind w:right="2725"/>
        <w:rPr>
          <w:rFonts w:ascii="宋体" w:hAnsi="宋体" w:cs="宋体"/>
          <w:color w:val="000000" w:themeColor="text1"/>
          <w:spacing w:val="-9"/>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单位名称（盖章</w:t>
      </w:r>
      <w:r>
        <w:rPr>
          <w:rFonts w:hint="eastAsia" w:ascii="宋体" w:hAnsi="宋体" w:cs="宋体"/>
          <w:color w:val="000000" w:themeColor="text1"/>
          <w:spacing w:val="-9"/>
          <w:highlight w:val="none"/>
          <w14:textFill>
            <w14:solidFill>
              <w14:schemeClr w14:val="tx1"/>
            </w14:solidFill>
          </w14:textFill>
        </w:rPr>
        <w:t>）：</w:t>
      </w:r>
    </w:p>
    <w:p w14:paraId="4E3391C9">
      <w:pPr>
        <w:pStyle w:val="9"/>
        <w:widowControl/>
        <w:shd w:val="clear"/>
        <w:tabs>
          <w:tab w:val="left" w:pos="7098"/>
        </w:tabs>
        <w:spacing w:line="420" w:lineRule="auto"/>
        <w:ind w:right="2725"/>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spacing w:val="-9"/>
          <w:highlight w:val="none"/>
          <w14:textFill>
            <w14:solidFill>
              <w14:schemeClr w14:val="tx1"/>
            </w14:solidFill>
          </w14:textFill>
        </w:rPr>
        <w:t>日</w:t>
      </w:r>
      <w:r>
        <w:rPr>
          <w:rFonts w:hint="eastAsia" w:ascii="宋体" w:hAnsi="宋体" w:cs="宋体"/>
          <w:color w:val="000000" w:themeColor="text1"/>
          <w:highlight w:val="none"/>
          <w14:textFill>
            <w14:solidFill>
              <w14:schemeClr w14:val="tx1"/>
            </w14:solidFill>
          </w14:textFill>
        </w:rPr>
        <w:t>期</w:t>
      </w:r>
      <w:r>
        <w:rPr>
          <w:rFonts w:hint="eastAsia" w:ascii="宋体" w:hAnsi="宋体" w:cs="宋体"/>
          <w:color w:val="000000" w:themeColor="text1"/>
          <w:spacing w:val="-17"/>
          <w:highlight w:val="none"/>
          <w14:textFill>
            <w14:solidFill>
              <w14:schemeClr w14:val="tx1"/>
            </w14:solidFill>
          </w14:textFill>
        </w:rPr>
        <w:t>：</w:t>
      </w:r>
    </w:p>
    <w:p w14:paraId="1B6618DA">
      <w:pPr>
        <w:widowControl/>
        <w:shd w:val="clear"/>
        <w:adjustRightInd w:val="0"/>
        <w:spacing w:line="240" w:lineRule="atLeast"/>
        <w:rPr>
          <w:rFonts w:ascii="宋体" w:hAnsi="宋体" w:cs="宋体"/>
          <w:b/>
          <w:color w:val="000000" w:themeColor="text1"/>
          <w:highlight w:val="none"/>
          <w14:textFill>
            <w14:solidFill>
              <w14:schemeClr w14:val="tx1"/>
            </w14:solidFill>
          </w14:textFill>
        </w:rPr>
      </w:pPr>
    </w:p>
    <w:p w14:paraId="4EFABED3">
      <w:pPr>
        <w:widowControl/>
        <w:shd w:val="clear"/>
        <w:adjustRightInd w:val="0"/>
        <w:spacing w:line="240" w:lineRule="atLeast"/>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附件五、属于监狱企业的证明文件</w:t>
      </w:r>
    </w:p>
    <w:p w14:paraId="048B0A35">
      <w:pPr>
        <w:pStyle w:val="9"/>
        <w:widowControl/>
        <w:shd w:val="clear"/>
        <w:rPr>
          <w:rFonts w:ascii="宋体" w:hAnsi="宋体" w:cs="宋体"/>
          <w:b/>
          <w:color w:val="000000" w:themeColor="text1"/>
          <w:highlight w:val="none"/>
          <w14:textFill>
            <w14:solidFill>
              <w14:schemeClr w14:val="tx1"/>
            </w14:solidFill>
          </w14:textFill>
        </w:rPr>
      </w:pPr>
    </w:p>
    <w:p w14:paraId="66FC3701">
      <w:pPr>
        <w:pStyle w:val="9"/>
        <w:widowControl/>
        <w:shd w:val="clear"/>
        <w:rPr>
          <w:rFonts w:ascii="宋体" w:hAnsi="宋体" w:cs="宋体"/>
          <w:b/>
          <w:color w:val="000000" w:themeColor="text1"/>
          <w:highlight w:val="none"/>
          <w14:textFill>
            <w14:solidFill>
              <w14:schemeClr w14:val="tx1"/>
            </w14:solidFill>
          </w14:textFill>
        </w:rPr>
      </w:pPr>
    </w:p>
    <w:p w14:paraId="3641A8D8">
      <w:pPr>
        <w:pStyle w:val="9"/>
        <w:widowControl/>
        <w:shd w:val="clear"/>
        <w:spacing w:before="165" w:line="422" w:lineRule="auto"/>
        <w:ind w:right="554" w:firstLine="480"/>
        <w:rPr>
          <w:rFonts w:ascii="宋体" w:hAnsi="宋体" w:cs="宋体"/>
          <w:b/>
          <w:color w:val="000000" w:themeColor="text1"/>
          <w:sz w:val="28"/>
          <w:szCs w:val="28"/>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提供由省级以上监狱管理局、戒毒管理局（含新疆生产建设兵团）出具的属于监狱企业的证明文件</w:t>
      </w:r>
    </w:p>
    <w:p w14:paraId="15B4211E">
      <w:pPr>
        <w:shd w:val="clear"/>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r>
    </w:p>
    <w:p w14:paraId="519A5A99">
      <w:pPr>
        <w:shd w:val="clear"/>
        <w:rPr>
          <w:rFonts w:ascii="宋体" w:hAnsi="宋体" w:cs="宋体"/>
          <w:b/>
          <w:color w:val="000000" w:themeColor="text1"/>
          <w:highlight w:val="none"/>
          <w14:textFill>
            <w14:solidFill>
              <w14:schemeClr w14:val="tx1"/>
            </w14:solidFill>
          </w14:textFill>
        </w:rPr>
      </w:pPr>
    </w:p>
    <w:p w14:paraId="69E5C9F3">
      <w:pPr>
        <w:widowControl/>
        <w:shd w:val="clear"/>
        <w:adjustRightInd w:val="0"/>
        <w:spacing w:line="240" w:lineRule="atLeast"/>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附件六、投标单位廉政承诺书</w:t>
      </w:r>
    </w:p>
    <w:p w14:paraId="71BAA0A2">
      <w:pPr>
        <w:shd w:val="clear"/>
        <w:spacing w:line="360" w:lineRule="auto"/>
        <w:ind w:firstLine="643" w:firstLineChars="200"/>
        <w:jc w:val="center"/>
        <w:rPr>
          <w:b/>
          <w:bCs/>
          <w:color w:val="000000" w:themeColor="text1"/>
          <w:sz w:val="32"/>
          <w:szCs w:val="32"/>
          <w:highlight w:val="none"/>
          <w14:textFill>
            <w14:solidFill>
              <w14:schemeClr w14:val="tx1"/>
            </w14:solidFill>
          </w14:textFill>
        </w:rPr>
      </w:pPr>
      <w:r>
        <w:rPr>
          <w:rFonts w:hint="eastAsia"/>
          <w:b/>
          <w:bCs/>
          <w:color w:val="000000" w:themeColor="text1"/>
          <w:sz w:val="32"/>
          <w:szCs w:val="32"/>
          <w:highlight w:val="none"/>
          <w14:textFill>
            <w14:solidFill>
              <w14:schemeClr w14:val="tx1"/>
            </w14:solidFill>
          </w14:textFill>
        </w:rPr>
        <w:t>投标单位廉政承诺书</w:t>
      </w:r>
    </w:p>
    <w:p w14:paraId="6F911C0A">
      <w:pPr>
        <w:shd w:val="clear"/>
        <w:spacing w:line="360" w:lineRule="auto"/>
        <w:ind w:firstLine="480" w:firstLineChars="200"/>
        <w:jc w:val="center"/>
        <w:rPr>
          <w:color w:val="000000" w:themeColor="text1"/>
          <w:sz w:val="24"/>
          <w:szCs w:val="24"/>
          <w:highlight w:val="none"/>
          <w14:textFill>
            <w14:solidFill>
              <w14:schemeClr w14:val="tx1"/>
            </w14:solidFill>
          </w14:textFill>
        </w:rPr>
      </w:pPr>
    </w:p>
    <w:p w14:paraId="0014B6F7">
      <w:pPr>
        <w:shd w:val="clear"/>
        <w:spacing w:line="360" w:lineRule="auto"/>
        <w:ind w:firstLine="480" w:firstLineChars="2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为充分体现公开、公平、公正、诚实信用原则，维护招标采购环节秩序，本单位承诺在参与</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项目投标过程中无任何违法、违规、违纪行为，自觉接受监督。承诺如下：</w:t>
      </w:r>
    </w:p>
    <w:p w14:paraId="40E09A9F">
      <w:pPr>
        <w:shd w:val="clear"/>
        <w:spacing w:line="360" w:lineRule="auto"/>
        <w:ind w:firstLine="480" w:firstLineChars="2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1、不以不正当手段向招标人谋取资格预审及投标的不正当照顾。</w:t>
      </w:r>
    </w:p>
    <w:p w14:paraId="2542DC81">
      <w:pPr>
        <w:shd w:val="clear"/>
        <w:spacing w:line="360" w:lineRule="auto"/>
        <w:ind w:firstLine="480" w:firstLineChars="2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2、不使用不正当手段妨碍、排挤其他投标单位。</w:t>
      </w:r>
    </w:p>
    <w:p w14:paraId="248096D9">
      <w:pPr>
        <w:shd w:val="clear"/>
        <w:spacing w:line="360" w:lineRule="auto"/>
        <w:ind w:firstLine="480" w:firstLineChars="2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3、严格按照招标文件规定的方式进行投标，不隐瞒本单位任何真实情况。不以其他人名义投标或以其他方式弄虚作假，骗取中标。</w:t>
      </w:r>
    </w:p>
    <w:p w14:paraId="484F6691">
      <w:pPr>
        <w:shd w:val="clear"/>
        <w:spacing w:line="360" w:lineRule="auto"/>
        <w:ind w:firstLine="480" w:firstLineChars="2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4、不与其他投标人相互串标，不联合其他单位进行围标。</w:t>
      </w:r>
    </w:p>
    <w:p w14:paraId="04A0613A">
      <w:pPr>
        <w:shd w:val="clear"/>
        <w:spacing w:line="360" w:lineRule="auto"/>
        <w:ind w:firstLine="480" w:firstLineChars="2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5、不以任何方式向招标相关人员或评标人员赠送礼品、礼金、有价证券等；不宴请或邀请招标相关人员参加娱乐消费、旅游等活动；不以任何形式报销招标相关人员及其亲友的各种票据、费用。不向任何涉及招标的部门和个人支付好处费、介绍费等，或购置、提供通讯工具、交通工具、各类电子设备等。</w:t>
      </w:r>
    </w:p>
    <w:p w14:paraId="18C8D4A7">
      <w:pPr>
        <w:shd w:val="clear"/>
        <w:spacing w:line="360" w:lineRule="auto"/>
        <w:ind w:firstLine="480" w:firstLineChars="2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6、一旦发现招标相关人员在招标过程中有不廉洁行为，立即向招标方举报。</w:t>
      </w:r>
    </w:p>
    <w:p w14:paraId="7E42C9CB">
      <w:pPr>
        <w:shd w:val="clear"/>
        <w:spacing w:line="360" w:lineRule="auto"/>
        <w:ind w:firstLine="480" w:firstLineChars="2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7、中标后及时与招标人按招投标文件签订合同，不订立背离合同实质性内容的协议。</w:t>
      </w:r>
    </w:p>
    <w:p w14:paraId="53E86F38">
      <w:pPr>
        <w:shd w:val="clear"/>
        <w:spacing w:line="360" w:lineRule="auto"/>
        <w:ind w:firstLine="480" w:firstLineChars="2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8、自愿将本承诺作为投标文件及合同的附件，具有同等法律效力。</w:t>
      </w:r>
    </w:p>
    <w:p w14:paraId="130A436C">
      <w:pPr>
        <w:shd w:val="clear"/>
        <w:spacing w:line="360" w:lineRule="auto"/>
        <w:ind w:firstLine="480" w:firstLineChars="2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9、若出现违反上述承诺或有关法律、法规及贵单位相关规定，三年内不参与贵单位所有采购项目投标，无条件承担招标人或相关部门在各类媒体公开我单位“不诚信或不廉洁”信息所造成的一切后果。并承担贵单位相关损失以及一切法律责任。</w:t>
      </w:r>
    </w:p>
    <w:p w14:paraId="61D20A78">
      <w:pPr>
        <w:shd w:val="clear"/>
        <w:spacing w:line="360" w:lineRule="auto"/>
        <w:ind w:firstLine="480" w:firstLineChars="200"/>
        <w:rPr>
          <w:color w:val="000000" w:themeColor="text1"/>
          <w:sz w:val="24"/>
          <w:szCs w:val="24"/>
          <w:highlight w:val="none"/>
          <w14:textFill>
            <w14:solidFill>
              <w14:schemeClr w14:val="tx1"/>
            </w14:solidFill>
          </w14:textFill>
        </w:rPr>
      </w:pPr>
    </w:p>
    <w:p w14:paraId="274E3DE9">
      <w:pPr>
        <w:shd w:val="clear"/>
        <w:spacing w:line="360" w:lineRule="auto"/>
        <w:ind w:firstLine="5040" w:firstLineChars="21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法定代表人（签名）：</w:t>
      </w:r>
    </w:p>
    <w:p w14:paraId="00A42D07">
      <w:pPr>
        <w:shd w:val="clear"/>
        <w:spacing w:line="360" w:lineRule="auto"/>
        <w:ind w:firstLine="5040" w:firstLineChars="21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单位盖章：</w:t>
      </w:r>
    </w:p>
    <w:p w14:paraId="5C372A3A">
      <w:pPr>
        <w:shd w:val="clear"/>
        <w:spacing w:line="360" w:lineRule="auto"/>
        <w:ind w:firstLine="5040" w:firstLineChars="21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承诺日期：   年  月  日</w:t>
      </w:r>
    </w:p>
    <w:p w14:paraId="3DA9D527">
      <w:pPr>
        <w:shd w:val="clear"/>
        <w:rPr>
          <w:color w:val="000000" w:themeColor="text1"/>
          <w:sz w:val="28"/>
          <w:szCs w:val="28"/>
          <w:highlight w:val="none"/>
          <w14:textFill>
            <w14:solidFill>
              <w14:schemeClr w14:val="tx1"/>
            </w14:solidFill>
          </w14:textFill>
        </w:rPr>
      </w:pPr>
    </w:p>
    <w:p w14:paraId="08218F60">
      <w:pPr>
        <w:widowControl/>
        <w:shd w:val="clear"/>
        <w:jc w:val="left"/>
        <w:rPr>
          <w:rFonts w:asciiTheme="minorEastAsia" w:hAnsiTheme="minorEastAsia" w:eastAsiaTheme="minorEastAsia"/>
          <w:b/>
          <w:color w:val="000000" w:themeColor="text1"/>
          <w:highlight w:val="none"/>
          <w14:textFill>
            <w14:solidFill>
              <w14:schemeClr w14:val="tx1"/>
            </w14:solidFill>
          </w14:textFill>
        </w:rPr>
      </w:pPr>
      <w:r>
        <w:rPr>
          <w:rFonts w:asciiTheme="minorEastAsia" w:hAnsiTheme="minorEastAsia" w:eastAsiaTheme="minorEastAsia"/>
          <w:color w:val="000000" w:themeColor="text1"/>
          <w:highlight w:val="none"/>
          <w14:textFill>
            <w14:solidFill>
              <w14:schemeClr w14:val="tx1"/>
            </w14:solidFill>
          </w14:textFill>
        </w:rPr>
        <w:br w:type="page"/>
      </w:r>
    </w:p>
    <w:p w14:paraId="24CF570D">
      <w:pPr>
        <w:shd w:val="clear"/>
        <w:rPr>
          <w:rFonts w:ascii="宋体" w:hAnsi="宋体" w:cs="宋体"/>
          <w:b/>
          <w:color w:val="000000" w:themeColor="text1"/>
          <w:highlight w:val="none"/>
          <w14:textFill>
            <w14:solidFill>
              <w14:schemeClr w14:val="tx1"/>
            </w14:solidFill>
          </w14:textFill>
        </w:rPr>
      </w:pPr>
    </w:p>
    <w:p w14:paraId="59EE8B2D">
      <w:pPr>
        <w:widowControl/>
        <w:shd w:val="clear"/>
        <w:adjustRightInd w:val="0"/>
        <w:spacing w:line="240" w:lineRule="atLeast"/>
        <w:rPr>
          <w:rFonts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附件七 、承诺书</w:t>
      </w:r>
    </w:p>
    <w:p w14:paraId="77BF6E4E">
      <w:pPr>
        <w:widowControl/>
        <w:shd w:val="clear"/>
        <w:jc w:val="center"/>
        <w:rPr>
          <w:rFonts w:asciiTheme="minorEastAsia" w:hAnsiTheme="minorEastAsia" w:eastAsiaTheme="minorEastAsia"/>
          <w:color w:val="000000" w:themeColor="text1"/>
          <w:highlight w:val="none"/>
          <w14:textFill>
            <w14:solidFill>
              <w14:schemeClr w14:val="tx1"/>
            </w14:solidFill>
          </w14:textFill>
        </w:rPr>
      </w:pPr>
    </w:p>
    <w:p w14:paraId="41D41BAD">
      <w:pPr>
        <w:pStyle w:val="22"/>
        <w:shd w:val="clear"/>
        <w:spacing w:before="73" w:after="73" w:line="320" w:lineRule="exact"/>
        <w:rPr>
          <w:rFonts w:hint="default"/>
          <w:color w:val="000000" w:themeColor="text1"/>
          <w:sz w:val="21"/>
          <w:highlight w:val="none"/>
          <w:lang w:val="zh-CN"/>
          <w14:textFill>
            <w14:solidFill>
              <w14:schemeClr w14:val="tx1"/>
            </w14:solidFill>
          </w14:textFill>
        </w:rPr>
      </w:pPr>
      <w:r>
        <w:rPr>
          <w:color w:val="000000" w:themeColor="text1"/>
          <w:sz w:val="21"/>
          <w:highlight w:val="none"/>
          <w14:textFill>
            <w14:solidFill>
              <w14:schemeClr w14:val="tx1"/>
            </w14:solidFill>
          </w14:textFill>
        </w:rPr>
        <w:t>本单位（公司名称） 郑重承诺对于 （项目名称） 采购活动</w:t>
      </w:r>
      <w:r>
        <w:rPr>
          <w:color w:val="000000" w:themeColor="text1"/>
          <w:sz w:val="21"/>
          <w:highlight w:val="none"/>
          <w:lang w:val="zh-CN"/>
          <w14:textFill>
            <w14:solidFill>
              <w14:schemeClr w14:val="tx1"/>
            </w14:solidFill>
          </w14:textFill>
        </w:rPr>
        <w:t>：</w:t>
      </w:r>
    </w:p>
    <w:p w14:paraId="161A6824">
      <w:pPr>
        <w:pStyle w:val="22"/>
        <w:shd w:val="clear"/>
        <w:spacing w:before="73" w:after="73" w:line="320" w:lineRule="exact"/>
        <w:rPr>
          <w:rFonts w:hint="default"/>
          <w:color w:val="000000" w:themeColor="text1"/>
          <w:sz w:val="21"/>
          <w:highlight w:val="none"/>
          <w14:textFill>
            <w14:solidFill>
              <w14:schemeClr w14:val="tx1"/>
            </w14:solidFill>
          </w14:textFill>
        </w:rPr>
      </w:pPr>
      <w:r>
        <w:rPr>
          <w:color w:val="000000" w:themeColor="text1"/>
          <w:sz w:val="21"/>
          <w:highlight w:val="none"/>
          <w14:textFill>
            <w14:solidFill>
              <w14:schemeClr w14:val="tx1"/>
            </w14:solidFill>
          </w14:textFill>
        </w:rPr>
        <w:t>（1）在参加本次政府采购活动不存在与参加本项目的其他供应商单位负责人为同一人或者存在直接控股、管理关系情形。</w:t>
      </w:r>
    </w:p>
    <w:p w14:paraId="0B800C6B">
      <w:pPr>
        <w:pStyle w:val="22"/>
        <w:shd w:val="clear"/>
        <w:spacing w:before="73" w:after="73" w:line="320" w:lineRule="exact"/>
        <w:rPr>
          <w:rFonts w:hint="default"/>
          <w:color w:val="000000" w:themeColor="text1"/>
          <w:sz w:val="21"/>
          <w:highlight w:val="none"/>
          <w14:textFill>
            <w14:solidFill>
              <w14:schemeClr w14:val="tx1"/>
            </w14:solidFill>
          </w14:textFill>
        </w:rPr>
      </w:pPr>
      <w:r>
        <w:rPr>
          <w:color w:val="000000" w:themeColor="text1"/>
          <w:sz w:val="21"/>
          <w:highlight w:val="none"/>
          <w14:textFill>
            <w14:solidFill>
              <w14:schemeClr w14:val="tx1"/>
            </w14:solidFill>
          </w14:textFill>
        </w:rPr>
        <w:t>（2）我单位没有为采购项目提供整体设计、规范编制或者项目管理、监理、检测等服务。</w:t>
      </w:r>
    </w:p>
    <w:p w14:paraId="267762BC">
      <w:pPr>
        <w:pStyle w:val="22"/>
        <w:shd w:val="clear"/>
        <w:spacing w:before="73" w:after="73" w:line="320" w:lineRule="exact"/>
        <w:rPr>
          <w:rFonts w:hint="default"/>
          <w:color w:val="000000" w:themeColor="text1"/>
          <w:sz w:val="21"/>
          <w:highlight w:val="none"/>
          <w14:textFill>
            <w14:solidFill>
              <w14:schemeClr w14:val="tx1"/>
            </w14:solidFill>
          </w14:textFill>
        </w:rPr>
      </w:pPr>
      <w:r>
        <w:rPr>
          <w:color w:val="000000" w:themeColor="text1"/>
          <w:sz w:val="21"/>
          <w:highlight w:val="none"/>
          <w14:textFill>
            <w14:solidFill>
              <w14:schemeClr w14:val="tx1"/>
            </w14:solidFill>
          </w14:textFill>
        </w:rPr>
        <w:t>（3）我单位未被列入失信被执行人、重大税收违法失信主体、政府采购严重违法失信行为记录名单中。</w:t>
      </w:r>
    </w:p>
    <w:p w14:paraId="065CEAF1">
      <w:pPr>
        <w:pStyle w:val="50"/>
        <w:shd w:val="clear"/>
        <w:rPr>
          <w:rFonts w:ascii="宋体" w:hAnsi="宋体"/>
          <w:color w:val="000000" w:themeColor="text1"/>
          <w:szCs w:val="21"/>
          <w:highlight w:val="none"/>
          <w14:textFill>
            <w14:solidFill>
              <w14:schemeClr w14:val="tx1"/>
            </w14:solidFill>
          </w14:textFill>
        </w:rPr>
      </w:pPr>
    </w:p>
    <w:p w14:paraId="45360250">
      <w:pPr>
        <w:shd w:val="clea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声明人：（公章）</w:t>
      </w:r>
    </w:p>
    <w:p w14:paraId="1E9F8A74">
      <w:pPr>
        <w:shd w:val="clear"/>
        <w:spacing w:line="46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日期：______年月日</w:t>
      </w:r>
    </w:p>
    <w:p w14:paraId="6AE4B562">
      <w:pPr>
        <w:pStyle w:val="53"/>
        <w:widowControl/>
        <w:shd w:val="clear"/>
        <w:ind w:left="0"/>
        <w:outlineLvl w:val="9"/>
        <w:rPr>
          <w:rFonts w:hint="default" w:cs="宋体"/>
          <w:color w:val="000000" w:themeColor="text1"/>
          <w:highlight w:val="none"/>
          <w14:textFill>
            <w14:solidFill>
              <w14:schemeClr w14:val="tx1"/>
            </w14:solidFill>
          </w14:textFill>
        </w:rPr>
      </w:pPr>
    </w:p>
    <w:sectPr>
      <w:pgSz w:w="11906" w:h="16838"/>
      <w:pgMar w:top="850" w:right="850" w:bottom="850" w:left="1417" w:header="850" w:footer="992" w:gutter="0"/>
      <w:paperSrc/>
      <w:cols w:space="0" w:num="1"/>
      <w:rtlGutter w:val="0"/>
      <w:docGrid w:type="lines" w:linePitch="31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9262B6C6-7A1E-4F2E-A301-B01FBA9E11D4}"/>
  </w:font>
  <w:font w:name="黑体">
    <w:panose1 w:val="02010609060101010101"/>
    <w:charset w:val="86"/>
    <w:family w:val="auto"/>
    <w:pitch w:val="default"/>
    <w:sig w:usb0="800002BF" w:usb1="38CF7CFA" w:usb2="00000016" w:usb3="00000000" w:csb0="00040001" w:csb1="00000000"/>
    <w:embedRegular r:id="rId2" w:fontKey="{600D54FC-C978-480F-B1E8-56B15CE4A21D}"/>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仿宋_GB2312">
    <w:panose1 w:val="02010609030101010101"/>
    <w:charset w:val="86"/>
    <w:family w:val="modern"/>
    <w:pitch w:val="default"/>
    <w:sig w:usb0="00000001" w:usb1="080E0000" w:usb2="00000000" w:usb3="00000000" w:csb0="00040000" w:csb1="00000000"/>
    <w:embedRegular r:id="rId3" w:fontKey="{E3ED5358-AFA8-42BB-B599-53AA28448B69}"/>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Cambria">
    <w:panose1 w:val="02040503050406030204"/>
    <w:charset w:val="00"/>
    <w:family w:val="roman"/>
    <w:pitch w:val="default"/>
    <w:sig w:usb0="E00006FF" w:usb1="420024FF" w:usb2="02000000" w:usb3="00000000" w:csb0="2000019F" w:csb1="00000000"/>
  </w:font>
  <w:font w:name="??">
    <w:altName w:val="Times New Roman"/>
    <w:panose1 w:val="00000000000000000000"/>
    <w:charset w:val="00"/>
    <w:family w:val="roman"/>
    <w:pitch w:val="default"/>
    <w:sig w:usb0="00000000" w:usb1="00000000" w:usb2="00000000" w:usb3="00000000" w:csb0="00000000" w:csb1="00000000"/>
  </w:font>
  <w:font w:name="Arial Unicode MS">
    <w:altName w:val="宋体"/>
    <w:panose1 w:val="020B0604020202020204"/>
    <w:charset w:val="86"/>
    <w:family w:val="swiss"/>
    <w:pitch w:val="default"/>
    <w:sig w:usb0="00000000" w:usb1="00000000" w:usb2="0000003F" w:usb3="00000000" w:csb0="603F01FF" w:csb1="FFFF0000"/>
  </w:font>
  <w:font w:name="仿宋">
    <w:panose1 w:val="02010609060101010101"/>
    <w:charset w:val="86"/>
    <w:family w:val="auto"/>
    <w:pitch w:val="default"/>
    <w:sig w:usb0="800002BF" w:usb1="38CF7CFA" w:usb2="00000016" w:usb3="00000000" w:csb0="00040001" w:csb1="00000000"/>
  </w:font>
  <w:font w:name="KNLe">
    <w:altName w:val="Times New Roman"/>
    <w:panose1 w:val="00000000000000000000"/>
    <w:charset w:val="00"/>
    <w:family w:val="roman"/>
    <w:pitch w:val="default"/>
    <w:sig w:usb0="00000000" w:usb1="00000000" w:usb2="00000000" w:usb3="00000000" w:csb0="00000001" w:csb1="00000000"/>
  </w:font>
  <w:font w:name="微软雅黑">
    <w:panose1 w:val="020B0503020204020204"/>
    <w:charset w:val="86"/>
    <w:family w:val="auto"/>
    <w:pitch w:val="default"/>
    <w:sig w:usb0="80000287" w:usb1="2ACF3C50" w:usb2="00000016" w:usb3="00000000" w:csb0="0004001F" w:csb1="00000000"/>
    <w:embedRegular r:id="rId4" w:fontKey="{42766377-859C-4FAF-A4D1-9757C598158D}"/>
  </w:font>
  <w:font w:name="华文中宋">
    <w:panose1 w:val="02010600040101010101"/>
    <w:charset w:val="86"/>
    <w:family w:val="auto"/>
    <w:pitch w:val="default"/>
    <w:sig w:usb0="00000287" w:usb1="080F0000" w:usb2="00000000" w:usb3="00000000" w:csb0="0004009F" w:csb1="DFD70000"/>
    <w:embedRegular r:id="rId5" w:fontKey="{9ACE3FDE-5F1D-4842-9A3C-1569C4C11093}"/>
  </w:font>
  <w:font w:name="方正仿宋_GBK">
    <w:panose1 w:val="02000000000000000000"/>
    <w:charset w:val="86"/>
    <w:family w:val="script"/>
    <w:pitch w:val="default"/>
    <w:sig w:usb0="A00002BF" w:usb1="38CF7CFA" w:usb2="00082016" w:usb3="00000000" w:csb0="00040001" w:csb1="00000000"/>
    <w:embedRegular r:id="rId6" w:fontKey="{C384648F-E4F1-4475-A367-1F2B54B3737F}"/>
  </w:font>
  <w:font w:name="WPSEMBED1">
    <w:panose1 w:val="02010609030101010101"/>
    <w:charset w:val="86"/>
    <w:family w:val="auto"/>
    <w:pitch w:val="default"/>
    <w:sig w:usb0="00000001" w:usb1="080E0000" w:usb2="00000000" w:usb3="00000000" w:csb0="00040000" w:csb1="00000000"/>
  </w:font>
  <w:font w:name="WPSEMBED2">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B051CF">
    <w:pPr>
      <w:pStyle w:val="1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-95250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5E3F2722">
                          <w:pPr>
                            <w:pStyle w:val="17"/>
                          </w:pPr>
                          <w:r>
                            <w:t xml:space="preserve">第 </w:t>
                          </w:r>
                          <w:r>
                            <w:fldChar w:fldCharType="begin"/>
                          </w:r>
                          <w:r>
                            <w:instrText xml:space="preserve"> PAGE  \* MERGEFORMAT </w:instrText>
                          </w:r>
                          <w:r>
                            <w:fldChar w:fldCharType="separate"/>
                          </w:r>
                          <w:r>
                            <w:t>18</w:t>
                          </w:r>
                          <w:r>
                            <w:fldChar w:fldCharType="end"/>
                          </w:r>
                          <w:r>
                            <w:t xml:space="preserve"> 页 共 </w:t>
                          </w:r>
                          <w:r>
                            <w:fldChar w:fldCharType="begin"/>
                          </w:r>
                          <w:r>
                            <w:instrText xml:space="preserve"> NUMPAGES  \* MERGEFORMAT </w:instrText>
                          </w:r>
                          <w:r>
                            <w:fldChar w:fldCharType="separate"/>
                          </w:r>
                          <w:r>
                            <w:t>58</w:t>
                          </w:r>
                          <w:r>
                            <w:fldChar w:fldCharType="end"/>
                          </w:r>
                          <w:r>
                            <w:t xml:space="preserve"> 页</w:t>
                          </w:r>
                        </w:p>
                      </w:txbxContent>
                    </wps:txbx>
                    <wps:bodyPr wrap="none" lIns="0" tIns="0" rIns="0" bIns="0">
                      <a:spAutoFit/>
                    </wps:bodyPr>
                  </wps:wsp>
                </a:graphicData>
              </a:graphic>
            </wp:anchor>
          </w:drawing>
        </mc:Choice>
        <mc:Fallback>
          <w:pict>
            <v:shape id="_x0000_s1026" o:spid="_x0000_s1026" o:spt="202" type="#_x0000_t202" style="position:absolute;left:0pt;margin-top:-7.5pt;height:144pt;width:144pt;mso-position-horizontal:center;mso-position-horizontal-relative:margin;mso-wrap-style:none;z-index:251659264;mso-width-relative:page;mso-height-relative:page;" filled="f" stroked="f" coordsize="21600,21600" o:gfxdata="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C00NFb1wAAAAgBAAAPAAAAAAAAAAEAIAAAACIAAABkcnMv&#10;ZG93bnJldi54bWxQSwECFAAUAAAACACHTuJAVpfaJssBAACXAwAADgAAAAAAAAABACAAAAAmAQAA&#10;ZHJzL2Uyb0RvYy54bWxQSwUGAAAAAAYABgBZAQAAYwUAAAAA&#10;">
              <v:fill on="f" focussize="0,0"/>
              <v:stroke on="f" weight="1.25pt"/>
              <v:imagedata o:title=""/>
              <o:lock v:ext="edit" aspectratio="f"/>
              <v:textbox inset="0mm,0mm,0mm,0mm" style="mso-fit-shape-to-text:t;">
                <w:txbxContent>
                  <w:p w14:paraId="5E3F2722">
                    <w:pPr>
                      <w:pStyle w:val="17"/>
                    </w:pPr>
                    <w:r>
                      <w:t xml:space="preserve">第 </w:t>
                    </w:r>
                    <w:r>
                      <w:fldChar w:fldCharType="begin"/>
                    </w:r>
                    <w:r>
                      <w:instrText xml:space="preserve"> PAGE  \* MERGEFORMAT </w:instrText>
                    </w:r>
                    <w:r>
                      <w:fldChar w:fldCharType="separate"/>
                    </w:r>
                    <w:r>
                      <w:t>18</w:t>
                    </w:r>
                    <w:r>
                      <w:fldChar w:fldCharType="end"/>
                    </w:r>
                    <w:r>
                      <w:t xml:space="preserve"> 页 共 </w:t>
                    </w:r>
                    <w:r>
                      <w:fldChar w:fldCharType="begin"/>
                    </w:r>
                    <w:r>
                      <w:instrText xml:space="preserve"> NUMPAGES  \* MERGEFORMAT </w:instrText>
                    </w:r>
                    <w:r>
                      <w:fldChar w:fldCharType="separate"/>
                    </w:r>
                    <w:r>
                      <w:t>58</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7017EB">
    <w:pPr>
      <w:pStyle w:val="17"/>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-95250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69286EDA">
                          <w:pPr>
                            <w:pStyle w:val="1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58</w:t>
                          </w:r>
                          <w:r>
                            <w:fldChar w:fldCharType="end"/>
                          </w:r>
                          <w:r>
                            <w:t xml:space="preserve"> 页</w:t>
                          </w:r>
                        </w:p>
                      </w:txbxContent>
                    </wps:txbx>
                    <wps:bodyPr wrap="none" lIns="0" tIns="0" rIns="0" bIns="0">
                      <a:spAutoFit/>
                    </wps:bodyPr>
                  </wps:wsp>
                </a:graphicData>
              </a:graphic>
            </wp:anchor>
          </w:drawing>
        </mc:Choice>
        <mc:Fallback>
          <w:pict>
            <v:shape id="_x0000_s1026" o:spid="_x0000_s1026" o:spt="202" type="#_x0000_t202" style="position:absolute;left:0pt;margin-top:-7.5pt;height:144pt;width:144pt;mso-position-horizontal:center;mso-position-horizontal-relative:margin;mso-wrap-style:none;z-index:251660288;mso-width-relative:page;mso-height-relative:page;" filled="f" stroked="f" coordsize="21600,21600" o:gfxdata="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C00NFb1wAAAAgBAAAPAAAAAAAAAAEAIAAAACIAAABkcnMv&#10;ZG93bnJldi54bWxQSwECFAAUAAAACACHTuJAYaN7JMsBAACXAwAADgAAAAAAAAABACAAAAAmAQAA&#10;ZHJzL2Uyb0RvYy54bWxQSwUGAAAAAAYABgBZAQAAYwUAAAAA&#10;">
              <v:fill on="f" focussize="0,0"/>
              <v:stroke on="f" weight="1.25pt"/>
              <v:imagedata o:title=""/>
              <o:lock v:ext="edit" aspectratio="f"/>
              <v:textbox inset="0mm,0mm,0mm,0mm" style="mso-fit-shape-to-text:t;">
                <w:txbxContent>
                  <w:p w14:paraId="69286EDA">
                    <w:pPr>
                      <w:pStyle w:val="1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58</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593372">
    <w:pPr>
      <w:pStyle w:val="17"/>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86435" cy="147955"/>
              <wp:effectExtent l="0" t="0" r="0" b="0"/>
              <wp:wrapNone/>
              <wp:docPr id="6" name="文本框 1"/>
              <wp:cNvGraphicFramePr/>
              <a:graphic xmlns:a="http://schemas.openxmlformats.org/drawingml/2006/main">
                <a:graphicData uri="http://schemas.microsoft.com/office/word/2010/wordprocessingShape">
                  <wps:wsp>
                    <wps:cNvSpPr txBox="1"/>
                    <wps:spPr>
                      <a:xfrm>
                        <a:off x="0" y="0"/>
                        <a:ext cx="686435" cy="147955"/>
                      </a:xfrm>
                      <a:prstGeom prst="rect">
                        <a:avLst/>
                      </a:prstGeom>
                      <a:noFill/>
                      <a:ln>
                        <a:noFill/>
                      </a:ln>
                    </wps:spPr>
                    <wps:txbx>
                      <w:txbxContent>
                        <w:p w14:paraId="33A4151B">
                          <w:pPr>
                            <w:pStyle w:val="17"/>
                          </w:pPr>
                          <w:r>
                            <w:t xml:space="preserve">第 </w:t>
                          </w:r>
                          <w:r>
                            <w:fldChar w:fldCharType="begin"/>
                          </w:r>
                          <w:r>
                            <w:instrText xml:space="preserve"> PAGE  \* MERGEFORMAT </w:instrText>
                          </w:r>
                          <w:r>
                            <w:fldChar w:fldCharType="separate"/>
                          </w:r>
                          <w:r>
                            <w:t>27</w:t>
                          </w:r>
                          <w:r>
                            <w:fldChar w:fldCharType="end"/>
                          </w:r>
                          <w:r>
                            <w:t xml:space="preserve"> 页 共 </w:t>
                          </w:r>
                          <w:r>
                            <w:fldChar w:fldCharType="begin"/>
                          </w:r>
                          <w:r>
                            <w:instrText xml:space="preserve"> NUMPAGES  \* MERGEFORMAT </w:instrText>
                          </w:r>
                          <w:r>
                            <w:fldChar w:fldCharType="separate"/>
                          </w:r>
                          <w:r>
                            <w:t>167</w:t>
                          </w:r>
                          <w:r>
                            <w:fldChar w:fldCharType="end"/>
                          </w:r>
                          <w:r>
                            <w:t xml:space="preserve"> 页</w:t>
                          </w:r>
                        </w:p>
                      </w:txbxContent>
                    </wps:txbx>
                    <wps:bodyPr wrap="none" lIns="0" tIns="0" rIns="0" bIns="0" upright="1">
                      <a:spAutoFit/>
                    </wps:bodyPr>
                  </wps:wsp>
                </a:graphicData>
              </a:graphic>
            </wp:anchor>
          </w:drawing>
        </mc:Choice>
        <mc:Fallback>
          <w:pict>
            <v:shape id="文本框 1" o:spid="_x0000_s1026" o:spt="202" type="#_x0000_t202" style="position:absolute;left:0pt;margin-top:0pt;height:11.65pt;width:54.05pt;mso-position-horizontal:center;mso-position-horizontal-relative:margin;mso-wrap-style:none;z-index:251660288;mso-width-relative:page;mso-height-relative:page;" filled="f" stroked="f" coordsize="21600,21600" o:gfxdata="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">
              <v:fill on="f" focussize="0,0"/>
              <v:stroke on="f"/>
              <v:imagedata o:title=""/>
              <o:lock v:ext="edit" aspectratio="f"/>
              <v:textbox inset="0mm,0mm,0mm,0mm" style="mso-fit-shape-to-text:t;">
                <w:txbxContent>
                  <w:p w14:paraId="33A4151B">
                    <w:pPr>
                      <w:pStyle w:val="17"/>
                    </w:pPr>
                    <w:r>
                      <w:t xml:space="preserve">第 </w:t>
                    </w:r>
                    <w:r>
                      <w:fldChar w:fldCharType="begin"/>
                    </w:r>
                    <w:r>
                      <w:instrText xml:space="preserve"> PAGE  \* MERGEFORMAT </w:instrText>
                    </w:r>
                    <w:r>
                      <w:fldChar w:fldCharType="separate"/>
                    </w:r>
                    <w:r>
                      <w:t>27</w:t>
                    </w:r>
                    <w:r>
                      <w:fldChar w:fldCharType="end"/>
                    </w:r>
                    <w:r>
                      <w:t xml:space="preserve"> 页 共 </w:t>
                    </w:r>
                    <w:r>
                      <w:fldChar w:fldCharType="begin"/>
                    </w:r>
                    <w:r>
                      <w:instrText xml:space="preserve"> NUMPAGES  \* MERGEFORMAT </w:instrText>
                    </w:r>
                    <w:r>
                      <w:fldChar w:fldCharType="separate"/>
                    </w:r>
                    <w:r>
                      <w:t>167</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FE7459">
    <w:pPr>
      <w:pStyle w:val="17"/>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686435" cy="147955"/>
              <wp:effectExtent l="0" t="0" r="0" b="0"/>
              <wp:wrapNone/>
              <wp:docPr id="1979938003" name="文本框 1"/>
              <wp:cNvGraphicFramePr/>
              <a:graphic xmlns:a="http://schemas.openxmlformats.org/drawingml/2006/main">
                <a:graphicData uri="http://schemas.microsoft.com/office/word/2010/wordprocessingShape">
                  <wps:wsp>
                    <wps:cNvSpPr txBox="1"/>
                    <wps:spPr>
                      <a:xfrm>
                        <a:off x="0" y="0"/>
                        <a:ext cx="686435" cy="147955"/>
                      </a:xfrm>
                      <a:prstGeom prst="rect">
                        <a:avLst/>
                      </a:prstGeom>
                      <a:noFill/>
                      <a:ln>
                        <a:noFill/>
                      </a:ln>
                    </wps:spPr>
                    <wps:txbx>
                      <w:txbxContent>
                        <w:p w14:paraId="677CECC1">
                          <w:pPr>
                            <w:pStyle w:val="17"/>
                          </w:pPr>
                          <w:r>
                            <w:t xml:space="preserve">第 </w:t>
                          </w:r>
                          <w:r>
                            <w:fldChar w:fldCharType="begin"/>
                          </w:r>
                          <w:r>
                            <w:instrText xml:space="preserve"> PAGE  \* MERGEFORMAT </w:instrText>
                          </w:r>
                          <w:r>
                            <w:fldChar w:fldCharType="separate"/>
                          </w:r>
                          <w:r>
                            <w:t>146</w:t>
                          </w:r>
                          <w:r>
                            <w:fldChar w:fldCharType="end"/>
                          </w:r>
                          <w:r>
                            <w:t xml:space="preserve"> 页 共 </w:t>
                          </w:r>
                          <w:r>
                            <w:fldChar w:fldCharType="begin"/>
                          </w:r>
                          <w:r>
                            <w:instrText xml:space="preserve"> NUMPAGES  \* MERGEFORMAT </w:instrText>
                          </w:r>
                          <w:r>
                            <w:fldChar w:fldCharType="separate"/>
                          </w:r>
                          <w:r>
                            <w:t>167</w:t>
                          </w:r>
                          <w:r>
                            <w:fldChar w:fldCharType="end"/>
                          </w:r>
                          <w:r>
                            <w:t xml:space="preserve"> 页</w:t>
                          </w:r>
                        </w:p>
                      </w:txbxContent>
                    </wps:txbx>
                    <wps:bodyPr wrap="none" lIns="0" tIns="0" rIns="0" bIns="0" upright="1">
                      <a:spAutoFit/>
                    </wps:bodyPr>
                  </wps:wsp>
                </a:graphicData>
              </a:graphic>
            </wp:anchor>
          </w:drawing>
        </mc:Choice>
        <mc:Fallback>
          <w:pict>
            <v:shape id="文本框 1" o:spid="_x0000_s1026" o:spt="202" type="#_x0000_t202" style="position:absolute;left:0pt;margin-top:0pt;height:11.65pt;width:54.05pt;mso-position-horizontal:center;mso-position-horizontal-relative:margin;mso-wrap-style:none;z-index:251661312;mso-width-relative:page;mso-height-relative:page;" filled="f" stroked="f" coordsize="21600,21600" o:gfxdata="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A7JvOvRAAAABAEAAA8AAAAAAAAAAQAgAAAAIgAA&#10;AGRycy9kb3ducmV2LnhtbFBLAQIUABQAAAAIAIdO4kDY8aW81gEAAKADAAAOAAAAAAAAAAEAIAAA&#10;ACABAABkcnMvZTJvRG9jLnhtbFBLBQYAAAAABgAGAFkBAABoBQAAAAA=&#10;">
              <v:fill on="f" focussize="0,0"/>
              <v:stroke on="f"/>
              <v:imagedata o:title=""/>
              <o:lock v:ext="edit" aspectratio="f"/>
              <v:textbox inset="0mm,0mm,0mm,0mm" style="mso-fit-shape-to-text:t;">
                <w:txbxContent>
                  <w:p w14:paraId="677CECC1">
                    <w:pPr>
                      <w:pStyle w:val="17"/>
                    </w:pPr>
                    <w:r>
                      <w:t xml:space="preserve">第 </w:t>
                    </w:r>
                    <w:r>
                      <w:fldChar w:fldCharType="begin"/>
                    </w:r>
                    <w:r>
                      <w:instrText xml:space="preserve"> PAGE  \* MERGEFORMAT </w:instrText>
                    </w:r>
                    <w:r>
                      <w:fldChar w:fldCharType="separate"/>
                    </w:r>
                    <w:r>
                      <w:t>146</w:t>
                    </w:r>
                    <w:r>
                      <w:fldChar w:fldCharType="end"/>
                    </w:r>
                    <w:r>
                      <w:t xml:space="preserve"> 页 共 </w:t>
                    </w:r>
                    <w:r>
                      <w:fldChar w:fldCharType="begin"/>
                    </w:r>
                    <w:r>
                      <w:instrText xml:space="preserve"> NUMPAGES  \* MERGEFORMAT </w:instrText>
                    </w:r>
                    <w:r>
                      <w:fldChar w:fldCharType="separate"/>
                    </w:r>
                    <w:r>
                      <w:t>167</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610CB8">
    <w:pPr>
      <w:pStyle w:val="17"/>
      <w:jc w:val="center"/>
      <w:rPr>
        <w:rFonts w:ascii="宋体" w:hAnsi="宋体"/>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-95250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8B1D8EE">
                          <w:pPr>
                            <w:pStyle w:val="17"/>
                          </w:pPr>
                          <w:r>
                            <w:t xml:space="preserve">第 </w:t>
                          </w:r>
                          <w:r>
                            <w:fldChar w:fldCharType="begin"/>
                          </w:r>
                          <w:r>
                            <w:instrText xml:space="preserve"> PAGE  \* MERGEFORMAT </w:instrText>
                          </w:r>
                          <w:r>
                            <w:fldChar w:fldCharType="separate"/>
                          </w:r>
                          <w:r>
                            <w:t>48</w:t>
                          </w:r>
                          <w:r>
                            <w:fldChar w:fldCharType="end"/>
                          </w:r>
                          <w:r>
                            <w:t xml:space="preserve"> 页 共 </w:t>
                          </w:r>
                          <w:r>
                            <w:fldChar w:fldCharType="begin"/>
                          </w:r>
                          <w:r>
                            <w:instrText xml:space="preserve"> NUMPAGES  \* MERGEFORMAT </w:instrText>
                          </w:r>
                          <w:r>
                            <w:fldChar w:fldCharType="separate"/>
                          </w:r>
                          <w:r>
                            <w:t>58</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7.5pt;height:144pt;width:144pt;mso-position-horizontal:center;mso-position-horizontal-relative:margin;mso-wrap-style:none;z-index:251660288;mso-width-relative:page;mso-height-relative:page;" filled="f" stroked="f" coordsize="21600,21600" o:gfxdata="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CoFY8p1QAAAAgBAAAPAAAAAAAAAAEAIAAAACIAAABkcnMvZG93bnJldi54bWxQSwECFAAUAAAA&#10;CACHTuJAjNcOfCoCAABVBAAADgAAAAAAAAABACAAAAAkAQAAZHJzL2Uyb0RvYy54bWxQSwUGAAAA&#10;AAYABgBZAQAAwAUAAAAA&#10;">
              <v:fill on="f" focussize="0,0"/>
              <v:stroke on="f" weight="0.5pt"/>
              <v:imagedata o:title=""/>
              <o:lock v:ext="edit" aspectratio="f"/>
              <v:textbox inset="0mm,0mm,0mm,0mm" style="mso-fit-shape-to-text:t;">
                <w:txbxContent>
                  <w:p w14:paraId="58B1D8EE">
                    <w:pPr>
                      <w:pStyle w:val="17"/>
                    </w:pPr>
                    <w:r>
                      <w:t xml:space="preserve">第 </w:t>
                    </w:r>
                    <w:r>
                      <w:fldChar w:fldCharType="begin"/>
                    </w:r>
                    <w:r>
                      <w:instrText xml:space="preserve"> PAGE  \* MERGEFORMAT </w:instrText>
                    </w:r>
                    <w:r>
                      <w:fldChar w:fldCharType="separate"/>
                    </w:r>
                    <w:r>
                      <w:t>48</w:t>
                    </w:r>
                    <w:r>
                      <w:fldChar w:fldCharType="end"/>
                    </w:r>
                    <w:r>
                      <w:t xml:space="preserve"> 页 共 </w:t>
                    </w:r>
                    <w:r>
                      <w:fldChar w:fldCharType="begin"/>
                    </w:r>
                    <w:r>
                      <w:instrText xml:space="preserve"> NUMPAGES  \* MERGEFORMAT </w:instrText>
                    </w:r>
                    <w:r>
                      <w:fldChar w:fldCharType="separate"/>
                    </w:r>
                    <w:r>
                      <w:t>58</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22BDCD">
    <w:pPr>
      <w:pStyle w:val="18"/>
      <w:tabs>
        <w:tab w:val="left" w:pos="600"/>
      </w:tabs>
      <w:jc w:val="left"/>
    </w:pPr>
    <w:r>
      <w:drawing>
        <wp:inline distT="0" distB="0" distL="114300" distR="114300">
          <wp:extent cx="1377315" cy="386715"/>
          <wp:effectExtent l="0" t="0" r="13335" b="13335"/>
          <wp:docPr id="5" name="图片 5" descr="c826bae80687e3a7b3b8bc24373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c826bae80687e3a7b3b8bc243736336"/>
                  <pic:cNvPicPr>
                    <a:picLocks noChangeAspect="1"/>
                  </pic:cNvPicPr>
                </pic:nvPicPr>
                <pic:blipFill>
                  <a:blip r:embed="rId1"/>
                  <a:stretch>
                    <a:fillRect/>
                  </a:stretch>
                </pic:blipFill>
                <pic:spPr>
                  <a:xfrm>
                    <a:off x="0" y="0"/>
                    <a:ext cx="1377315" cy="386715"/>
                  </a:xfrm>
                  <a:prstGeom prst="rect">
                    <a:avLst/>
                  </a:prstGeom>
                  <a:noFill/>
                  <a:ln>
                    <a:noFill/>
                  </a:ln>
                </pic:spPr>
              </pic:pic>
            </a:graphicData>
          </a:graphic>
        </wp:inline>
      </w:drawing>
    </w:r>
    <w:r>
      <w:rPr>
        <w:rFonts w:hint="eastAsia" w:ascii="微软雅黑" w:hAnsi="微软雅黑" w:eastAsia="微软雅黑"/>
        <w:b/>
        <w:bCs/>
        <w:sz w:val="21"/>
        <w:szCs w:val="21"/>
      </w:rPr>
      <w:t xml:space="preserve"> </w:t>
    </w:r>
    <w:r>
      <w:rPr>
        <w:rFonts w:ascii="微软雅黑" w:hAnsi="微软雅黑" w:eastAsia="微软雅黑"/>
        <w:b/>
        <w:bCs/>
        <w:sz w:val="21"/>
        <w:szCs w:val="21"/>
      </w:rPr>
      <w:t xml:space="preserve">                                     </w:t>
    </w:r>
    <w:r>
      <w:rPr>
        <w:rFonts w:hint="eastAsia" w:ascii="微软雅黑" w:hAnsi="微软雅黑" w:eastAsia="微软雅黑"/>
        <w:b/>
        <w:bCs/>
        <w:sz w:val="21"/>
        <w:szCs w:val="21"/>
        <w:lang w:val="en-US" w:eastAsia="zh-CN"/>
      </w:rPr>
      <w:t xml:space="preserve">         </w:t>
    </w:r>
    <w:r>
      <w:rPr>
        <w:rFonts w:ascii="微软雅黑" w:hAnsi="微软雅黑" w:eastAsia="微软雅黑"/>
        <w:b/>
        <w:bCs/>
        <w:sz w:val="21"/>
        <w:szCs w:val="21"/>
      </w:rPr>
      <w:t xml:space="preserve">     </w:t>
    </w:r>
    <w:r>
      <w:rPr>
        <w:rFonts w:hint="eastAsia" w:ascii="微软雅黑" w:hAnsi="微软雅黑" w:eastAsia="微软雅黑"/>
        <w:b/>
        <w:bCs/>
        <w:sz w:val="21"/>
        <w:szCs w:val="21"/>
      </w:rPr>
      <w:t>认真 高效 廉洁</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D47370">
    <w:pPr>
      <w:pStyle w:val="18"/>
      <w:tabs>
        <w:tab w:val="left" w:pos="600"/>
      </w:tabs>
      <w:jc w:val="left"/>
    </w:pPr>
  </w:p>
  <w:p w14:paraId="6535106D">
    <w:pPr>
      <w:pStyle w:val="18"/>
      <w:tabs>
        <w:tab w:val="left" w:pos="600"/>
      </w:tabs>
      <w:jc w:val="left"/>
    </w:pPr>
    <w:r>
      <w:drawing>
        <wp:inline distT="0" distB="0" distL="114300" distR="114300">
          <wp:extent cx="1377315" cy="386715"/>
          <wp:effectExtent l="0" t="0" r="13335" b="13335"/>
          <wp:docPr id="7" name="图片 7" descr="c826bae80687e3a7b3b8bc24373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c826bae80687e3a7b3b8bc243736336"/>
                  <pic:cNvPicPr>
                    <a:picLocks noChangeAspect="1"/>
                  </pic:cNvPicPr>
                </pic:nvPicPr>
                <pic:blipFill>
                  <a:blip r:embed="rId1"/>
                  <a:stretch>
                    <a:fillRect/>
                  </a:stretch>
                </pic:blipFill>
                <pic:spPr>
                  <a:xfrm>
                    <a:off x="0" y="0"/>
                    <a:ext cx="1377315" cy="386715"/>
                  </a:xfrm>
                  <a:prstGeom prst="rect">
                    <a:avLst/>
                  </a:prstGeom>
                  <a:noFill/>
                  <a:ln>
                    <a:noFill/>
                  </a:ln>
                </pic:spPr>
              </pic:pic>
            </a:graphicData>
          </a:graphic>
        </wp:inline>
      </w:drawing>
    </w:r>
    <w:r>
      <w:rPr>
        <w:rFonts w:hint="eastAsia" w:ascii="微软雅黑" w:hAnsi="微软雅黑" w:eastAsia="微软雅黑"/>
        <w:b/>
        <w:bCs/>
        <w:sz w:val="21"/>
        <w:szCs w:val="21"/>
      </w:rPr>
      <w:t xml:space="preserve"> </w:t>
    </w:r>
    <w:r>
      <w:rPr>
        <w:rFonts w:ascii="微软雅黑" w:hAnsi="微软雅黑" w:eastAsia="微软雅黑"/>
        <w:b/>
        <w:bCs/>
        <w:sz w:val="21"/>
        <w:szCs w:val="21"/>
      </w:rPr>
      <w:t xml:space="preserve">                                          </w:t>
    </w:r>
    <w:r>
      <w:rPr>
        <w:rFonts w:hint="eastAsia" w:ascii="微软雅黑" w:hAnsi="微软雅黑" w:eastAsia="微软雅黑"/>
        <w:b/>
        <w:bCs/>
        <w:sz w:val="21"/>
        <w:szCs w:val="21"/>
      </w:rPr>
      <w:t>认真 高效 廉洁</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ADB86E"/>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823756"/>
    <w:multiLevelType w:val="singleLevel"/>
    <w:tmpl w:val="8E823756"/>
    <w:lvl w:ilvl="0" w:tentative="0">
      <w:start w:val="1"/>
      <w:numFmt w:val="decimal"/>
      <w:lvlText w:val="%1."/>
      <w:lvlJc w:val="left"/>
      <w:pPr>
        <w:tabs>
          <w:tab w:val="left" w:pos="312"/>
        </w:tabs>
      </w:pPr>
    </w:lvl>
  </w:abstractNum>
  <w:abstractNum w:abstractNumId="1">
    <w:nsid w:val="BC0F499E"/>
    <w:multiLevelType w:val="singleLevel"/>
    <w:tmpl w:val="BC0F499E"/>
    <w:lvl w:ilvl="0" w:tentative="0">
      <w:start w:val="1"/>
      <w:numFmt w:val="chineseCounting"/>
      <w:suff w:val="nothing"/>
      <w:lvlText w:val="%1、"/>
      <w:lvlJc w:val="left"/>
      <w:rPr>
        <w:rFonts w:hint="eastAsia" w:cs="Times New Roman"/>
      </w:rPr>
    </w:lvl>
  </w:abstractNum>
  <w:abstractNum w:abstractNumId="2">
    <w:nsid w:val="00000006"/>
    <w:multiLevelType w:val="multilevel"/>
    <w:tmpl w:val="00000006"/>
    <w:lvl w:ilvl="0" w:tentative="0">
      <w:start w:val="1"/>
      <w:numFmt w:val="chineseCountingThousand"/>
      <w:suff w:val="nothing"/>
      <w:lvlText w:val="第%1章"/>
      <w:lvlJc w:val="left"/>
      <w:pPr>
        <w:ind w:left="0" w:firstLine="0"/>
      </w:pPr>
    </w:lvl>
    <w:lvl w:ilvl="1" w:tentative="0">
      <w:start w:val="1"/>
      <w:numFmt w:val="none"/>
      <w:suff w:val="nothing"/>
      <w:lvlText w:val=""/>
      <w:lvlJc w:val="left"/>
      <w:pPr>
        <w:ind w:left="0" w:firstLine="0"/>
      </w:pPr>
    </w:lvl>
    <w:lvl w:ilvl="2" w:tentative="0">
      <w:start w:val="1"/>
      <w:numFmt w:val="none"/>
      <w:suff w:val="nothing"/>
      <w:lvlText w:val=""/>
      <w:lvlJc w:val="left"/>
      <w:pPr>
        <w:ind w:left="0" w:firstLine="0"/>
      </w:pPr>
    </w:lvl>
    <w:lvl w:ilvl="3" w:tentative="0">
      <w:start w:val="1"/>
      <w:numFmt w:val="none"/>
      <w:suff w:val="nothing"/>
      <w:lvlText w:val=""/>
      <w:lvlJc w:val="left"/>
      <w:pPr>
        <w:ind w:left="0" w:firstLine="0"/>
      </w:pPr>
    </w:lvl>
    <w:lvl w:ilvl="4" w:tentative="0">
      <w:start w:val="1"/>
      <w:numFmt w:val="none"/>
      <w:suff w:val="nothing"/>
      <w:lvlText w:val=""/>
      <w:lvlJc w:val="left"/>
      <w:pPr>
        <w:ind w:left="0" w:firstLine="0"/>
      </w:pPr>
    </w:lvl>
    <w:lvl w:ilvl="5" w:tentative="0">
      <w:start w:val="1"/>
      <w:numFmt w:val="none"/>
      <w:suff w:val="nothing"/>
      <w:lvlText w:val=""/>
      <w:lvlJc w:val="left"/>
      <w:pPr>
        <w:ind w:left="0" w:firstLine="0"/>
      </w:pPr>
    </w:lvl>
    <w:lvl w:ilvl="6" w:tentative="0">
      <w:start w:val="1"/>
      <w:numFmt w:val="none"/>
      <w:suff w:val="nothing"/>
      <w:lvlText w:val=""/>
      <w:lvlJc w:val="left"/>
      <w:pPr>
        <w:ind w:left="0" w:firstLine="0"/>
      </w:pPr>
    </w:lvl>
    <w:lvl w:ilvl="7" w:tentative="0">
      <w:start w:val="1"/>
      <w:numFmt w:val="none"/>
      <w:suff w:val="nothing"/>
      <w:lvlText w:val=""/>
      <w:lvlJc w:val="left"/>
      <w:pPr>
        <w:ind w:left="0" w:firstLine="0"/>
      </w:pPr>
    </w:lvl>
    <w:lvl w:ilvl="8" w:tentative="0">
      <w:start w:val="1"/>
      <w:numFmt w:val="none"/>
      <w:suff w:val="nothing"/>
      <w:lvlText w:val=""/>
      <w:lvlJc w:val="left"/>
      <w:pPr>
        <w:ind w:left="0" w:firstLine="0"/>
      </w:pPr>
    </w:lvl>
  </w:abstractNum>
  <w:abstractNum w:abstractNumId="3">
    <w:nsid w:val="003822BF"/>
    <w:multiLevelType w:val="multilevel"/>
    <w:tmpl w:val="003822BF"/>
    <w:lvl w:ilvl="0" w:tentative="0">
      <w:start w:val="1"/>
      <w:numFmt w:val="japaneseCounting"/>
      <w:lvlText w:val="%1、"/>
      <w:lvlJc w:val="left"/>
      <w:pPr>
        <w:tabs>
          <w:tab w:val="left" w:pos="2280"/>
        </w:tabs>
        <w:ind w:left="2280" w:hanging="720"/>
      </w:pPr>
      <w:rPr>
        <w:rFonts w:hint="eastAsia" w:cs="Times New Roman"/>
      </w:rPr>
    </w:lvl>
    <w:lvl w:ilvl="1" w:tentative="0">
      <w:start w:val="1"/>
      <w:numFmt w:val="lowerLetter"/>
      <w:lvlText w:val="%2)"/>
      <w:lvlJc w:val="left"/>
      <w:pPr>
        <w:tabs>
          <w:tab w:val="left" w:pos="2400"/>
        </w:tabs>
        <w:ind w:left="2400" w:hanging="420"/>
      </w:pPr>
      <w:rPr>
        <w:rFonts w:cs="Times New Roman"/>
      </w:rPr>
    </w:lvl>
    <w:lvl w:ilvl="2" w:tentative="0">
      <w:start w:val="1"/>
      <w:numFmt w:val="lowerRoman"/>
      <w:lvlText w:val="%3."/>
      <w:lvlJc w:val="right"/>
      <w:pPr>
        <w:tabs>
          <w:tab w:val="left" w:pos="2820"/>
        </w:tabs>
        <w:ind w:left="2820" w:hanging="420"/>
      </w:pPr>
      <w:rPr>
        <w:rFonts w:cs="Times New Roman"/>
      </w:rPr>
    </w:lvl>
    <w:lvl w:ilvl="3" w:tentative="0">
      <w:start w:val="1"/>
      <w:numFmt w:val="decimal"/>
      <w:lvlText w:val="%4."/>
      <w:lvlJc w:val="left"/>
      <w:pPr>
        <w:tabs>
          <w:tab w:val="left" w:pos="3240"/>
        </w:tabs>
        <w:ind w:left="3240" w:hanging="420"/>
      </w:pPr>
      <w:rPr>
        <w:rFonts w:cs="Times New Roman"/>
      </w:rPr>
    </w:lvl>
    <w:lvl w:ilvl="4" w:tentative="0">
      <w:start w:val="1"/>
      <w:numFmt w:val="lowerLetter"/>
      <w:lvlText w:val="%5)"/>
      <w:lvlJc w:val="left"/>
      <w:pPr>
        <w:tabs>
          <w:tab w:val="left" w:pos="3660"/>
        </w:tabs>
        <w:ind w:left="3660" w:hanging="420"/>
      </w:pPr>
      <w:rPr>
        <w:rFonts w:cs="Times New Roman"/>
      </w:rPr>
    </w:lvl>
    <w:lvl w:ilvl="5" w:tentative="0">
      <w:start w:val="1"/>
      <w:numFmt w:val="lowerRoman"/>
      <w:lvlText w:val="%6."/>
      <w:lvlJc w:val="right"/>
      <w:pPr>
        <w:tabs>
          <w:tab w:val="left" w:pos="4080"/>
        </w:tabs>
        <w:ind w:left="4080" w:hanging="420"/>
      </w:pPr>
      <w:rPr>
        <w:rFonts w:cs="Times New Roman"/>
      </w:rPr>
    </w:lvl>
    <w:lvl w:ilvl="6" w:tentative="0">
      <w:start w:val="1"/>
      <w:numFmt w:val="decimal"/>
      <w:lvlText w:val="%7."/>
      <w:lvlJc w:val="left"/>
      <w:pPr>
        <w:tabs>
          <w:tab w:val="left" w:pos="4500"/>
        </w:tabs>
        <w:ind w:left="4500" w:hanging="420"/>
      </w:pPr>
      <w:rPr>
        <w:rFonts w:cs="Times New Roman"/>
      </w:rPr>
    </w:lvl>
    <w:lvl w:ilvl="7" w:tentative="0">
      <w:start w:val="1"/>
      <w:numFmt w:val="lowerLetter"/>
      <w:lvlText w:val="%8)"/>
      <w:lvlJc w:val="left"/>
      <w:pPr>
        <w:tabs>
          <w:tab w:val="left" w:pos="4920"/>
        </w:tabs>
        <w:ind w:left="4920" w:hanging="420"/>
      </w:pPr>
      <w:rPr>
        <w:rFonts w:cs="Times New Roman"/>
      </w:rPr>
    </w:lvl>
    <w:lvl w:ilvl="8" w:tentative="0">
      <w:start w:val="1"/>
      <w:numFmt w:val="lowerRoman"/>
      <w:lvlText w:val="%9."/>
      <w:lvlJc w:val="right"/>
      <w:pPr>
        <w:tabs>
          <w:tab w:val="left" w:pos="5340"/>
        </w:tabs>
        <w:ind w:left="5340" w:hanging="420"/>
      </w:pPr>
      <w:rPr>
        <w:rFonts w:cs="Times New Roman"/>
      </w:rPr>
    </w:lvl>
  </w:abstractNum>
  <w:abstractNum w:abstractNumId="4">
    <w:nsid w:val="1587E88C"/>
    <w:multiLevelType w:val="singleLevel"/>
    <w:tmpl w:val="1587E88C"/>
    <w:lvl w:ilvl="0" w:tentative="0">
      <w:start w:val="4"/>
      <w:numFmt w:val="chineseCounting"/>
      <w:suff w:val="space"/>
      <w:lvlText w:val="第%1章"/>
      <w:lvlJc w:val="left"/>
      <w:rPr>
        <w:rFonts w:hint="eastAsia"/>
      </w:rPr>
    </w:lvl>
  </w:abstractNum>
  <w:abstractNum w:abstractNumId="5">
    <w:nsid w:val="62FA3E69"/>
    <w:multiLevelType w:val="singleLevel"/>
    <w:tmpl w:val="62FA3E69"/>
    <w:lvl w:ilvl="0" w:tentative="0">
      <w:start w:val="1"/>
      <w:numFmt w:val="decimal"/>
      <w:suff w:val="nothing"/>
      <w:lvlText w:val="%1、"/>
      <w:lvlJc w:val="left"/>
    </w:lvl>
  </w:abstractNum>
  <w:abstractNum w:abstractNumId="6">
    <w:nsid w:val="6F400C11"/>
    <w:multiLevelType w:val="singleLevel"/>
    <w:tmpl w:val="6F400C11"/>
    <w:lvl w:ilvl="0" w:tentative="0">
      <w:start w:val="2"/>
      <w:numFmt w:val="chineseCounting"/>
      <w:suff w:val="nothing"/>
      <w:lvlText w:val="%1、"/>
      <w:lvlJc w:val="left"/>
      <w:rPr>
        <w:rFonts w:hint="eastAsia"/>
      </w:rPr>
    </w:lvl>
  </w:abstractNum>
  <w:num w:numId="1">
    <w:abstractNumId w:val="1"/>
  </w:num>
  <w:num w:numId="2">
    <w:abstractNumId w:val="5"/>
  </w:num>
  <w:num w:numId="3">
    <w:abstractNumId w:val="4"/>
  </w:num>
  <w:num w:numId="4">
    <w:abstractNumId w:val="2"/>
  </w:num>
  <w:num w:numId="5">
    <w:abstractNumId w:val="0"/>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HorizontalSpacing w:val="210"/>
  <w:drawingGridVerticalSpacing w:val="158"/>
  <w:displayHorizontalDrawingGridEvery w:val="1"/>
  <w:displayVerticalDrawingGridEvery w:val="2"/>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YwM2E0OTM1MTNmYjdhZDYzZTk0ZmY4ODg5YjlmZWEifQ=="/>
  </w:docVars>
  <w:rsids>
    <w:rsidRoot w:val="248B5DC8"/>
    <w:rsid w:val="00004C64"/>
    <w:rsid w:val="000066E9"/>
    <w:rsid w:val="00013099"/>
    <w:rsid w:val="000216C0"/>
    <w:rsid w:val="00032CB6"/>
    <w:rsid w:val="000333C4"/>
    <w:rsid w:val="000413C9"/>
    <w:rsid w:val="00055D2C"/>
    <w:rsid w:val="00073826"/>
    <w:rsid w:val="00085D17"/>
    <w:rsid w:val="000869D6"/>
    <w:rsid w:val="00086F97"/>
    <w:rsid w:val="00096C98"/>
    <w:rsid w:val="000A4534"/>
    <w:rsid w:val="000A55B2"/>
    <w:rsid w:val="000B0605"/>
    <w:rsid w:val="000C4CF4"/>
    <w:rsid w:val="000C68C0"/>
    <w:rsid w:val="000C69B0"/>
    <w:rsid w:val="000F6BBA"/>
    <w:rsid w:val="0010031B"/>
    <w:rsid w:val="00102F7C"/>
    <w:rsid w:val="001057DA"/>
    <w:rsid w:val="00122759"/>
    <w:rsid w:val="00123ED2"/>
    <w:rsid w:val="001361EF"/>
    <w:rsid w:val="00145E34"/>
    <w:rsid w:val="00153A05"/>
    <w:rsid w:val="001657B8"/>
    <w:rsid w:val="0016627C"/>
    <w:rsid w:val="001A1B62"/>
    <w:rsid w:val="001A2225"/>
    <w:rsid w:val="001A2BED"/>
    <w:rsid w:val="001A2C5C"/>
    <w:rsid w:val="001A2D60"/>
    <w:rsid w:val="001A44AE"/>
    <w:rsid w:val="001A50EC"/>
    <w:rsid w:val="001C0319"/>
    <w:rsid w:val="001D1D45"/>
    <w:rsid w:val="001D3D39"/>
    <w:rsid w:val="001E5B1D"/>
    <w:rsid w:val="001E6B31"/>
    <w:rsid w:val="001F75B3"/>
    <w:rsid w:val="002034A4"/>
    <w:rsid w:val="00213E91"/>
    <w:rsid w:val="00214166"/>
    <w:rsid w:val="0021503D"/>
    <w:rsid w:val="0021556C"/>
    <w:rsid w:val="002167A8"/>
    <w:rsid w:val="00226340"/>
    <w:rsid w:val="00235038"/>
    <w:rsid w:val="0024020C"/>
    <w:rsid w:val="00251B70"/>
    <w:rsid w:val="0026142A"/>
    <w:rsid w:val="0026423B"/>
    <w:rsid w:val="002702DC"/>
    <w:rsid w:val="00271968"/>
    <w:rsid w:val="002755CB"/>
    <w:rsid w:val="002A0063"/>
    <w:rsid w:val="002D4503"/>
    <w:rsid w:val="002E485F"/>
    <w:rsid w:val="002F3854"/>
    <w:rsid w:val="002F6FDE"/>
    <w:rsid w:val="00304ED4"/>
    <w:rsid w:val="003214B7"/>
    <w:rsid w:val="00335550"/>
    <w:rsid w:val="00345364"/>
    <w:rsid w:val="003539FE"/>
    <w:rsid w:val="00357FB6"/>
    <w:rsid w:val="00360D83"/>
    <w:rsid w:val="00364A73"/>
    <w:rsid w:val="00365D27"/>
    <w:rsid w:val="00384ED0"/>
    <w:rsid w:val="00387B5C"/>
    <w:rsid w:val="0039754C"/>
    <w:rsid w:val="003B0024"/>
    <w:rsid w:val="003B453F"/>
    <w:rsid w:val="003C19E2"/>
    <w:rsid w:val="003C7EA5"/>
    <w:rsid w:val="003F6704"/>
    <w:rsid w:val="004126AE"/>
    <w:rsid w:val="0041380D"/>
    <w:rsid w:val="0041592C"/>
    <w:rsid w:val="0041639B"/>
    <w:rsid w:val="00417D98"/>
    <w:rsid w:val="00426ADC"/>
    <w:rsid w:val="004330C8"/>
    <w:rsid w:val="00440408"/>
    <w:rsid w:val="0045394B"/>
    <w:rsid w:val="00464700"/>
    <w:rsid w:val="00465CAC"/>
    <w:rsid w:val="00472B8C"/>
    <w:rsid w:val="00485D41"/>
    <w:rsid w:val="00491196"/>
    <w:rsid w:val="00492430"/>
    <w:rsid w:val="00493D88"/>
    <w:rsid w:val="00494671"/>
    <w:rsid w:val="004A1277"/>
    <w:rsid w:val="004A39E0"/>
    <w:rsid w:val="004A4B39"/>
    <w:rsid w:val="004C5901"/>
    <w:rsid w:val="004D040D"/>
    <w:rsid w:val="004E033C"/>
    <w:rsid w:val="004E0AA4"/>
    <w:rsid w:val="004E3957"/>
    <w:rsid w:val="005006F9"/>
    <w:rsid w:val="00505159"/>
    <w:rsid w:val="00510F06"/>
    <w:rsid w:val="005112F2"/>
    <w:rsid w:val="00524FD7"/>
    <w:rsid w:val="00527D00"/>
    <w:rsid w:val="0053450E"/>
    <w:rsid w:val="005363ED"/>
    <w:rsid w:val="00545D25"/>
    <w:rsid w:val="00564A1C"/>
    <w:rsid w:val="0057392D"/>
    <w:rsid w:val="0058189B"/>
    <w:rsid w:val="0058376E"/>
    <w:rsid w:val="00591104"/>
    <w:rsid w:val="005B6FBC"/>
    <w:rsid w:val="005D2E05"/>
    <w:rsid w:val="005D4E6E"/>
    <w:rsid w:val="005E3228"/>
    <w:rsid w:val="0060392F"/>
    <w:rsid w:val="006176D4"/>
    <w:rsid w:val="006201CC"/>
    <w:rsid w:val="00621197"/>
    <w:rsid w:val="006262D2"/>
    <w:rsid w:val="00632A1D"/>
    <w:rsid w:val="0065060B"/>
    <w:rsid w:val="00650C71"/>
    <w:rsid w:val="00654925"/>
    <w:rsid w:val="00656894"/>
    <w:rsid w:val="006577D7"/>
    <w:rsid w:val="006645C0"/>
    <w:rsid w:val="00686BD3"/>
    <w:rsid w:val="006A2C20"/>
    <w:rsid w:val="006A535E"/>
    <w:rsid w:val="006A63B3"/>
    <w:rsid w:val="006A74DF"/>
    <w:rsid w:val="006B0601"/>
    <w:rsid w:val="006B5966"/>
    <w:rsid w:val="006D74A0"/>
    <w:rsid w:val="006E00DA"/>
    <w:rsid w:val="006E38C5"/>
    <w:rsid w:val="006E4D20"/>
    <w:rsid w:val="006F3CEA"/>
    <w:rsid w:val="006F3EFA"/>
    <w:rsid w:val="006F418F"/>
    <w:rsid w:val="006F48C7"/>
    <w:rsid w:val="00707F6F"/>
    <w:rsid w:val="00713EE8"/>
    <w:rsid w:val="00751973"/>
    <w:rsid w:val="00751D8F"/>
    <w:rsid w:val="00770F65"/>
    <w:rsid w:val="007723A3"/>
    <w:rsid w:val="00772422"/>
    <w:rsid w:val="00772CE5"/>
    <w:rsid w:val="00775EC5"/>
    <w:rsid w:val="00780606"/>
    <w:rsid w:val="00782881"/>
    <w:rsid w:val="007854BE"/>
    <w:rsid w:val="00787AD3"/>
    <w:rsid w:val="007923AC"/>
    <w:rsid w:val="00793FA3"/>
    <w:rsid w:val="007A0E3E"/>
    <w:rsid w:val="007B11D3"/>
    <w:rsid w:val="007C3265"/>
    <w:rsid w:val="007C56AF"/>
    <w:rsid w:val="007D037C"/>
    <w:rsid w:val="007E0F2F"/>
    <w:rsid w:val="007E4E67"/>
    <w:rsid w:val="007F0855"/>
    <w:rsid w:val="007F1A22"/>
    <w:rsid w:val="007F25C4"/>
    <w:rsid w:val="008240E2"/>
    <w:rsid w:val="00835F95"/>
    <w:rsid w:val="00837096"/>
    <w:rsid w:val="00850CE7"/>
    <w:rsid w:val="008552A0"/>
    <w:rsid w:val="00857534"/>
    <w:rsid w:val="008738D6"/>
    <w:rsid w:val="0087575B"/>
    <w:rsid w:val="00881835"/>
    <w:rsid w:val="00883B2F"/>
    <w:rsid w:val="00885C5B"/>
    <w:rsid w:val="0088770D"/>
    <w:rsid w:val="0089435A"/>
    <w:rsid w:val="008B54BB"/>
    <w:rsid w:val="008C175F"/>
    <w:rsid w:val="008C705C"/>
    <w:rsid w:val="008E3063"/>
    <w:rsid w:val="008E7674"/>
    <w:rsid w:val="008F509C"/>
    <w:rsid w:val="008F7BA6"/>
    <w:rsid w:val="00903CD5"/>
    <w:rsid w:val="009143FE"/>
    <w:rsid w:val="0093034A"/>
    <w:rsid w:val="00930C6B"/>
    <w:rsid w:val="0093464F"/>
    <w:rsid w:val="009420E4"/>
    <w:rsid w:val="00943136"/>
    <w:rsid w:val="009513CF"/>
    <w:rsid w:val="009634E8"/>
    <w:rsid w:val="00964D47"/>
    <w:rsid w:val="00965254"/>
    <w:rsid w:val="009669CA"/>
    <w:rsid w:val="009775B6"/>
    <w:rsid w:val="009900B0"/>
    <w:rsid w:val="009A2FC7"/>
    <w:rsid w:val="009A346C"/>
    <w:rsid w:val="009A4341"/>
    <w:rsid w:val="009A58DB"/>
    <w:rsid w:val="009B0B32"/>
    <w:rsid w:val="009C140C"/>
    <w:rsid w:val="009C22FD"/>
    <w:rsid w:val="009E4977"/>
    <w:rsid w:val="009E4AA6"/>
    <w:rsid w:val="009E53D0"/>
    <w:rsid w:val="009F7FD6"/>
    <w:rsid w:val="00A01A85"/>
    <w:rsid w:val="00A040AA"/>
    <w:rsid w:val="00A0428A"/>
    <w:rsid w:val="00A045B0"/>
    <w:rsid w:val="00A0531E"/>
    <w:rsid w:val="00A07CF7"/>
    <w:rsid w:val="00A17740"/>
    <w:rsid w:val="00A21BD9"/>
    <w:rsid w:val="00A22E16"/>
    <w:rsid w:val="00A25745"/>
    <w:rsid w:val="00A30348"/>
    <w:rsid w:val="00A50990"/>
    <w:rsid w:val="00A564DF"/>
    <w:rsid w:val="00A64C3D"/>
    <w:rsid w:val="00A659C6"/>
    <w:rsid w:val="00A65B54"/>
    <w:rsid w:val="00A777B8"/>
    <w:rsid w:val="00A83D4B"/>
    <w:rsid w:val="00A906EA"/>
    <w:rsid w:val="00AA12F1"/>
    <w:rsid w:val="00AB1821"/>
    <w:rsid w:val="00AB3ACC"/>
    <w:rsid w:val="00AB4C73"/>
    <w:rsid w:val="00AD2CFD"/>
    <w:rsid w:val="00AE0C6B"/>
    <w:rsid w:val="00AF1C79"/>
    <w:rsid w:val="00AF2CFD"/>
    <w:rsid w:val="00AF33CA"/>
    <w:rsid w:val="00AF42B7"/>
    <w:rsid w:val="00AF6C10"/>
    <w:rsid w:val="00B07214"/>
    <w:rsid w:val="00B10B2A"/>
    <w:rsid w:val="00B13E21"/>
    <w:rsid w:val="00B14E74"/>
    <w:rsid w:val="00B16E13"/>
    <w:rsid w:val="00B210BF"/>
    <w:rsid w:val="00B21A26"/>
    <w:rsid w:val="00B25FAA"/>
    <w:rsid w:val="00B27EF6"/>
    <w:rsid w:val="00B31C86"/>
    <w:rsid w:val="00B32597"/>
    <w:rsid w:val="00B35690"/>
    <w:rsid w:val="00B67D4D"/>
    <w:rsid w:val="00B7622F"/>
    <w:rsid w:val="00B7664C"/>
    <w:rsid w:val="00B77A0E"/>
    <w:rsid w:val="00BA3304"/>
    <w:rsid w:val="00BB089A"/>
    <w:rsid w:val="00BB507F"/>
    <w:rsid w:val="00BC2E99"/>
    <w:rsid w:val="00BD10F0"/>
    <w:rsid w:val="00BD46FC"/>
    <w:rsid w:val="00BD495F"/>
    <w:rsid w:val="00BD79C7"/>
    <w:rsid w:val="00BE7B12"/>
    <w:rsid w:val="00C03804"/>
    <w:rsid w:val="00C05F85"/>
    <w:rsid w:val="00C123D0"/>
    <w:rsid w:val="00C16670"/>
    <w:rsid w:val="00C30365"/>
    <w:rsid w:val="00C37150"/>
    <w:rsid w:val="00C442D1"/>
    <w:rsid w:val="00C533F6"/>
    <w:rsid w:val="00C54757"/>
    <w:rsid w:val="00C54BD8"/>
    <w:rsid w:val="00C65B32"/>
    <w:rsid w:val="00C7281F"/>
    <w:rsid w:val="00C72948"/>
    <w:rsid w:val="00C74C0F"/>
    <w:rsid w:val="00C8188E"/>
    <w:rsid w:val="00C83DE0"/>
    <w:rsid w:val="00C84567"/>
    <w:rsid w:val="00C93CA9"/>
    <w:rsid w:val="00C95B13"/>
    <w:rsid w:val="00CC5922"/>
    <w:rsid w:val="00CC6AFD"/>
    <w:rsid w:val="00CE0D40"/>
    <w:rsid w:val="00CE5A62"/>
    <w:rsid w:val="00D02AE1"/>
    <w:rsid w:val="00D1214A"/>
    <w:rsid w:val="00D253D1"/>
    <w:rsid w:val="00D310F1"/>
    <w:rsid w:val="00D35B3B"/>
    <w:rsid w:val="00D47BF8"/>
    <w:rsid w:val="00D5246E"/>
    <w:rsid w:val="00D55452"/>
    <w:rsid w:val="00D55CCB"/>
    <w:rsid w:val="00D67DE7"/>
    <w:rsid w:val="00D80EFB"/>
    <w:rsid w:val="00D84A8B"/>
    <w:rsid w:val="00D859AF"/>
    <w:rsid w:val="00D86DB0"/>
    <w:rsid w:val="00DA0AAF"/>
    <w:rsid w:val="00DA3673"/>
    <w:rsid w:val="00DA474B"/>
    <w:rsid w:val="00DB4BFE"/>
    <w:rsid w:val="00DB7708"/>
    <w:rsid w:val="00DC1D2B"/>
    <w:rsid w:val="00DC33F8"/>
    <w:rsid w:val="00DC6EF8"/>
    <w:rsid w:val="00DE0FB4"/>
    <w:rsid w:val="00DE4A75"/>
    <w:rsid w:val="00DF0AEE"/>
    <w:rsid w:val="00E00742"/>
    <w:rsid w:val="00E04A67"/>
    <w:rsid w:val="00E06BF9"/>
    <w:rsid w:val="00E115AD"/>
    <w:rsid w:val="00E20B42"/>
    <w:rsid w:val="00E2412E"/>
    <w:rsid w:val="00E341D9"/>
    <w:rsid w:val="00E433E5"/>
    <w:rsid w:val="00E46896"/>
    <w:rsid w:val="00E65BD5"/>
    <w:rsid w:val="00E6768D"/>
    <w:rsid w:val="00E678A3"/>
    <w:rsid w:val="00E71C48"/>
    <w:rsid w:val="00E72DAE"/>
    <w:rsid w:val="00E73277"/>
    <w:rsid w:val="00E9279C"/>
    <w:rsid w:val="00EA2542"/>
    <w:rsid w:val="00EB16CA"/>
    <w:rsid w:val="00EC2A8A"/>
    <w:rsid w:val="00ED65F7"/>
    <w:rsid w:val="00EE5C70"/>
    <w:rsid w:val="00EF0031"/>
    <w:rsid w:val="00F1100A"/>
    <w:rsid w:val="00F245B9"/>
    <w:rsid w:val="00F265C7"/>
    <w:rsid w:val="00F27260"/>
    <w:rsid w:val="00F43C5E"/>
    <w:rsid w:val="00F46CD0"/>
    <w:rsid w:val="00F62142"/>
    <w:rsid w:val="00F70FAF"/>
    <w:rsid w:val="00F804B7"/>
    <w:rsid w:val="00F80799"/>
    <w:rsid w:val="00F83C90"/>
    <w:rsid w:val="00F84C5A"/>
    <w:rsid w:val="00F970AD"/>
    <w:rsid w:val="00FA0053"/>
    <w:rsid w:val="00FA040E"/>
    <w:rsid w:val="00FB2D05"/>
    <w:rsid w:val="00FD25F4"/>
    <w:rsid w:val="00FD6533"/>
    <w:rsid w:val="00FD756B"/>
    <w:rsid w:val="00FD781E"/>
    <w:rsid w:val="00FE513F"/>
    <w:rsid w:val="00FF7338"/>
    <w:rsid w:val="00FF7ADC"/>
    <w:rsid w:val="01091EA2"/>
    <w:rsid w:val="012F5BE0"/>
    <w:rsid w:val="01814321"/>
    <w:rsid w:val="01944FA6"/>
    <w:rsid w:val="01B6221C"/>
    <w:rsid w:val="01C17885"/>
    <w:rsid w:val="01D17056"/>
    <w:rsid w:val="01FD3BF9"/>
    <w:rsid w:val="02557C87"/>
    <w:rsid w:val="02702D13"/>
    <w:rsid w:val="029167E5"/>
    <w:rsid w:val="02A90ADB"/>
    <w:rsid w:val="03330190"/>
    <w:rsid w:val="034E2FBC"/>
    <w:rsid w:val="03BD3038"/>
    <w:rsid w:val="03BD74F0"/>
    <w:rsid w:val="03F4702C"/>
    <w:rsid w:val="04527DBF"/>
    <w:rsid w:val="045B6EE4"/>
    <w:rsid w:val="04685519"/>
    <w:rsid w:val="047F2D99"/>
    <w:rsid w:val="04EC14EE"/>
    <w:rsid w:val="05257DE5"/>
    <w:rsid w:val="059C360F"/>
    <w:rsid w:val="05FD6E1A"/>
    <w:rsid w:val="06C54B78"/>
    <w:rsid w:val="06CF6B8D"/>
    <w:rsid w:val="06E25862"/>
    <w:rsid w:val="073541D7"/>
    <w:rsid w:val="0768633B"/>
    <w:rsid w:val="076D15CF"/>
    <w:rsid w:val="07E24F1F"/>
    <w:rsid w:val="07F11C47"/>
    <w:rsid w:val="08146F5C"/>
    <w:rsid w:val="085430AF"/>
    <w:rsid w:val="089F7EAE"/>
    <w:rsid w:val="08A1146A"/>
    <w:rsid w:val="08C01BD2"/>
    <w:rsid w:val="09263180"/>
    <w:rsid w:val="09523172"/>
    <w:rsid w:val="09530E28"/>
    <w:rsid w:val="0A5C592B"/>
    <w:rsid w:val="0AA96DC2"/>
    <w:rsid w:val="0AE0655C"/>
    <w:rsid w:val="0AF02C43"/>
    <w:rsid w:val="0B3145C5"/>
    <w:rsid w:val="0B5E5DE4"/>
    <w:rsid w:val="0B671786"/>
    <w:rsid w:val="0B6D4DEB"/>
    <w:rsid w:val="0BEC5BDC"/>
    <w:rsid w:val="0BEE1EE8"/>
    <w:rsid w:val="0C917B0E"/>
    <w:rsid w:val="0C9731B2"/>
    <w:rsid w:val="0CB23908"/>
    <w:rsid w:val="0CC269C9"/>
    <w:rsid w:val="0CC3039A"/>
    <w:rsid w:val="0CC53C5B"/>
    <w:rsid w:val="0CE91DBB"/>
    <w:rsid w:val="0D0155F3"/>
    <w:rsid w:val="0D837530"/>
    <w:rsid w:val="0D9E3CED"/>
    <w:rsid w:val="0DFA69C4"/>
    <w:rsid w:val="0E005C19"/>
    <w:rsid w:val="0E120725"/>
    <w:rsid w:val="0E2A15BE"/>
    <w:rsid w:val="0E3E3CC5"/>
    <w:rsid w:val="0E553C36"/>
    <w:rsid w:val="0E5F3180"/>
    <w:rsid w:val="0E8B0946"/>
    <w:rsid w:val="0EA943DF"/>
    <w:rsid w:val="0EB2020F"/>
    <w:rsid w:val="0EE04628"/>
    <w:rsid w:val="0EFA5508"/>
    <w:rsid w:val="0F2D7F20"/>
    <w:rsid w:val="0F437A5B"/>
    <w:rsid w:val="0F7E5311"/>
    <w:rsid w:val="0F852354"/>
    <w:rsid w:val="0F9235F6"/>
    <w:rsid w:val="0F930041"/>
    <w:rsid w:val="0F9A4F2B"/>
    <w:rsid w:val="0FA76FC4"/>
    <w:rsid w:val="0FC85F3C"/>
    <w:rsid w:val="0FCD5301"/>
    <w:rsid w:val="10612472"/>
    <w:rsid w:val="107C7198"/>
    <w:rsid w:val="10855BDB"/>
    <w:rsid w:val="10BF7A6B"/>
    <w:rsid w:val="10D65287"/>
    <w:rsid w:val="10F9290F"/>
    <w:rsid w:val="11331F4A"/>
    <w:rsid w:val="113F3D1B"/>
    <w:rsid w:val="11443595"/>
    <w:rsid w:val="119517FA"/>
    <w:rsid w:val="11CE5360"/>
    <w:rsid w:val="11E2775B"/>
    <w:rsid w:val="12773EA5"/>
    <w:rsid w:val="12880247"/>
    <w:rsid w:val="1288598F"/>
    <w:rsid w:val="12C25B71"/>
    <w:rsid w:val="12CA3D79"/>
    <w:rsid w:val="12E52215"/>
    <w:rsid w:val="130361BC"/>
    <w:rsid w:val="1316525D"/>
    <w:rsid w:val="13180585"/>
    <w:rsid w:val="13294F44"/>
    <w:rsid w:val="13D87344"/>
    <w:rsid w:val="141D25CF"/>
    <w:rsid w:val="143F0888"/>
    <w:rsid w:val="145921CA"/>
    <w:rsid w:val="14727A2A"/>
    <w:rsid w:val="148166BA"/>
    <w:rsid w:val="14B27E94"/>
    <w:rsid w:val="15365F5F"/>
    <w:rsid w:val="15512530"/>
    <w:rsid w:val="15B036FB"/>
    <w:rsid w:val="16595450"/>
    <w:rsid w:val="166837BB"/>
    <w:rsid w:val="167177C6"/>
    <w:rsid w:val="1684735A"/>
    <w:rsid w:val="16987C12"/>
    <w:rsid w:val="16D5360C"/>
    <w:rsid w:val="16E07EAB"/>
    <w:rsid w:val="17D82A95"/>
    <w:rsid w:val="17D85C21"/>
    <w:rsid w:val="17F43539"/>
    <w:rsid w:val="181141F9"/>
    <w:rsid w:val="184E377C"/>
    <w:rsid w:val="188D6B37"/>
    <w:rsid w:val="18E702C9"/>
    <w:rsid w:val="18F41B50"/>
    <w:rsid w:val="190F5F70"/>
    <w:rsid w:val="192A46BD"/>
    <w:rsid w:val="193043C6"/>
    <w:rsid w:val="197E4A43"/>
    <w:rsid w:val="19836A30"/>
    <w:rsid w:val="19A86F45"/>
    <w:rsid w:val="19EB474A"/>
    <w:rsid w:val="1A163D48"/>
    <w:rsid w:val="1A1F6EBC"/>
    <w:rsid w:val="1A645E3B"/>
    <w:rsid w:val="1A8B4C3D"/>
    <w:rsid w:val="1A8C7101"/>
    <w:rsid w:val="1AA81F13"/>
    <w:rsid w:val="1AB64BE3"/>
    <w:rsid w:val="1AD115D5"/>
    <w:rsid w:val="1B20049C"/>
    <w:rsid w:val="1B281F85"/>
    <w:rsid w:val="1B3C6DE7"/>
    <w:rsid w:val="1BB57FE7"/>
    <w:rsid w:val="1BC01517"/>
    <w:rsid w:val="1BDB3B61"/>
    <w:rsid w:val="1C2A2A9C"/>
    <w:rsid w:val="1C2D6967"/>
    <w:rsid w:val="1C650AAB"/>
    <w:rsid w:val="1C713BDD"/>
    <w:rsid w:val="1CD0505D"/>
    <w:rsid w:val="1CD22CCD"/>
    <w:rsid w:val="1CD22DC8"/>
    <w:rsid w:val="1D1A58FD"/>
    <w:rsid w:val="1D636B59"/>
    <w:rsid w:val="1D7027C7"/>
    <w:rsid w:val="1E0872DE"/>
    <w:rsid w:val="1E611B14"/>
    <w:rsid w:val="1EE44415"/>
    <w:rsid w:val="1EE640F2"/>
    <w:rsid w:val="1F0A4DEF"/>
    <w:rsid w:val="1F2B5BA0"/>
    <w:rsid w:val="1F3858D8"/>
    <w:rsid w:val="1F8D685B"/>
    <w:rsid w:val="1F90634B"/>
    <w:rsid w:val="20041606"/>
    <w:rsid w:val="20062169"/>
    <w:rsid w:val="201725C8"/>
    <w:rsid w:val="20612A06"/>
    <w:rsid w:val="2067119C"/>
    <w:rsid w:val="20907F95"/>
    <w:rsid w:val="20F14BC7"/>
    <w:rsid w:val="20F52A7A"/>
    <w:rsid w:val="21535023"/>
    <w:rsid w:val="21B207FA"/>
    <w:rsid w:val="22714A70"/>
    <w:rsid w:val="227B4FC5"/>
    <w:rsid w:val="227E692E"/>
    <w:rsid w:val="22EE1374"/>
    <w:rsid w:val="22EE5862"/>
    <w:rsid w:val="2318643B"/>
    <w:rsid w:val="2335523F"/>
    <w:rsid w:val="235B157F"/>
    <w:rsid w:val="23653140"/>
    <w:rsid w:val="2395727B"/>
    <w:rsid w:val="23C465C3"/>
    <w:rsid w:val="240510B5"/>
    <w:rsid w:val="24177638"/>
    <w:rsid w:val="24267527"/>
    <w:rsid w:val="24466FD8"/>
    <w:rsid w:val="244F2331"/>
    <w:rsid w:val="245C2C9F"/>
    <w:rsid w:val="246E4CE5"/>
    <w:rsid w:val="2485597A"/>
    <w:rsid w:val="248B5DC8"/>
    <w:rsid w:val="24941099"/>
    <w:rsid w:val="24D003A7"/>
    <w:rsid w:val="25115838"/>
    <w:rsid w:val="251610A0"/>
    <w:rsid w:val="255A5115"/>
    <w:rsid w:val="2590522A"/>
    <w:rsid w:val="25A246E2"/>
    <w:rsid w:val="25CC0EF0"/>
    <w:rsid w:val="25E54A3F"/>
    <w:rsid w:val="25EA5EF8"/>
    <w:rsid w:val="26070FA0"/>
    <w:rsid w:val="260E3934"/>
    <w:rsid w:val="26153732"/>
    <w:rsid w:val="261627D5"/>
    <w:rsid w:val="261A4BC0"/>
    <w:rsid w:val="26244A40"/>
    <w:rsid w:val="265C2AE3"/>
    <w:rsid w:val="268A61A0"/>
    <w:rsid w:val="2690755F"/>
    <w:rsid w:val="26976B8E"/>
    <w:rsid w:val="27223D2C"/>
    <w:rsid w:val="27A575F9"/>
    <w:rsid w:val="27B1099A"/>
    <w:rsid w:val="27B81DC5"/>
    <w:rsid w:val="27F10F49"/>
    <w:rsid w:val="27F86043"/>
    <w:rsid w:val="28FE2577"/>
    <w:rsid w:val="290646EF"/>
    <w:rsid w:val="29260107"/>
    <w:rsid w:val="29571049"/>
    <w:rsid w:val="29C05606"/>
    <w:rsid w:val="2A1F70EC"/>
    <w:rsid w:val="2A36189D"/>
    <w:rsid w:val="2A6B59EA"/>
    <w:rsid w:val="2A8B022C"/>
    <w:rsid w:val="2B216024"/>
    <w:rsid w:val="2B430415"/>
    <w:rsid w:val="2B4A3FB4"/>
    <w:rsid w:val="2B597CB8"/>
    <w:rsid w:val="2B7408CF"/>
    <w:rsid w:val="2BA87B52"/>
    <w:rsid w:val="2BB86A0E"/>
    <w:rsid w:val="2BD82C0B"/>
    <w:rsid w:val="2C147EC1"/>
    <w:rsid w:val="2C2045B2"/>
    <w:rsid w:val="2C4464F3"/>
    <w:rsid w:val="2C786108"/>
    <w:rsid w:val="2CD37E34"/>
    <w:rsid w:val="2CD51841"/>
    <w:rsid w:val="2CDF4A3F"/>
    <w:rsid w:val="2D4F15F3"/>
    <w:rsid w:val="2DB74FD2"/>
    <w:rsid w:val="2DC53663"/>
    <w:rsid w:val="2E204D3E"/>
    <w:rsid w:val="2E433BD4"/>
    <w:rsid w:val="2E582195"/>
    <w:rsid w:val="2E755C75"/>
    <w:rsid w:val="2E8218D6"/>
    <w:rsid w:val="2E92444C"/>
    <w:rsid w:val="2EBB2FC2"/>
    <w:rsid w:val="2EDA6C9B"/>
    <w:rsid w:val="2EDE49DD"/>
    <w:rsid w:val="2F007C28"/>
    <w:rsid w:val="2F440825"/>
    <w:rsid w:val="2F542EF1"/>
    <w:rsid w:val="2FA774C5"/>
    <w:rsid w:val="2FD63262"/>
    <w:rsid w:val="2FEA4507"/>
    <w:rsid w:val="2FF63FA8"/>
    <w:rsid w:val="2FF73193"/>
    <w:rsid w:val="30157458"/>
    <w:rsid w:val="301F52AD"/>
    <w:rsid w:val="30E0222B"/>
    <w:rsid w:val="30E42053"/>
    <w:rsid w:val="31083063"/>
    <w:rsid w:val="310A16C0"/>
    <w:rsid w:val="316000FD"/>
    <w:rsid w:val="31DF2BF7"/>
    <w:rsid w:val="31EC5663"/>
    <w:rsid w:val="32713287"/>
    <w:rsid w:val="32F26CA9"/>
    <w:rsid w:val="330E785B"/>
    <w:rsid w:val="33436374"/>
    <w:rsid w:val="3381021E"/>
    <w:rsid w:val="33864FA4"/>
    <w:rsid w:val="33AA452C"/>
    <w:rsid w:val="340C70A0"/>
    <w:rsid w:val="34106FC2"/>
    <w:rsid w:val="343C78BF"/>
    <w:rsid w:val="343C79F1"/>
    <w:rsid w:val="34B32E6D"/>
    <w:rsid w:val="34C10458"/>
    <w:rsid w:val="34D75F6F"/>
    <w:rsid w:val="35273FB7"/>
    <w:rsid w:val="355D23D3"/>
    <w:rsid w:val="35A0363F"/>
    <w:rsid w:val="35DA725F"/>
    <w:rsid w:val="35F22928"/>
    <w:rsid w:val="362A0508"/>
    <w:rsid w:val="368B05D8"/>
    <w:rsid w:val="36A72487"/>
    <w:rsid w:val="36AA037B"/>
    <w:rsid w:val="36BD312A"/>
    <w:rsid w:val="37441A9D"/>
    <w:rsid w:val="374E54C3"/>
    <w:rsid w:val="375533C0"/>
    <w:rsid w:val="37623340"/>
    <w:rsid w:val="37C30C14"/>
    <w:rsid w:val="37E343EC"/>
    <w:rsid w:val="37EA49D8"/>
    <w:rsid w:val="38107BD1"/>
    <w:rsid w:val="38944DBC"/>
    <w:rsid w:val="38A81FFF"/>
    <w:rsid w:val="3914549F"/>
    <w:rsid w:val="391A2AB5"/>
    <w:rsid w:val="393F1BF9"/>
    <w:rsid w:val="39671352"/>
    <w:rsid w:val="39CE53A6"/>
    <w:rsid w:val="39DE07C1"/>
    <w:rsid w:val="3A0C34DF"/>
    <w:rsid w:val="3A23599A"/>
    <w:rsid w:val="3A2636DC"/>
    <w:rsid w:val="3A650FDF"/>
    <w:rsid w:val="3AC16F61"/>
    <w:rsid w:val="3B547DD5"/>
    <w:rsid w:val="3B677916"/>
    <w:rsid w:val="3B712735"/>
    <w:rsid w:val="3C1A7A70"/>
    <w:rsid w:val="3C2459F9"/>
    <w:rsid w:val="3CB43221"/>
    <w:rsid w:val="3CE26B1D"/>
    <w:rsid w:val="3D2437E4"/>
    <w:rsid w:val="3D3A6212"/>
    <w:rsid w:val="3D522DF4"/>
    <w:rsid w:val="3D9A4248"/>
    <w:rsid w:val="3DAE1D03"/>
    <w:rsid w:val="3DD937EB"/>
    <w:rsid w:val="3DFA4C63"/>
    <w:rsid w:val="3E104487"/>
    <w:rsid w:val="3E5B0E47"/>
    <w:rsid w:val="3E802591"/>
    <w:rsid w:val="3E960230"/>
    <w:rsid w:val="3EB00CDA"/>
    <w:rsid w:val="3EBC6CF0"/>
    <w:rsid w:val="3F484DB0"/>
    <w:rsid w:val="3F5B5BD6"/>
    <w:rsid w:val="3F870779"/>
    <w:rsid w:val="3F875AE5"/>
    <w:rsid w:val="3F917849"/>
    <w:rsid w:val="3FEA2788"/>
    <w:rsid w:val="40D64646"/>
    <w:rsid w:val="411F7A6D"/>
    <w:rsid w:val="413966E6"/>
    <w:rsid w:val="41BD7B18"/>
    <w:rsid w:val="41E75F55"/>
    <w:rsid w:val="4205007B"/>
    <w:rsid w:val="4226071D"/>
    <w:rsid w:val="431C742A"/>
    <w:rsid w:val="43227A1B"/>
    <w:rsid w:val="4348021F"/>
    <w:rsid w:val="43525F3A"/>
    <w:rsid w:val="4353334F"/>
    <w:rsid w:val="435968E1"/>
    <w:rsid w:val="4370502C"/>
    <w:rsid w:val="438F22F2"/>
    <w:rsid w:val="448533EA"/>
    <w:rsid w:val="44A43B7B"/>
    <w:rsid w:val="44A82ED3"/>
    <w:rsid w:val="44B60F50"/>
    <w:rsid w:val="44D95819"/>
    <w:rsid w:val="45120AE5"/>
    <w:rsid w:val="452D591E"/>
    <w:rsid w:val="4558682B"/>
    <w:rsid w:val="45C45F29"/>
    <w:rsid w:val="45F12775"/>
    <w:rsid w:val="45FA47BB"/>
    <w:rsid w:val="464A34FF"/>
    <w:rsid w:val="4686235C"/>
    <w:rsid w:val="468A0B4E"/>
    <w:rsid w:val="46A71700"/>
    <w:rsid w:val="46D05206"/>
    <w:rsid w:val="46DA1AD6"/>
    <w:rsid w:val="46FC5072"/>
    <w:rsid w:val="47ED4D91"/>
    <w:rsid w:val="48145D83"/>
    <w:rsid w:val="48645AFB"/>
    <w:rsid w:val="486C49B0"/>
    <w:rsid w:val="48757D08"/>
    <w:rsid w:val="490E5A67"/>
    <w:rsid w:val="49227202"/>
    <w:rsid w:val="492D4827"/>
    <w:rsid w:val="4A0112AD"/>
    <w:rsid w:val="4A183041"/>
    <w:rsid w:val="4A372676"/>
    <w:rsid w:val="4A431740"/>
    <w:rsid w:val="4A4E14F8"/>
    <w:rsid w:val="4A6E0EBA"/>
    <w:rsid w:val="4A7A27F3"/>
    <w:rsid w:val="4A974812"/>
    <w:rsid w:val="4A9A005B"/>
    <w:rsid w:val="4AC27DA8"/>
    <w:rsid w:val="4AE066E8"/>
    <w:rsid w:val="4B0C3E56"/>
    <w:rsid w:val="4B821552"/>
    <w:rsid w:val="4B8B1A9F"/>
    <w:rsid w:val="4BC94A7A"/>
    <w:rsid w:val="4BD11CE8"/>
    <w:rsid w:val="4C455C43"/>
    <w:rsid w:val="4C585314"/>
    <w:rsid w:val="4C9A61E3"/>
    <w:rsid w:val="4CB61310"/>
    <w:rsid w:val="4CEA72F7"/>
    <w:rsid w:val="4D155C3D"/>
    <w:rsid w:val="4D7D140D"/>
    <w:rsid w:val="4DCA4186"/>
    <w:rsid w:val="4DEB6377"/>
    <w:rsid w:val="4E2B4904"/>
    <w:rsid w:val="4E41243B"/>
    <w:rsid w:val="4E6676BF"/>
    <w:rsid w:val="4E7C606C"/>
    <w:rsid w:val="4EAB3DE6"/>
    <w:rsid w:val="4F2B4D72"/>
    <w:rsid w:val="4F8627FB"/>
    <w:rsid w:val="4FA95108"/>
    <w:rsid w:val="50001636"/>
    <w:rsid w:val="50013D4A"/>
    <w:rsid w:val="50D07C33"/>
    <w:rsid w:val="50D70F3E"/>
    <w:rsid w:val="510047CD"/>
    <w:rsid w:val="51262C85"/>
    <w:rsid w:val="51271DBC"/>
    <w:rsid w:val="51453700"/>
    <w:rsid w:val="514E657C"/>
    <w:rsid w:val="51635AEC"/>
    <w:rsid w:val="5206232F"/>
    <w:rsid w:val="521A10FF"/>
    <w:rsid w:val="523752C8"/>
    <w:rsid w:val="525B6B2A"/>
    <w:rsid w:val="52642B9B"/>
    <w:rsid w:val="527D03E3"/>
    <w:rsid w:val="529F7797"/>
    <w:rsid w:val="52B0193D"/>
    <w:rsid w:val="52B85BC6"/>
    <w:rsid w:val="5314697E"/>
    <w:rsid w:val="5369498A"/>
    <w:rsid w:val="537806AC"/>
    <w:rsid w:val="53DA3115"/>
    <w:rsid w:val="53EC16AB"/>
    <w:rsid w:val="53F0682E"/>
    <w:rsid w:val="541805F8"/>
    <w:rsid w:val="54444A33"/>
    <w:rsid w:val="544D2AA6"/>
    <w:rsid w:val="54602B84"/>
    <w:rsid w:val="548412D3"/>
    <w:rsid w:val="54851B63"/>
    <w:rsid w:val="552F7491"/>
    <w:rsid w:val="55A62060"/>
    <w:rsid w:val="55AA6B17"/>
    <w:rsid w:val="55CC4CE0"/>
    <w:rsid w:val="55F14746"/>
    <w:rsid w:val="55FE181C"/>
    <w:rsid w:val="5647080A"/>
    <w:rsid w:val="56977C61"/>
    <w:rsid w:val="56C573D9"/>
    <w:rsid w:val="56C76644"/>
    <w:rsid w:val="572D56FC"/>
    <w:rsid w:val="57C55C52"/>
    <w:rsid w:val="57D15BE8"/>
    <w:rsid w:val="57D22709"/>
    <w:rsid w:val="57DD3759"/>
    <w:rsid w:val="58105929"/>
    <w:rsid w:val="58381016"/>
    <w:rsid w:val="58A01254"/>
    <w:rsid w:val="58F15EA1"/>
    <w:rsid w:val="593212FE"/>
    <w:rsid w:val="59492892"/>
    <w:rsid w:val="59555B2C"/>
    <w:rsid w:val="5A07236A"/>
    <w:rsid w:val="5A0F7891"/>
    <w:rsid w:val="5A1B7FE4"/>
    <w:rsid w:val="5A3C5E82"/>
    <w:rsid w:val="5A4F0F30"/>
    <w:rsid w:val="5A564C1E"/>
    <w:rsid w:val="5A7A1FB9"/>
    <w:rsid w:val="5A81078E"/>
    <w:rsid w:val="5A937E18"/>
    <w:rsid w:val="5AB73D55"/>
    <w:rsid w:val="5AEE11BA"/>
    <w:rsid w:val="5B0D2022"/>
    <w:rsid w:val="5B2A7B83"/>
    <w:rsid w:val="5B482651"/>
    <w:rsid w:val="5BE92602"/>
    <w:rsid w:val="5C3F6377"/>
    <w:rsid w:val="5C8475DE"/>
    <w:rsid w:val="5CA274FD"/>
    <w:rsid w:val="5CB5392F"/>
    <w:rsid w:val="5D0A60D4"/>
    <w:rsid w:val="5D16312D"/>
    <w:rsid w:val="5D44499B"/>
    <w:rsid w:val="5D7A11A8"/>
    <w:rsid w:val="5DC60467"/>
    <w:rsid w:val="5E281E41"/>
    <w:rsid w:val="5EC96260"/>
    <w:rsid w:val="5EE57563"/>
    <w:rsid w:val="5F053010"/>
    <w:rsid w:val="5F724B4A"/>
    <w:rsid w:val="5F904FD0"/>
    <w:rsid w:val="608A5EC3"/>
    <w:rsid w:val="60F02312"/>
    <w:rsid w:val="61002717"/>
    <w:rsid w:val="611E33AA"/>
    <w:rsid w:val="61262629"/>
    <w:rsid w:val="612B0B18"/>
    <w:rsid w:val="61510522"/>
    <w:rsid w:val="61CE3B8D"/>
    <w:rsid w:val="61FC4B9F"/>
    <w:rsid w:val="624E4503"/>
    <w:rsid w:val="625277A9"/>
    <w:rsid w:val="62574CA2"/>
    <w:rsid w:val="62F37D50"/>
    <w:rsid w:val="63410D58"/>
    <w:rsid w:val="63465F65"/>
    <w:rsid w:val="644C7B14"/>
    <w:rsid w:val="64523D31"/>
    <w:rsid w:val="647629E6"/>
    <w:rsid w:val="64854876"/>
    <w:rsid w:val="64C33752"/>
    <w:rsid w:val="65123A66"/>
    <w:rsid w:val="65356BB1"/>
    <w:rsid w:val="653B14C4"/>
    <w:rsid w:val="655F16CC"/>
    <w:rsid w:val="65C37EAD"/>
    <w:rsid w:val="65CB33EC"/>
    <w:rsid w:val="663A67DB"/>
    <w:rsid w:val="66701BB8"/>
    <w:rsid w:val="667451FB"/>
    <w:rsid w:val="66B45A48"/>
    <w:rsid w:val="66C6076B"/>
    <w:rsid w:val="67204E8B"/>
    <w:rsid w:val="672056DD"/>
    <w:rsid w:val="67860989"/>
    <w:rsid w:val="67DC5D00"/>
    <w:rsid w:val="67F56318"/>
    <w:rsid w:val="683A01CF"/>
    <w:rsid w:val="68460D8A"/>
    <w:rsid w:val="68B040A0"/>
    <w:rsid w:val="68E86431"/>
    <w:rsid w:val="68FC4CE8"/>
    <w:rsid w:val="692C7B17"/>
    <w:rsid w:val="694E3C0F"/>
    <w:rsid w:val="695C4910"/>
    <w:rsid w:val="696E0130"/>
    <w:rsid w:val="697119CE"/>
    <w:rsid w:val="69947FFA"/>
    <w:rsid w:val="69B70C13"/>
    <w:rsid w:val="69C836F6"/>
    <w:rsid w:val="69E77E4D"/>
    <w:rsid w:val="69F820EF"/>
    <w:rsid w:val="6A7E6502"/>
    <w:rsid w:val="6A9736B6"/>
    <w:rsid w:val="6AA0561F"/>
    <w:rsid w:val="6B2F3904"/>
    <w:rsid w:val="6B3233DF"/>
    <w:rsid w:val="6B77608D"/>
    <w:rsid w:val="6BB1661F"/>
    <w:rsid w:val="6BC060B4"/>
    <w:rsid w:val="6BD6020E"/>
    <w:rsid w:val="6BDC3D0D"/>
    <w:rsid w:val="6C291DD5"/>
    <w:rsid w:val="6C621AA2"/>
    <w:rsid w:val="6C7438EA"/>
    <w:rsid w:val="6C813343"/>
    <w:rsid w:val="6C997DFF"/>
    <w:rsid w:val="6CA052FF"/>
    <w:rsid w:val="6CDE4484"/>
    <w:rsid w:val="6CE301ED"/>
    <w:rsid w:val="6CF11056"/>
    <w:rsid w:val="6D052F5D"/>
    <w:rsid w:val="6D9B44C3"/>
    <w:rsid w:val="6D9F1F81"/>
    <w:rsid w:val="6DA6421B"/>
    <w:rsid w:val="6DCF71AF"/>
    <w:rsid w:val="6DD93FE6"/>
    <w:rsid w:val="6E31797E"/>
    <w:rsid w:val="6E407BC1"/>
    <w:rsid w:val="6E6715F2"/>
    <w:rsid w:val="6E755ABD"/>
    <w:rsid w:val="6E8D0C04"/>
    <w:rsid w:val="6E9323E7"/>
    <w:rsid w:val="6EB8009F"/>
    <w:rsid w:val="6F1A6664"/>
    <w:rsid w:val="6F3068CA"/>
    <w:rsid w:val="6FC55D20"/>
    <w:rsid w:val="703A5166"/>
    <w:rsid w:val="70482DCD"/>
    <w:rsid w:val="70652935"/>
    <w:rsid w:val="70867F63"/>
    <w:rsid w:val="70D72A5F"/>
    <w:rsid w:val="712B2DAA"/>
    <w:rsid w:val="716F7B4F"/>
    <w:rsid w:val="71B16BB6"/>
    <w:rsid w:val="723344DB"/>
    <w:rsid w:val="72A50E51"/>
    <w:rsid w:val="72BC22AC"/>
    <w:rsid w:val="72C1003D"/>
    <w:rsid w:val="72EB65E8"/>
    <w:rsid w:val="73131D48"/>
    <w:rsid w:val="73322583"/>
    <w:rsid w:val="7350163B"/>
    <w:rsid w:val="73974727"/>
    <w:rsid w:val="73C51294"/>
    <w:rsid w:val="73DB2866"/>
    <w:rsid w:val="73E55D9E"/>
    <w:rsid w:val="73F54672"/>
    <w:rsid w:val="74381A66"/>
    <w:rsid w:val="74913239"/>
    <w:rsid w:val="749D2C40"/>
    <w:rsid w:val="749D7B1B"/>
    <w:rsid w:val="74AE326B"/>
    <w:rsid w:val="751345E7"/>
    <w:rsid w:val="75145299"/>
    <w:rsid w:val="75AD2DF5"/>
    <w:rsid w:val="75C4111F"/>
    <w:rsid w:val="763B1608"/>
    <w:rsid w:val="7663189B"/>
    <w:rsid w:val="766B2C31"/>
    <w:rsid w:val="76B54B85"/>
    <w:rsid w:val="76C010FB"/>
    <w:rsid w:val="76D07693"/>
    <w:rsid w:val="77073E41"/>
    <w:rsid w:val="770D3DE8"/>
    <w:rsid w:val="77BF5FFA"/>
    <w:rsid w:val="782C7B34"/>
    <w:rsid w:val="78300CA6"/>
    <w:rsid w:val="7830212D"/>
    <w:rsid w:val="78627C51"/>
    <w:rsid w:val="789C4865"/>
    <w:rsid w:val="78B52FE7"/>
    <w:rsid w:val="792446E6"/>
    <w:rsid w:val="79960FDD"/>
    <w:rsid w:val="79AB6836"/>
    <w:rsid w:val="79BE01B2"/>
    <w:rsid w:val="79F27491"/>
    <w:rsid w:val="79F91C98"/>
    <w:rsid w:val="7A4F250A"/>
    <w:rsid w:val="7A607152"/>
    <w:rsid w:val="7A777060"/>
    <w:rsid w:val="7A804167"/>
    <w:rsid w:val="7A8931F1"/>
    <w:rsid w:val="7B0F1E7D"/>
    <w:rsid w:val="7B1960A5"/>
    <w:rsid w:val="7B8E4662"/>
    <w:rsid w:val="7BB67714"/>
    <w:rsid w:val="7BB816DF"/>
    <w:rsid w:val="7BD22FB0"/>
    <w:rsid w:val="7BDD06A3"/>
    <w:rsid w:val="7CC145C3"/>
    <w:rsid w:val="7D3A360A"/>
    <w:rsid w:val="7D74521C"/>
    <w:rsid w:val="7D7A2492"/>
    <w:rsid w:val="7D7A4287"/>
    <w:rsid w:val="7DCA5ED3"/>
    <w:rsid w:val="7DD651D5"/>
    <w:rsid w:val="7DF365F2"/>
    <w:rsid w:val="7E3C2153"/>
    <w:rsid w:val="7E3F6682"/>
    <w:rsid w:val="7E432C8D"/>
    <w:rsid w:val="7E5A1302"/>
    <w:rsid w:val="7E7315C2"/>
    <w:rsid w:val="7EA5419C"/>
    <w:rsid w:val="7EA60BA8"/>
    <w:rsid w:val="7EA912E8"/>
    <w:rsid w:val="7ECE37C2"/>
    <w:rsid w:val="7EDC1B88"/>
    <w:rsid w:val="7F570BB1"/>
    <w:rsid w:val="7F8A3392"/>
    <w:rsid w:val="7FB56661"/>
    <w:rsid w:val="7FD7082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qFormat="1" w:uiPriority="99" w:semiHidden="0" w:name="index 4"/>
    <w:lsdException w:uiPriority="0" w:name="index 5"/>
    <w:lsdException w:uiPriority="0" w:name="index 6"/>
    <w:lsdException w:uiPriority="0" w:name="index 7"/>
    <w:lsdException w:uiPriority="0" w:name="index 8"/>
    <w:lsdException w:uiPriority="0" w:name="index 9"/>
    <w:lsdException w:qFormat="1"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qFormat="1" w:unhideWhenUsed="0" w:uiPriority="0" w:semiHidden="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99"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uiPriority="0" w:name="Body Text First Indent"/>
    <w:lsdException w:qFormat="1" w:unhideWhenUsed="0" w:uiPriority="99" w:semiHidden="0" w:name="Body Text First Indent 2"/>
    <w:lsdException w:uiPriority="0" w:name="Note Heading"/>
    <w:lsdException w:qFormat="1" w:unhideWhenUsed="0" w:uiPriority="99" w:semiHidden="0" w:name="Body Text 2"/>
    <w:lsdException w:uiPriority="0" w:name="Body Text 3"/>
    <w:lsdException w:qFormat="1" w:unhideWhenUsed="0" w:uiPriority="99" w:semiHidden="0" w:name="Body Text Indent 2"/>
    <w:lsdException w:qFormat="1" w:unhideWhenUsed="0" w:uiPriority="0" w:semiHidden="0" w:name="Body Text Indent 3"/>
    <w:lsdException w:qFormat="1" w:uiPriority="99"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nhideWhenUsed="0" w:uiPriority="0" w:semiHidden="0" w:name="Normal (Web)"/>
    <w:lsdException w:qFormat="1" w:uiPriority="0" w:name="HTML Acronym"/>
    <w:lsdException w:uiPriority="0" w:name="HTML Address"/>
    <w:lsdException w:uiPriority="0" w:name="HTML Cite"/>
    <w:lsdException w:qFormat="1" w:uiPriority="0" w:name="HTML Code"/>
    <w:lsdException w:uiPriority="0" w:name="HTML Definition"/>
    <w:lsdException w:qFormat="1" w:uiPriority="0" w:name="HTML Keyboard"/>
    <w:lsdException w:qFormat="1" w:unhideWhenUsed="0" w:uiPriority="0" w:semiHidden="0" w:name="HTML Preformatted"/>
    <w:lsdException w:qFormat="1" w:uiPriority="0" w:name="HTML Sample"/>
    <w:lsdException w:qFormat="1"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autoRedefine/>
    <w:qFormat/>
    <w:uiPriority w:val="0"/>
    <w:pPr>
      <w:keepNext/>
      <w:tabs>
        <w:tab w:val="left" w:pos="1440"/>
        <w:tab w:val="left" w:pos="5670"/>
      </w:tabs>
      <w:spacing w:beforeLines="100" w:afterLines="100"/>
      <w:ind w:firstLine="2890" w:firstLineChars="1203"/>
      <w:outlineLvl w:val="0"/>
    </w:pPr>
    <w:rPr>
      <w:rFonts w:ascii="黑体" w:eastAsia="黑体"/>
      <w:b/>
      <w:kern w:val="44"/>
      <w:sz w:val="24"/>
      <w:szCs w:val="28"/>
    </w:rPr>
  </w:style>
  <w:style w:type="paragraph" w:styleId="3">
    <w:name w:val="heading 2"/>
    <w:basedOn w:val="1"/>
    <w:next w:val="1"/>
    <w:link w:val="63"/>
    <w:autoRedefine/>
    <w:qFormat/>
    <w:uiPriority w:val="0"/>
    <w:pPr>
      <w:keepNext/>
      <w:keepLines/>
      <w:spacing w:before="260" w:after="260" w:line="415" w:lineRule="auto"/>
      <w:outlineLvl w:val="1"/>
    </w:pPr>
    <w:rPr>
      <w:rFonts w:ascii="Arial" w:hAnsi="Arial" w:eastAsia="黑体" w:cs="Arial"/>
      <w:b/>
      <w:bCs/>
      <w:sz w:val="32"/>
      <w:szCs w:val="32"/>
    </w:rPr>
  </w:style>
  <w:style w:type="paragraph" w:styleId="4">
    <w:name w:val="heading 3"/>
    <w:basedOn w:val="1"/>
    <w:next w:val="1"/>
    <w:link w:val="62"/>
    <w:autoRedefine/>
    <w:semiHidden/>
    <w:unhideWhenUsed/>
    <w:qFormat/>
    <w:uiPriority w:val="0"/>
    <w:pPr>
      <w:keepNext/>
      <w:keepLines/>
      <w:spacing w:before="260" w:after="260" w:line="412" w:lineRule="auto"/>
      <w:outlineLvl w:val="2"/>
    </w:pPr>
    <w:rPr>
      <w:b/>
      <w:kern w:val="0"/>
      <w:sz w:val="32"/>
      <w:szCs w:val="32"/>
    </w:rPr>
  </w:style>
  <w:style w:type="paragraph" w:styleId="5">
    <w:name w:val="heading 4"/>
    <w:basedOn w:val="1"/>
    <w:next w:val="1"/>
    <w:link w:val="52"/>
    <w:autoRedefine/>
    <w:qFormat/>
    <w:uiPriority w:val="0"/>
    <w:pPr>
      <w:keepNext/>
      <w:keepLines/>
      <w:spacing w:before="120" w:after="120"/>
      <w:outlineLvl w:val="3"/>
    </w:pPr>
    <w:rPr>
      <w:rFonts w:ascii="Arial" w:hAnsi="Arial" w:eastAsia="黑体"/>
      <w:b/>
      <w:sz w:val="28"/>
    </w:rPr>
  </w:style>
  <w:style w:type="paragraph" w:styleId="6">
    <w:name w:val="heading 5"/>
    <w:basedOn w:val="1"/>
    <w:next w:val="1"/>
    <w:autoRedefine/>
    <w:qFormat/>
    <w:uiPriority w:val="0"/>
    <w:pPr>
      <w:keepNext/>
      <w:autoSpaceDE w:val="0"/>
      <w:autoSpaceDN w:val="0"/>
      <w:adjustRightInd w:val="0"/>
      <w:spacing w:before="156" w:beforeLines="50" w:after="156" w:afterLines="50"/>
      <w:outlineLvl w:val="4"/>
    </w:pPr>
    <w:rPr>
      <w:rFonts w:ascii="黑体" w:eastAsia="黑体"/>
      <w:b/>
      <w:color w:val="000000"/>
      <w:sz w:val="28"/>
    </w:rPr>
  </w:style>
  <w:style w:type="character" w:default="1" w:styleId="27">
    <w:name w:val="Default Paragraph Font"/>
    <w:semiHidden/>
    <w:unhideWhenUsed/>
    <w:qFormat/>
    <w:uiPriority w:val="1"/>
  </w:style>
  <w:style w:type="table" w:default="1" w:styleId="25">
    <w:name w:val="Normal Table"/>
    <w:semiHidden/>
    <w:unhideWhenUsed/>
    <w:qFormat/>
    <w:uiPriority w:val="99"/>
    <w:tblPr>
      <w:tblCellMar>
        <w:top w:w="0" w:type="dxa"/>
        <w:left w:w="108" w:type="dxa"/>
        <w:bottom w:w="0" w:type="dxa"/>
        <w:right w:w="108" w:type="dxa"/>
      </w:tblCellMar>
    </w:tblPr>
  </w:style>
  <w:style w:type="paragraph" w:styleId="7">
    <w:name w:val="Normal Indent"/>
    <w:basedOn w:val="1"/>
    <w:autoRedefine/>
    <w:qFormat/>
    <w:uiPriority w:val="0"/>
    <w:pPr>
      <w:ind w:firstLine="420"/>
    </w:pPr>
  </w:style>
  <w:style w:type="paragraph" w:styleId="8">
    <w:name w:val="annotation text"/>
    <w:basedOn w:val="1"/>
    <w:link w:val="71"/>
    <w:autoRedefine/>
    <w:qFormat/>
    <w:uiPriority w:val="0"/>
    <w:pPr>
      <w:jc w:val="left"/>
    </w:pPr>
  </w:style>
  <w:style w:type="paragraph" w:styleId="9">
    <w:name w:val="Body Text"/>
    <w:basedOn w:val="1"/>
    <w:next w:val="1"/>
    <w:link w:val="54"/>
    <w:autoRedefine/>
    <w:qFormat/>
    <w:uiPriority w:val="0"/>
    <w:pPr>
      <w:spacing w:after="120"/>
    </w:pPr>
    <w:rPr>
      <w:kern w:val="0"/>
      <w:sz w:val="24"/>
      <w:szCs w:val="24"/>
    </w:rPr>
  </w:style>
  <w:style w:type="paragraph" w:styleId="10">
    <w:name w:val="Body Text Indent"/>
    <w:basedOn w:val="1"/>
    <w:next w:val="11"/>
    <w:autoRedefine/>
    <w:qFormat/>
    <w:uiPriority w:val="99"/>
    <w:pPr>
      <w:spacing w:after="120"/>
      <w:ind w:left="420" w:leftChars="200"/>
    </w:pPr>
    <w:rPr>
      <w:kern w:val="0"/>
      <w:sz w:val="24"/>
    </w:rPr>
  </w:style>
  <w:style w:type="paragraph" w:styleId="11">
    <w:name w:val="envelope return"/>
    <w:basedOn w:val="1"/>
    <w:qFormat/>
    <w:uiPriority w:val="0"/>
    <w:pPr>
      <w:snapToGrid w:val="0"/>
    </w:pPr>
    <w:rPr>
      <w:rFonts w:ascii="Arial" w:hAnsi="Arial"/>
    </w:rPr>
  </w:style>
  <w:style w:type="paragraph" w:styleId="12">
    <w:name w:val="Block Text"/>
    <w:basedOn w:val="1"/>
    <w:autoRedefine/>
    <w:unhideWhenUsed/>
    <w:qFormat/>
    <w:uiPriority w:val="99"/>
    <w:pPr>
      <w:spacing w:after="120"/>
      <w:ind w:left="1440" w:leftChars="700" w:right="1440" w:rightChars="700"/>
    </w:pPr>
  </w:style>
  <w:style w:type="paragraph" w:styleId="13">
    <w:name w:val="index 4"/>
    <w:basedOn w:val="1"/>
    <w:next w:val="1"/>
    <w:autoRedefine/>
    <w:unhideWhenUsed/>
    <w:qFormat/>
    <w:uiPriority w:val="99"/>
    <w:pPr>
      <w:ind w:left="600" w:leftChars="600"/>
    </w:pPr>
    <w:rPr>
      <w:rFonts w:ascii="Verdana" w:hAnsi="Verdana"/>
    </w:rPr>
  </w:style>
  <w:style w:type="paragraph" w:styleId="14">
    <w:name w:val="Plain Text"/>
    <w:basedOn w:val="1"/>
    <w:link w:val="64"/>
    <w:autoRedefine/>
    <w:qFormat/>
    <w:uiPriority w:val="0"/>
    <w:rPr>
      <w:rFonts w:ascii="宋体" w:hAnsi="Courier New" w:eastAsiaTheme="minorEastAsia" w:cstheme="minorBidi"/>
      <w:szCs w:val="22"/>
    </w:rPr>
  </w:style>
  <w:style w:type="paragraph" w:styleId="15">
    <w:name w:val="Body Text Indent 2"/>
    <w:basedOn w:val="1"/>
    <w:autoRedefine/>
    <w:qFormat/>
    <w:uiPriority w:val="99"/>
    <w:pPr>
      <w:ind w:left="630" w:firstLine="645"/>
    </w:pPr>
    <w:rPr>
      <w:rFonts w:ascii="Arial" w:hAnsi="Arial" w:eastAsia="仿宋_GB2312"/>
      <w:kern w:val="0"/>
      <w:sz w:val="32"/>
    </w:rPr>
  </w:style>
  <w:style w:type="paragraph" w:styleId="16">
    <w:name w:val="Balloon Text"/>
    <w:basedOn w:val="1"/>
    <w:link w:val="60"/>
    <w:autoRedefine/>
    <w:qFormat/>
    <w:uiPriority w:val="0"/>
    <w:rPr>
      <w:sz w:val="18"/>
      <w:szCs w:val="18"/>
    </w:rPr>
  </w:style>
  <w:style w:type="paragraph" w:styleId="17">
    <w:name w:val="footer"/>
    <w:basedOn w:val="1"/>
    <w:link w:val="55"/>
    <w:autoRedefine/>
    <w:qFormat/>
    <w:uiPriority w:val="0"/>
    <w:pPr>
      <w:tabs>
        <w:tab w:val="center" w:pos="4153"/>
        <w:tab w:val="right" w:pos="8306"/>
      </w:tabs>
      <w:snapToGrid w:val="0"/>
      <w:jc w:val="left"/>
    </w:pPr>
    <w:rPr>
      <w:sz w:val="18"/>
    </w:rPr>
  </w:style>
  <w:style w:type="paragraph" w:styleId="18">
    <w:name w:val="header"/>
    <w:basedOn w:val="1"/>
    <w:link w:val="56"/>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9">
    <w:name w:val="toc 1"/>
    <w:basedOn w:val="1"/>
    <w:next w:val="1"/>
    <w:semiHidden/>
    <w:unhideWhenUsed/>
    <w:qFormat/>
    <w:uiPriority w:val="0"/>
  </w:style>
  <w:style w:type="paragraph" w:styleId="20">
    <w:name w:val="Body Text Indent 3"/>
    <w:basedOn w:val="1"/>
    <w:autoRedefine/>
    <w:qFormat/>
    <w:uiPriority w:val="0"/>
    <w:pPr>
      <w:ind w:left="645" w:firstLine="645"/>
    </w:pPr>
    <w:rPr>
      <w:rFonts w:ascii="Arial" w:hAnsi="Arial" w:eastAsia="仿宋_GB2312"/>
      <w:color w:val="FFFF00"/>
      <w:sz w:val="32"/>
    </w:rPr>
  </w:style>
  <w:style w:type="paragraph" w:styleId="21">
    <w:name w:val="HTML Preformatted"/>
    <w:basedOn w:val="1"/>
    <w:link w:val="65"/>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kern w:val="0"/>
      <w:sz w:val="24"/>
      <w:szCs w:val="24"/>
    </w:rPr>
  </w:style>
  <w:style w:type="paragraph" w:styleId="22">
    <w:name w:val="Normal (Web)"/>
    <w:basedOn w:val="1"/>
    <w:autoRedefine/>
    <w:qFormat/>
    <w:uiPriority w:val="0"/>
    <w:pPr>
      <w:widowControl/>
      <w:spacing w:beforeAutospacing="1" w:afterAutospacing="1"/>
      <w:jc w:val="left"/>
    </w:pPr>
    <w:rPr>
      <w:rFonts w:hint="eastAsia" w:ascii="宋体" w:hAnsi="宋体"/>
      <w:kern w:val="0"/>
      <w:sz w:val="24"/>
      <w:szCs w:val="24"/>
    </w:rPr>
  </w:style>
  <w:style w:type="paragraph" w:styleId="23">
    <w:name w:val="annotation subject"/>
    <w:basedOn w:val="8"/>
    <w:next w:val="8"/>
    <w:link w:val="72"/>
    <w:autoRedefine/>
    <w:qFormat/>
    <w:uiPriority w:val="0"/>
    <w:rPr>
      <w:b/>
      <w:bCs/>
    </w:rPr>
  </w:style>
  <w:style w:type="paragraph" w:styleId="24">
    <w:name w:val="Body Text First Indent 2"/>
    <w:basedOn w:val="10"/>
    <w:next w:val="1"/>
    <w:autoRedefine/>
    <w:qFormat/>
    <w:uiPriority w:val="99"/>
    <w:pPr>
      <w:spacing w:after="0" w:line="360" w:lineRule="auto"/>
      <w:ind w:left="0" w:leftChars="0" w:firstLine="420" w:firstLineChars="200"/>
    </w:pPr>
    <w:rPr>
      <w:rFonts w:ascii="宋体" w:hAnsi="宋体"/>
      <w:sz w:val="20"/>
    </w:rPr>
  </w:style>
  <w:style w:type="table" w:styleId="26">
    <w:name w:val="Table Grid"/>
    <w:basedOn w:val="25"/>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8">
    <w:name w:val="Strong"/>
    <w:basedOn w:val="27"/>
    <w:qFormat/>
    <w:uiPriority w:val="0"/>
    <w:rPr>
      <w:b/>
    </w:rPr>
  </w:style>
  <w:style w:type="character" w:styleId="29">
    <w:name w:val="page number"/>
    <w:basedOn w:val="27"/>
    <w:autoRedefine/>
    <w:qFormat/>
    <w:uiPriority w:val="0"/>
  </w:style>
  <w:style w:type="character" w:styleId="30">
    <w:name w:val="FollowedHyperlink"/>
    <w:basedOn w:val="27"/>
    <w:autoRedefine/>
    <w:qFormat/>
    <w:uiPriority w:val="0"/>
    <w:rPr>
      <w:color w:val="800080"/>
      <w:u w:val="single"/>
    </w:rPr>
  </w:style>
  <w:style w:type="character" w:styleId="31">
    <w:name w:val="Emphasis"/>
    <w:basedOn w:val="27"/>
    <w:qFormat/>
    <w:uiPriority w:val="0"/>
    <w:rPr>
      <w:i/>
    </w:rPr>
  </w:style>
  <w:style w:type="character" w:styleId="32">
    <w:name w:val="HTML Typewriter"/>
    <w:basedOn w:val="27"/>
    <w:autoRedefine/>
    <w:semiHidden/>
    <w:unhideWhenUsed/>
    <w:qFormat/>
    <w:uiPriority w:val="0"/>
    <w:rPr>
      <w:rFonts w:ascii="monospace" w:hAnsi="monospace" w:eastAsia="monospace" w:cs="monospace"/>
      <w:sz w:val="20"/>
    </w:rPr>
  </w:style>
  <w:style w:type="character" w:styleId="33">
    <w:name w:val="HTML Acronym"/>
    <w:basedOn w:val="27"/>
    <w:autoRedefine/>
    <w:semiHidden/>
    <w:unhideWhenUsed/>
    <w:qFormat/>
    <w:uiPriority w:val="0"/>
  </w:style>
  <w:style w:type="character" w:styleId="34">
    <w:name w:val="Hyperlink"/>
    <w:basedOn w:val="27"/>
    <w:autoRedefine/>
    <w:qFormat/>
    <w:uiPriority w:val="0"/>
    <w:rPr>
      <w:color w:val="0000FF"/>
      <w:u w:val="single"/>
    </w:rPr>
  </w:style>
  <w:style w:type="character" w:styleId="35">
    <w:name w:val="HTML Code"/>
    <w:basedOn w:val="27"/>
    <w:autoRedefine/>
    <w:semiHidden/>
    <w:unhideWhenUsed/>
    <w:qFormat/>
    <w:uiPriority w:val="0"/>
    <w:rPr>
      <w:rFonts w:hint="default" w:ascii="monospace" w:hAnsi="monospace" w:eastAsia="monospace" w:cs="monospace"/>
      <w:sz w:val="20"/>
    </w:rPr>
  </w:style>
  <w:style w:type="character" w:styleId="36">
    <w:name w:val="annotation reference"/>
    <w:basedOn w:val="27"/>
    <w:autoRedefine/>
    <w:qFormat/>
    <w:uiPriority w:val="0"/>
    <w:rPr>
      <w:sz w:val="21"/>
      <w:szCs w:val="21"/>
    </w:rPr>
  </w:style>
  <w:style w:type="character" w:styleId="37">
    <w:name w:val="HTML Keyboard"/>
    <w:basedOn w:val="27"/>
    <w:autoRedefine/>
    <w:semiHidden/>
    <w:unhideWhenUsed/>
    <w:qFormat/>
    <w:uiPriority w:val="0"/>
    <w:rPr>
      <w:rFonts w:hint="default" w:ascii="monospace" w:hAnsi="monospace" w:eastAsia="monospace" w:cs="monospace"/>
      <w:sz w:val="20"/>
    </w:rPr>
  </w:style>
  <w:style w:type="character" w:styleId="38">
    <w:name w:val="HTML Sample"/>
    <w:basedOn w:val="27"/>
    <w:autoRedefine/>
    <w:semiHidden/>
    <w:unhideWhenUsed/>
    <w:qFormat/>
    <w:uiPriority w:val="0"/>
    <w:rPr>
      <w:rFonts w:hint="default" w:ascii="monospace" w:hAnsi="monospace" w:eastAsia="monospace" w:cs="monospace"/>
    </w:rPr>
  </w:style>
  <w:style w:type="paragraph" w:customStyle="1" w:styleId="39">
    <w:name w:val="xl75"/>
    <w:basedOn w:val="1"/>
    <w:next w:val="40"/>
    <w:autoRedefine/>
    <w:qFormat/>
    <w:uiPriority w:val="0"/>
    <w:pPr>
      <w:widowControl/>
      <w:spacing w:before="280" w:after="280"/>
      <w:ind w:left="200" w:firstLine="5320"/>
      <w:jc w:val="center"/>
    </w:pPr>
    <w:rPr>
      <w:rFonts w:ascii="宋体"/>
    </w:rPr>
  </w:style>
  <w:style w:type="paragraph" w:customStyle="1" w:styleId="40">
    <w:name w:val="Test2"/>
    <w:basedOn w:val="3"/>
    <w:next w:val="41"/>
    <w:autoRedefine/>
    <w:qFormat/>
    <w:uiPriority w:val="0"/>
    <w:pPr>
      <w:widowControl/>
      <w:adjustRightInd w:val="0"/>
      <w:snapToGrid w:val="0"/>
      <w:spacing w:beforeLines="50" w:afterLines="50" w:line="480" w:lineRule="exact"/>
      <w:jc w:val="center"/>
    </w:pPr>
    <w:rPr>
      <w:rFonts w:ascii="黑体"/>
      <w:snapToGrid w:val="0"/>
      <w:kern w:val="0"/>
      <w:sz w:val="24"/>
    </w:rPr>
  </w:style>
  <w:style w:type="paragraph" w:customStyle="1" w:styleId="41">
    <w:name w:val="xl59"/>
    <w:basedOn w:val="1"/>
    <w:next w:val="42"/>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i/>
      <w:iCs/>
      <w:kern w:val="0"/>
      <w:sz w:val="20"/>
    </w:rPr>
  </w:style>
  <w:style w:type="paragraph" w:customStyle="1" w:styleId="42">
    <w:name w:val="方案正文"/>
    <w:basedOn w:val="1"/>
    <w:next w:val="43"/>
    <w:autoRedefine/>
    <w:qFormat/>
    <w:uiPriority w:val="0"/>
    <w:pPr>
      <w:spacing w:before="156" w:line="360" w:lineRule="auto"/>
      <w:ind w:firstLine="359" w:firstLineChars="171"/>
      <w:jc w:val="left"/>
    </w:pPr>
    <w:rPr>
      <w:rFonts w:ascii="Arial" w:hAnsi="Arial" w:cs="宋体"/>
      <w:sz w:val="24"/>
      <w:szCs w:val="21"/>
    </w:rPr>
  </w:style>
  <w:style w:type="paragraph" w:customStyle="1" w:styleId="43">
    <w:name w:val="小四 段落 宋体 Char Char Char Char"/>
    <w:basedOn w:val="1"/>
    <w:next w:val="44"/>
    <w:autoRedefine/>
    <w:qFormat/>
    <w:uiPriority w:val="0"/>
    <w:pPr>
      <w:spacing w:line="360" w:lineRule="auto"/>
      <w:ind w:right="-33" w:firstLine="480" w:firstLineChars="200"/>
      <w:jc w:val="left"/>
    </w:pPr>
    <w:rPr>
      <w:sz w:val="24"/>
      <w:szCs w:val="24"/>
    </w:rPr>
  </w:style>
  <w:style w:type="paragraph" w:customStyle="1" w:styleId="44">
    <w:name w:val="flType"/>
    <w:basedOn w:val="45"/>
    <w:next w:val="1"/>
    <w:autoRedefine/>
    <w:qFormat/>
    <w:uiPriority w:val="0"/>
    <w:pPr>
      <w:spacing w:after="284"/>
    </w:pPr>
    <w:rPr>
      <w:rFonts w:eastAsia="宋体"/>
      <w:b w:val="0"/>
    </w:rPr>
  </w:style>
  <w:style w:type="paragraph" w:customStyle="1" w:styleId="45">
    <w:name w:val="flName"/>
    <w:basedOn w:val="46"/>
    <w:qFormat/>
    <w:uiPriority w:val="0"/>
    <w:pPr>
      <w:spacing w:before="0" w:line="113" w:lineRule="atLeast"/>
    </w:pPr>
  </w:style>
  <w:style w:type="paragraph" w:customStyle="1" w:styleId="46">
    <w:name w:val="flNote"/>
    <w:basedOn w:val="1"/>
    <w:qFormat/>
    <w:uiPriority w:val="0"/>
    <w:pPr>
      <w:adjustRightInd w:val="0"/>
      <w:spacing w:before="567" w:line="360" w:lineRule="atLeast"/>
      <w:jc w:val="center"/>
      <w:textAlignment w:val="baseline"/>
    </w:pPr>
    <w:rPr>
      <w:rFonts w:eastAsia="黑体"/>
      <w:b/>
      <w:kern w:val="0"/>
      <w:sz w:val="24"/>
    </w:rPr>
  </w:style>
  <w:style w:type="paragraph" w:customStyle="1" w:styleId="47">
    <w:name w:val="首行缩进"/>
    <w:basedOn w:val="1"/>
    <w:autoRedefine/>
    <w:qFormat/>
    <w:uiPriority w:val="0"/>
    <w:pPr>
      <w:ind w:firstLine="480" w:firstLineChars="200"/>
    </w:pPr>
    <w:rPr>
      <w:lang w:val="zh-CN"/>
    </w:rPr>
  </w:style>
  <w:style w:type="paragraph" w:customStyle="1" w:styleId="48">
    <w:name w:val="正文文本缩进 31"/>
    <w:basedOn w:val="1"/>
    <w:autoRedefine/>
    <w:qFormat/>
    <w:uiPriority w:val="0"/>
    <w:pPr>
      <w:tabs>
        <w:tab w:val="left" w:pos="0"/>
      </w:tabs>
      <w:spacing w:line="360" w:lineRule="auto"/>
      <w:ind w:firstLine="504" w:firstLineChars="209"/>
    </w:pPr>
    <w:rPr>
      <w:rFonts w:ascii="宋体"/>
      <w:b/>
      <w:bCs/>
      <w:sz w:val="24"/>
      <w:szCs w:val="24"/>
    </w:rPr>
  </w:style>
  <w:style w:type="paragraph" w:customStyle="1" w:styleId="49">
    <w:name w:val="Table Paragraph"/>
    <w:basedOn w:val="1"/>
    <w:autoRedefine/>
    <w:qFormat/>
    <w:uiPriority w:val="1"/>
    <w:rPr>
      <w:rFonts w:ascii="宋体" w:hAnsi="宋体" w:cs="宋体"/>
      <w:lang w:val="zh-CN" w:bidi="zh-CN"/>
    </w:rPr>
  </w:style>
  <w:style w:type="paragraph" w:styleId="50">
    <w:name w:val="List Paragraph"/>
    <w:basedOn w:val="1"/>
    <w:autoRedefine/>
    <w:qFormat/>
    <w:uiPriority w:val="34"/>
    <w:pPr>
      <w:ind w:firstLine="420" w:firstLineChars="200"/>
    </w:pPr>
    <w:rPr>
      <w:szCs w:val="24"/>
    </w:rPr>
  </w:style>
  <w:style w:type="paragraph" w:customStyle="1" w:styleId="51">
    <w:name w:val="列出段落1"/>
    <w:basedOn w:val="1"/>
    <w:autoRedefine/>
    <w:qFormat/>
    <w:uiPriority w:val="34"/>
    <w:pPr>
      <w:ind w:firstLine="420" w:firstLineChars="200"/>
    </w:pPr>
  </w:style>
  <w:style w:type="character" w:customStyle="1" w:styleId="52">
    <w:name w:val="标题 4 Char"/>
    <w:basedOn w:val="27"/>
    <w:link w:val="5"/>
    <w:autoRedefine/>
    <w:qFormat/>
    <w:uiPriority w:val="0"/>
    <w:rPr>
      <w:rFonts w:ascii="Cambria" w:hAnsi="Cambria" w:eastAsia="宋体" w:cs="Times New Roman"/>
      <w:b/>
      <w:kern w:val="2"/>
      <w:sz w:val="28"/>
      <w:szCs w:val="28"/>
    </w:rPr>
  </w:style>
  <w:style w:type="paragraph" w:customStyle="1" w:styleId="53">
    <w:name w:val="标题 41"/>
    <w:basedOn w:val="1"/>
    <w:autoRedefine/>
    <w:qFormat/>
    <w:uiPriority w:val="0"/>
    <w:pPr>
      <w:autoSpaceDE w:val="0"/>
      <w:autoSpaceDN w:val="0"/>
      <w:ind w:left="618"/>
      <w:jc w:val="left"/>
      <w:outlineLvl w:val="4"/>
    </w:pPr>
    <w:rPr>
      <w:rFonts w:hint="eastAsia" w:ascii="宋体" w:hAnsi="宋体"/>
      <w:b/>
      <w:kern w:val="0"/>
      <w:sz w:val="24"/>
      <w:szCs w:val="24"/>
    </w:rPr>
  </w:style>
  <w:style w:type="character" w:customStyle="1" w:styleId="54">
    <w:name w:val="正文文本 Char1"/>
    <w:basedOn w:val="27"/>
    <w:link w:val="9"/>
    <w:autoRedefine/>
    <w:qFormat/>
    <w:uiPriority w:val="0"/>
    <w:rPr>
      <w:rFonts w:hint="default" w:ascii="Times New Roman" w:hAnsi="Times New Roman" w:eastAsia="宋体" w:cs="Times New Roman"/>
      <w:sz w:val="24"/>
      <w:szCs w:val="24"/>
    </w:rPr>
  </w:style>
  <w:style w:type="character" w:customStyle="1" w:styleId="55">
    <w:name w:val="页脚 Char"/>
    <w:basedOn w:val="27"/>
    <w:link w:val="17"/>
    <w:autoRedefine/>
    <w:qFormat/>
    <w:uiPriority w:val="0"/>
    <w:rPr>
      <w:rFonts w:hint="default" w:ascii="Times New Roman" w:hAnsi="Times New Roman" w:eastAsia="宋体" w:cs="Times New Roman"/>
      <w:sz w:val="18"/>
      <w:szCs w:val="18"/>
    </w:rPr>
  </w:style>
  <w:style w:type="character" w:customStyle="1" w:styleId="56">
    <w:name w:val="页眉 Char"/>
    <w:basedOn w:val="27"/>
    <w:link w:val="18"/>
    <w:autoRedefine/>
    <w:qFormat/>
    <w:uiPriority w:val="0"/>
    <w:rPr>
      <w:rFonts w:hint="default" w:ascii="Times New Roman" w:hAnsi="Times New Roman" w:eastAsia="宋体" w:cs="Times New Roman"/>
      <w:sz w:val="18"/>
      <w:szCs w:val="18"/>
    </w:rPr>
  </w:style>
  <w:style w:type="paragraph" w:customStyle="1" w:styleId="57">
    <w:name w:val="ewb-con-p2"/>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58">
    <w:name w:val="正文2"/>
    <w:basedOn w:val="1"/>
    <w:autoRedefine/>
    <w:qFormat/>
    <w:uiPriority w:val="0"/>
    <w:pPr>
      <w:spacing w:before="156" w:line="360" w:lineRule="auto"/>
      <w:ind w:firstLine="510" w:firstLineChars="200"/>
    </w:pPr>
    <w:rPr>
      <w:sz w:val="24"/>
    </w:rPr>
  </w:style>
  <w:style w:type="character" w:customStyle="1" w:styleId="59">
    <w:name w:val="标题 3 Char1"/>
    <w:basedOn w:val="27"/>
    <w:autoRedefine/>
    <w:semiHidden/>
    <w:qFormat/>
    <w:uiPriority w:val="0"/>
    <w:rPr>
      <w:b/>
      <w:bCs/>
      <w:kern w:val="2"/>
      <w:sz w:val="32"/>
      <w:szCs w:val="32"/>
    </w:rPr>
  </w:style>
  <w:style w:type="character" w:customStyle="1" w:styleId="60">
    <w:name w:val="批注框文本 Char"/>
    <w:basedOn w:val="27"/>
    <w:link w:val="16"/>
    <w:autoRedefine/>
    <w:qFormat/>
    <w:uiPriority w:val="0"/>
    <w:rPr>
      <w:kern w:val="2"/>
      <w:sz w:val="18"/>
      <w:szCs w:val="18"/>
    </w:rPr>
  </w:style>
  <w:style w:type="paragraph" w:customStyle="1" w:styleId="61">
    <w:name w:val="msolistparagraph"/>
    <w:basedOn w:val="1"/>
    <w:autoRedefine/>
    <w:qFormat/>
    <w:uiPriority w:val="0"/>
    <w:pPr>
      <w:spacing w:line="360" w:lineRule="auto"/>
      <w:ind w:firstLine="420" w:firstLineChars="200"/>
    </w:pPr>
    <w:rPr>
      <w:rFonts w:ascii="Calibri" w:hAnsi="Calibri"/>
      <w:kern w:val="0"/>
      <w:sz w:val="20"/>
    </w:rPr>
  </w:style>
  <w:style w:type="character" w:customStyle="1" w:styleId="62">
    <w:name w:val="标题 3 Char"/>
    <w:basedOn w:val="27"/>
    <w:link w:val="4"/>
    <w:autoRedefine/>
    <w:qFormat/>
    <w:uiPriority w:val="0"/>
    <w:rPr>
      <w:b/>
      <w:sz w:val="32"/>
      <w:szCs w:val="32"/>
    </w:rPr>
  </w:style>
  <w:style w:type="character" w:customStyle="1" w:styleId="63">
    <w:name w:val="标题 2 Char1"/>
    <w:basedOn w:val="27"/>
    <w:link w:val="3"/>
    <w:autoRedefine/>
    <w:qFormat/>
    <w:uiPriority w:val="0"/>
    <w:rPr>
      <w:rFonts w:hint="default" w:ascii="Arial" w:hAnsi="Arial" w:eastAsia="黑体" w:cs="Arial"/>
      <w:b/>
      <w:sz w:val="32"/>
      <w:szCs w:val="32"/>
    </w:rPr>
  </w:style>
  <w:style w:type="character" w:customStyle="1" w:styleId="64">
    <w:name w:val="纯文本 Char"/>
    <w:basedOn w:val="27"/>
    <w:link w:val="14"/>
    <w:autoRedefine/>
    <w:qFormat/>
    <w:uiPriority w:val="0"/>
    <w:rPr>
      <w:rFonts w:hint="eastAsia" w:ascii="宋体" w:hAnsi="Courier New" w:eastAsia="宋体" w:cs="宋体"/>
      <w:sz w:val="21"/>
      <w:szCs w:val="21"/>
    </w:rPr>
  </w:style>
  <w:style w:type="character" w:customStyle="1" w:styleId="65">
    <w:name w:val="HTML 预设格式 Char"/>
    <w:basedOn w:val="27"/>
    <w:link w:val="21"/>
    <w:autoRedefine/>
    <w:qFormat/>
    <w:uiPriority w:val="0"/>
    <w:rPr>
      <w:rFonts w:hint="eastAsia" w:ascii="宋体" w:hAnsi="宋体" w:eastAsia="宋体" w:cs="宋体"/>
      <w:sz w:val="24"/>
      <w:szCs w:val="24"/>
    </w:rPr>
  </w:style>
  <w:style w:type="character" w:customStyle="1" w:styleId="66">
    <w:name w:val="列出段落 Char"/>
    <w:basedOn w:val="27"/>
    <w:autoRedefine/>
    <w:qFormat/>
    <w:uiPriority w:val="0"/>
    <w:rPr>
      <w:rFonts w:hint="default" w:ascii="Calibri" w:hAnsi="Calibri" w:cs="Calibri"/>
    </w:rPr>
  </w:style>
  <w:style w:type="paragraph" w:customStyle="1" w:styleId="67">
    <w:name w:val="NormalIndent"/>
    <w:basedOn w:val="1"/>
    <w:autoRedefine/>
    <w:qFormat/>
    <w:uiPriority w:val="0"/>
    <w:pPr>
      <w:ind w:firstLine="420"/>
    </w:pPr>
    <w:rPr>
      <w:rFonts w:ascii="Calibri" w:hAnsi="Calibri"/>
      <w:szCs w:val="24"/>
    </w:rPr>
  </w:style>
  <w:style w:type="paragraph" w:customStyle="1" w:styleId="68">
    <w:name w:val="正文3"/>
    <w:basedOn w:val="1"/>
    <w:autoRedefine/>
    <w:qFormat/>
    <w:uiPriority w:val="0"/>
    <w:rPr>
      <w:kern w:val="0"/>
      <w:sz w:val="20"/>
    </w:rPr>
  </w:style>
  <w:style w:type="paragraph" w:customStyle="1" w:styleId="69">
    <w:name w:val="Blockquote"/>
    <w:basedOn w:val="1"/>
    <w:autoRedefine/>
    <w:qFormat/>
    <w:uiPriority w:val="99"/>
    <w:pPr>
      <w:autoSpaceDE w:val="0"/>
      <w:autoSpaceDN w:val="0"/>
      <w:adjustRightInd w:val="0"/>
      <w:spacing w:before="100" w:after="100"/>
      <w:ind w:left="360" w:right="360"/>
      <w:jc w:val="left"/>
    </w:pPr>
    <w:rPr>
      <w:kern w:val="0"/>
      <w:sz w:val="24"/>
    </w:rPr>
  </w:style>
  <w:style w:type="table" w:customStyle="1" w:styleId="70">
    <w:name w:val="Table Normal"/>
    <w:autoRedefine/>
    <w:semiHidden/>
    <w:unhideWhenUsed/>
    <w:qFormat/>
    <w:uiPriority w:val="0"/>
    <w:tblPr>
      <w:tblCellMar>
        <w:top w:w="0" w:type="dxa"/>
        <w:left w:w="0" w:type="dxa"/>
        <w:bottom w:w="0" w:type="dxa"/>
        <w:right w:w="0" w:type="dxa"/>
      </w:tblCellMar>
    </w:tblPr>
  </w:style>
  <w:style w:type="character" w:customStyle="1" w:styleId="71">
    <w:name w:val="批注文字 Char"/>
    <w:basedOn w:val="27"/>
    <w:link w:val="8"/>
    <w:autoRedefine/>
    <w:qFormat/>
    <w:uiPriority w:val="0"/>
    <w:rPr>
      <w:kern w:val="2"/>
      <w:sz w:val="21"/>
    </w:rPr>
  </w:style>
  <w:style w:type="character" w:customStyle="1" w:styleId="72">
    <w:name w:val="批注主题 Char"/>
    <w:basedOn w:val="71"/>
    <w:link w:val="23"/>
    <w:autoRedefine/>
    <w:qFormat/>
    <w:uiPriority w:val="0"/>
    <w:rPr>
      <w:b/>
      <w:bCs/>
      <w:kern w:val="2"/>
      <w:sz w:val="21"/>
    </w:rPr>
  </w:style>
  <w:style w:type="paragraph" w:customStyle="1" w:styleId="73">
    <w:name w:val="修订1"/>
    <w:autoRedefine/>
    <w:hidden/>
    <w:semiHidden/>
    <w:qFormat/>
    <w:uiPriority w:val="99"/>
    <w:rPr>
      <w:rFonts w:ascii="Times New Roman" w:hAnsi="Times New Roman" w:eastAsia="宋体" w:cs="Times New Roman"/>
      <w:kern w:val="2"/>
      <w:sz w:val="21"/>
      <w:lang w:val="en-US" w:eastAsia="zh-CN" w:bidi="ar-SA"/>
    </w:rPr>
  </w:style>
  <w:style w:type="paragraph" w:customStyle="1" w:styleId="74">
    <w:name w:val="_Style 52"/>
    <w:basedOn w:val="1"/>
    <w:next w:val="50"/>
    <w:autoRedefine/>
    <w:qFormat/>
    <w:uiPriority w:val="34"/>
    <w:pPr>
      <w:ind w:firstLine="420" w:firstLineChars="200"/>
    </w:pPr>
    <w:rPr>
      <w:szCs w:val="24"/>
    </w:rPr>
  </w:style>
  <w:style w:type="character" w:customStyle="1" w:styleId="75">
    <w:name w:val="正文文本 Char"/>
    <w:autoRedefine/>
    <w:qFormat/>
    <w:uiPriority w:val="0"/>
    <w:rPr>
      <w:kern w:val="2"/>
      <w:sz w:val="21"/>
      <w:szCs w:val="24"/>
    </w:rPr>
  </w:style>
  <w:style w:type="character" w:customStyle="1" w:styleId="76">
    <w:name w:val="标题 2 Char"/>
    <w:autoRedefine/>
    <w:qFormat/>
    <w:uiPriority w:val="0"/>
    <w:rPr>
      <w:rFonts w:ascii="宋体" w:hAnsi="宋体" w:eastAsia="宋体"/>
      <w:b/>
      <w:kern w:val="2"/>
      <w:sz w:val="21"/>
      <w:szCs w:val="24"/>
      <w:lang w:val="en-US" w:eastAsia="zh-CN" w:bidi="ar-SA"/>
    </w:rPr>
  </w:style>
  <w:style w:type="paragraph" w:customStyle="1" w:styleId="77">
    <w:name w:val="Normal_1"/>
    <w:autoRedefine/>
    <w:qFormat/>
    <w:uiPriority w:val="0"/>
    <w:pPr>
      <w:widowControl w:val="0"/>
      <w:jc w:val="both"/>
    </w:pPr>
    <w:rPr>
      <w:rFonts w:ascii="Calibri" w:hAnsi="Calibri" w:eastAsia="宋体" w:cs="Times New Roman"/>
      <w:lang w:val="en-US" w:eastAsia="zh-CN" w:bidi="ar-SA"/>
    </w:rPr>
  </w:style>
  <w:style w:type="paragraph" w:customStyle="1" w:styleId="78">
    <w:name w:val="正文_2"/>
    <w:autoRedefine/>
    <w:qFormat/>
    <w:uiPriority w:val="0"/>
    <w:pPr>
      <w:widowControl w:val="0"/>
      <w:jc w:val="both"/>
    </w:pPr>
    <w:rPr>
      <w:rFonts w:ascii="Calibri" w:hAnsi="Calibri" w:eastAsia="宋体" w:cs="Times New Roman"/>
      <w:kern w:val="2"/>
      <w:sz w:val="21"/>
      <w:szCs w:val="22"/>
      <w:lang w:val="en-US" w:eastAsia="zh-CN" w:bidi="ar-SA"/>
    </w:rPr>
  </w:style>
  <w:style w:type="character" w:customStyle="1" w:styleId="79">
    <w:name w:val="fontstyle01"/>
    <w:autoRedefine/>
    <w:qFormat/>
    <w:uiPriority w:val="0"/>
    <w:rPr>
      <w:rFonts w:hint="eastAsia" w:ascii="宋体" w:hAnsi="宋体" w:eastAsia="宋体"/>
      <w:color w:val="252525"/>
      <w:sz w:val="28"/>
      <w:szCs w:val="28"/>
    </w:rPr>
  </w:style>
  <w:style w:type="character" w:customStyle="1" w:styleId="80">
    <w:name w:val="fontstyle21"/>
    <w:autoRedefine/>
    <w:qFormat/>
    <w:uiPriority w:val="0"/>
    <w:rPr>
      <w:rFonts w:hint="default" w:ascii="??" w:hAnsi="??"/>
      <w:color w:val="000000"/>
      <w:sz w:val="28"/>
      <w:szCs w:val="28"/>
    </w:rPr>
  </w:style>
  <w:style w:type="paragraph" w:customStyle="1" w:styleId="81">
    <w:name w:val="正文 A"/>
    <w:autoRedefine/>
    <w:qFormat/>
    <w:uiPriority w:val="99"/>
    <w:pPr>
      <w:widowControl w:val="0"/>
      <w:jc w:val="both"/>
    </w:pPr>
    <w:rPr>
      <w:rFonts w:hint="eastAsia" w:ascii="Arial Unicode MS" w:hAnsi="Arial Unicode MS" w:eastAsia="Arial Unicode MS" w:cs="Arial Unicode MS"/>
      <w:color w:val="000000"/>
      <w:kern w:val="2"/>
      <w:sz w:val="21"/>
      <w:szCs w:val="21"/>
      <w:u w:color="000000"/>
      <w:lang w:val="en-US" w:eastAsia="zh-CN" w:bidi="ar-SA"/>
    </w:rPr>
  </w:style>
  <w:style w:type="paragraph" w:customStyle="1" w:styleId="82">
    <w:name w:val="Normal_4"/>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83">
    <w:name w:val="xmbh"/>
    <w:basedOn w:val="27"/>
    <w:qFormat/>
    <w:uiPriority w:val="0"/>
    <w:rPr>
      <w:color w:val="A98123"/>
    </w:rPr>
  </w:style>
  <w:style w:type="paragraph" w:customStyle="1" w:styleId="84">
    <w:name w:val="正文_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85">
    <w:name w:val="Table Text"/>
    <w:basedOn w:val="1"/>
    <w:semiHidden/>
    <w:qFormat/>
    <w:uiPriority w:val="0"/>
    <w:rPr>
      <w:rFonts w:ascii="仿宋" w:hAnsi="仿宋" w:eastAsia="仿宋" w:cs="仿宋"/>
      <w:sz w:val="24"/>
      <w:szCs w:val="24"/>
      <w:lang w:eastAsia="en-US"/>
    </w:rPr>
  </w:style>
  <w:style w:type="character" w:customStyle="1" w:styleId="86">
    <w:name w:val="rvts9"/>
    <w:qFormat/>
    <w:uiPriority w:val="0"/>
    <w:rPr>
      <w:rFonts w:hint="default" w:ascii="KNLe" w:hAnsi="KNLe" w:eastAsia="宋体" w:cs="Times New Roman"/>
    </w:rPr>
  </w:style>
  <w:style w:type="character" w:customStyle="1" w:styleId="87">
    <w:name w:val="rvts11"/>
    <w:qFormat/>
    <w:uiPriority w:val="0"/>
    <w:rPr>
      <w:rFonts w:hint="default" w:ascii="KNLe" w:hAnsi="KNLe" w:eastAsia="宋体" w:cs="Times New Roman"/>
      <w:u w:val="single"/>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6" Type="http://schemas.openxmlformats.org/officeDocument/2006/relationships/fontTable" Target="fontTable.xml"/><Relationship Id="rId25" Type="http://schemas.openxmlformats.org/officeDocument/2006/relationships/customXml" Target="../customXml/item2.xml"/><Relationship Id="rId24" Type="http://schemas.openxmlformats.org/officeDocument/2006/relationships/numbering" Target="numbering.xml"/><Relationship Id="rId23" Type="http://schemas.openxmlformats.org/officeDocument/2006/relationships/customXml" Target="../customXml/item1.xml"/><Relationship Id="rId22" Type="http://schemas.openxmlformats.org/officeDocument/2006/relationships/image" Target="media/image7.wmf"/><Relationship Id="rId21" Type="http://schemas.openxmlformats.org/officeDocument/2006/relationships/oleObject" Target="embeddings/oleObject5.bin"/><Relationship Id="rId20" Type="http://schemas.openxmlformats.org/officeDocument/2006/relationships/image" Target="media/image6.wmf"/><Relationship Id="rId2" Type="http://schemas.openxmlformats.org/officeDocument/2006/relationships/settings" Target="settings.xml"/><Relationship Id="rId19" Type="http://schemas.openxmlformats.org/officeDocument/2006/relationships/oleObject" Target="embeddings/oleObject4.bin"/><Relationship Id="rId18" Type="http://schemas.openxmlformats.org/officeDocument/2006/relationships/image" Target="media/image5.wmf"/><Relationship Id="rId17" Type="http://schemas.openxmlformats.org/officeDocument/2006/relationships/oleObject" Target="embeddings/oleObject3.bin"/><Relationship Id="rId16" Type="http://schemas.openxmlformats.org/officeDocument/2006/relationships/image" Target="media/image4.wmf"/><Relationship Id="rId15" Type="http://schemas.openxmlformats.org/officeDocument/2006/relationships/oleObject" Target="embeddings/oleObject2.bin"/><Relationship Id="rId14" Type="http://schemas.openxmlformats.org/officeDocument/2006/relationships/image" Target="media/image3.wmf"/><Relationship Id="rId13" Type="http://schemas.openxmlformats.org/officeDocument/2006/relationships/oleObject" Target="embeddings/oleObject1.bin"/><Relationship Id="rId12" Type="http://schemas.openxmlformats.org/officeDocument/2006/relationships/image" Target="media/image2.jpeg"/><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D055B2-14A6-48F2-AD4B-23FCF55EE1C1}">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147</Pages>
  <Words>48755</Words>
  <Characters>50675</Characters>
  <Lines>275</Lines>
  <Paragraphs>77</Paragraphs>
  <TotalTime>5</TotalTime>
  <ScaleCrop>false</ScaleCrop>
  <LinksUpToDate>false</LinksUpToDate>
  <CharactersWithSpaces>51545</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2025-05-28T07:49:00Z</dcterms:created>
  <dc:creator>Misaker</dc:creator>
  <cp:lastModifiedBy>代理</cp:lastModifiedBy>
  <cp:lastPrinted>2023-07-06T08:36:00Z</cp:lastPrinted>
  <dcterms:modified xsi:type="dcterms:W3CDTF">2026-01-16T06:20:44Z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D6B5E3AF3B534E228B3A5EB3EA25DE55_13</vt:lpwstr>
  </property>
  <property fmtid="{D5CDD505-2E9C-101B-9397-08002B2CF9AE}" pid="4" name="commondata">
    <vt:lpwstr>eyJoZGlkIjoiNzZmMjFmYzJiODZhY2Q0NjJjMDg2MTg5NzA0OGYzNjgifQ==</vt:lpwstr>
  </property>
  <property fmtid="{D5CDD505-2E9C-101B-9397-08002B2CF9AE}" pid="5" name="KSOTemplateDocerSaveRecord">
    <vt:lpwstr>eyJoZGlkIjoiMzYwM2E0OTM1MTNmYjdhZDYzZTk0ZmY4ODg5YjlmZWEiLCJ1c2VySWQiOiI0MzkyODMxNDkifQ==</vt:lpwstr>
  </property>
</Properties>
</file>