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2E1DCD">
      <w:pPr>
        <w:rPr>
          <w:rFonts w:ascii="宋体" w:hAnsi="宋体" w:cs="宋体"/>
          <w:color w:val="000000" w:themeColor="text1"/>
          <w:sz w:val="44"/>
          <w:highlight w:val="none"/>
          <w14:textFill>
            <w14:solidFill>
              <w14:schemeClr w14:val="tx1"/>
            </w14:solidFill>
          </w14:textFill>
        </w:rPr>
      </w:pPr>
    </w:p>
    <w:p w14:paraId="74245FE1">
      <w:pPr>
        <w:tabs>
          <w:tab w:val="left" w:pos="390"/>
          <w:tab w:val="center" w:pos="4404"/>
        </w:tabs>
        <w:wordWrap w:val="0"/>
        <w:jc w:val="center"/>
        <w:rPr>
          <w:rFonts w:ascii="宋体" w:hAnsi="宋体" w:cs="宋体"/>
          <w:color w:val="000000" w:themeColor="text1"/>
          <w:sz w:val="72"/>
          <w:szCs w:val="72"/>
          <w:highlight w:val="none"/>
          <w14:textFill>
            <w14:solidFill>
              <w14:schemeClr w14:val="tx1"/>
            </w14:solidFill>
          </w14:textFill>
        </w:rPr>
      </w:pPr>
      <w:r>
        <w:rPr>
          <w:rFonts w:hint="eastAsia" w:ascii="宋体" w:hAnsi="宋体" w:cs="宋体"/>
          <w:color w:val="000000" w:themeColor="text1"/>
          <w:sz w:val="72"/>
          <w:szCs w:val="72"/>
          <w:highlight w:val="none"/>
          <w14:textFill>
            <w14:solidFill>
              <w14:schemeClr w14:val="tx1"/>
            </w14:solidFill>
          </w14:textFill>
        </w:rPr>
        <w:t>竞争性磋商文件</w:t>
      </w:r>
    </w:p>
    <w:p w14:paraId="47BEAAD2">
      <w:pPr>
        <w:wordWrap w:val="0"/>
        <w:rPr>
          <w:rFonts w:ascii="宋体" w:hAnsi="宋体" w:cs="宋体"/>
          <w:color w:val="000000" w:themeColor="text1"/>
          <w:sz w:val="32"/>
          <w:highlight w:val="none"/>
          <w14:textFill>
            <w14:solidFill>
              <w14:schemeClr w14:val="tx1"/>
            </w14:solidFill>
          </w14:textFill>
        </w:rPr>
      </w:pPr>
    </w:p>
    <w:p w14:paraId="7B536205">
      <w:pPr>
        <w:wordWrap w:val="0"/>
        <w:rPr>
          <w:rFonts w:ascii="宋体" w:hAnsi="宋体" w:cs="宋体"/>
          <w:color w:val="000000" w:themeColor="text1"/>
          <w:sz w:val="32"/>
          <w:highlight w:val="none"/>
          <w14:textFill>
            <w14:solidFill>
              <w14:schemeClr w14:val="tx1"/>
            </w14:solidFill>
          </w14:textFill>
        </w:rPr>
      </w:pPr>
    </w:p>
    <w:p w14:paraId="052F0D1A">
      <w:pPr>
        <w:wordWrap w:val="0"/>
        <w:rPr>
          <w:rFonts w:ascii="宋体" w:hAnsi="宋体" w:cs="宋体"/>
          <w:color w:val="000000" w:themeColor="text1"/>
          <w:sz w:val="32"/>
          <w:highlight w:val="none"/>
          <w14:textFill>
            <w14:solidFill>
              <w14:schemeClr w14:val="tx1"/>
            </w14:solidFill>
          </w14:textFill>
        </w:rPr>
      </w:pPr>
    </w:p>
    <w:p w14:paraId="29395DCB">
      <w:pPr>
        <w:wordWrap w:val="0"/>
        <w:jc w:val="center"/>
        <w:rPr>
          <w:rFonts w:ascii="宋体" w:hAnsi="宋体" w:cs="宋体"/>
          <w:color w:val="000000" w:themeColor="text1"/>
          <w:sz w:val="44"/>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drawing>
          <wp:inline distT="0" distB="0" distL="114300" distR="114300">
            <wp:extent cx="1717675" cy="2131695"/>
            <wp:effectExtent l="0" t="0" r="15875" b="1905"/>
            <wp:docPr id="3" name="图片 3"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我的插图-1"/>
                    <pic:cNvPicPr>
                      <a:picLocks noChangeAspect="1"/>
                    </pic:cNvPicPr>
                  </pic:nvPicPr>
                  <pic:blipFill>
                    <a:blip r:embed="rId12"/>
                    <a:stretch>
                      <a:fillRect/>
                    </a:stretch>
                  </pic:blipFill>
                  <pic:spPr>
                    <a:xfrm>
                      <a:off x="0" y="0"/>
                      <a:ext cx="1717675" cy="2131695"/>
                    </a:xfrm>
                    <a:prstGeom prst="rect">
                      <a:avLst/>
                    </a:prstGeom>
                    <a:noFill/>
                    <a:ln>
                      <a:noFill/>
                    </a:ln>
                  </pic:spPr>
                </pic:pic>
              </a:graphicData>
            </a:graphic>
          </wp:inline>
        </w:drawing>
      </w:r>
      <w:r>
        <w:rPr>
          <w:rFonts w:ascii="宋体" w:hAnsi="宋体" w:cs="宋体"/>
          <w:b/>
          <w:bCs/>
          <w:color w:val="000000" w:themeColor="text1"/>
          <w:highlight w:val="none"/>
          <w14:textFill>
            <w14:solidFill>
              <w14:schemeClr w14:val="tx1"/>
            </w14:solidFill>
          </w14:textFill>
        </w:rPr>
        <w:t xml:space="preserve">   </w:t>
      </w:r>
    </w:p>
    <w:tbl>
      <w:tblPr>
        <w:tblStyle w:val="28"/>
        <w:tblW w:w="9861"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1"/>
      </w:tblGrid>
      <w:tr w14:paraId="4A70C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9861" w:type="dxa"/>
            <w:tcBorders>
              <w:top w:val="nil"/>
              <w:left w:val="nil"/>
              <w:bottom w:val="nil"/>
              <w:right w:val="nil"/>
            </w:tcBorders>
          </w:tcPr>
          <w:p w14:paraId="5514E5BD">
            <w:pPr>
              <w:wordWrap w:val="0"/>
              <w:ind w:left="2518" w:leftChars="342" w:hanging="1800" w:hangingChars="500"/>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项目编号：校方编号：</w:t>
            </w:r>
            <w:r>
              <w:rPr>
                <w:rFonts w:hint="eastAsia" w:ascii="宋体" w:hAnsi="宋体" w:cs="宋体"/>
                <w:color w:val="000000" w:themeColor="text1"/>
                <w:sz w:val="36"/>
                <w:szCs w:val="36"/>
                <w:highlight w:val="none"/>
                <w:lang w:eastAsia="zh-CN"/>
                <w14:textFill>
                  <w14:solidFill>
                    <w14:schemeClr w14:val="tx1"/>
                  </w14:solidFill>
                </w14:textFill>
              </w:rPr>
              <w:t>DCGPCS008260151</w:t>
            </w:r>
            <w:r>
              <w:rPr>
                <w:rFonts w:hint="eastAsia" w:ascii="宋体" w:hAnsi="宋体" w:cs="宋体"/>
                <w:color w:val="000000" w:themeColor="text1"/>
                <w:sz w:val="36"/>
                <w:szCs w:val="36"/>
                <w:highlight w:val="none"/>
                <w14:textFill>
                  <w14:solidFill>
                    <w14:schemeClr w14:val="tx1"/>
                  </w14:solidFill>
                </w14:textFill>
              </w:rPr>
              <w:t xml:space="preserve">  </w:t>
            </w:r>
          </w:p>
          <w:p w14:paraId="30F6898D">
            <w:pPr>
              <w:wordWrap w:val="0"/>
              <w:ind w:left="2518" w:leftChars="342" w:hanging="1800" w:hangingChars="500"/>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代理机构编号：SNZX-</w:t>
            </w:r>
            <w:r>
              <w:rPr>
                <w:rFonts w:hint="eastAsia" w:ascii="宋体" w:hAnsi="宋体" w:cs="宋体"/>
                <w:color w:val="000000" w:themeColor="text1"/>
                <w:sz w:val="36"/>
                <w:szCs w:val="36"/>
                <w:highlight w:val="none"/>
                <w:lang w:eastAsia="zh-CN"/>
                <w14:textFill>
                  <w14:solidFill>
                    <w14:schemeClr w14:val="tx1"/>
                  </w14:solidFill>
                </w14:textFill>
              </w:rPr>
              <w:t>20260241</w:t>
            </w:r>
            <w:r>
              <w:rPr>
                <w:rFonts w:hint="eastAsia" w:ascii="宋体" w:hAnsi="宋体" w:cs="宋体"/>
                <w:color w:val="000000" w:themeColor="text1"/>
                <w:sz w:val="36"/>
                <w:szCs w:val="36"/>
                <w:highlight w:val="none"/>
                <w14:textFill>
                  <w14:solidFill>
                    <w14:schemeClr w14:val="tx1"/>
                  </w14:solidFill>
                </w14:textFill>
              </w:rPr>
              <w:t xml:space="preserve"> </w:t>
            </w:r>
          </w:p>
          <w:p w14:paraId="23BFF6A2">
            <w:pPr>
              <w:ind w:firstLine="720" w:firstLineChars="200"/>
              <w:jc w:val="left"/>
              <w:rPr>
                <w:rFonts w:hint="eastAsia" w:ascii="宋体" w:hAnsi="宋体" w:eastAsia="宋体" w:cs="宋体"/>
                <w:color w:val="000000" w:themeColor="text1"/>
                <w:sz w:val="36"/>
                <w:szCs w:val="36"/>
                <w:highlight w:val="none"/>
                <w:lang w:eastAsia="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项目名称：</w:t>
            </w:r>
            <w:r>
              <w:rPr>
                <w:rFonts w:hint="eastAsia" w:ascii="宋体" w:hAnsi="宋体" w:cs="宋体"/>
                <w:color w:val="000000" w:themeColor="text1"/>
                <w:sz w:val="36"/>
                <w:szCs w:val="36"/>
                <w:highlight w:val="none"/>
                <w:lang w:eastAsia="zh-CN"/>
                <w14:textFill>
                  <w14:solidFill>
                    <w14:schemeClr w14:val="tx1"/>
                  </w14:solidFill>
                </w14:textFill>
              </w:rPr>
              <w:t>中国药科大学江宁校区一食堂三楼部分包间修缮项目</w:t>
            </w:r>
          </w:p>
          <w:p w14:paraId="12BF3CE0">
            <w:pPr>
              <w:wordWrap w:val="0"/>
              <w:ind w:firstLine="720" w:firstLineChars="200"/>
              <w:rPr>
                <w:rFonts w:ascii="宋体" w:hAnsi="宋体" w:cs="宋体"/>
                <w:color w:val="000000" w:themeColor="text1"/>
                <w:sz w:val="44"/>
                <w:szCs w:val="44"/>
                <w:highlight w:val="none"/>
                <w:lang w:val="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采购类别：工程类</w:t>
            </w:r>
          </w:p>
        </w:tc>
      </w:tr>
    </w:tbl>
    <w:p w14:paraId="7AEC2850">
      <w:pPr>
        <w:rPr>
          <w:rFonts w:ascii="宋体" w:hAnsi="宋体" w:cs="宋体"/>
          <w:color w:val="000000" w:themeColor="text1"/>
          <w:sz w:val="44"/>
          <w:highlight w:val="none"/>
          <w14:textFill>
            <w14:solidFill>
              <w14:schemeClr w14:val="tx1"/>
            </w14:solidFill>
          </w14:textFill>
        </w:rPr>
      </w:pPr>
    </w:p>
    <w:p w14:paraId="251861F8">
      <w:pPr>
        <w:rPr>
          <w:rFonts w:ascii="宋体" w:hAnsi="宋体" w:cs="宋体"/>
          <w:color w:val="000000" w:themeColor="text1"/>
          <w:sz w:val="44"/>
          <w:szCs w:val="44"/>
          <w:highlight w:val="none"/>
          <w14:textFill>
            <w14:solidFill>
              <w14:schemeClr w14:val="tx1"/>
            </w14:solidFill>
          </w14:textFill>
        </w:rPr>
      </w:pPr>
    </w:p>
    <w:p w14:paraId="38BA8D4C">
      <w:pPr>
        <w:rPr>
          <w:rFonts w:ascii="宋体" w:hAnsi="宋体" w:cs="宋体"/>
          <w:color w:val="000000" w:themeColor="text1"/>
          <w:sz w:val="32"/>
          <w:highlight w:val="none"/>
          <w14:textFill>
            <w14:solidFill>
              <w14:schemeClr w14:val="tx1"/>
            </w14:solidFill>
          </w14:textFill>
        </w:rPr>
      </w:pPr>
    </w:p>
    <w:p w14:paraId="4E5EB06B">
      <w:pPr>
        <w:jc w:val="left"/>
        <w:rPr>
          <w:rFonts w:ascii="宋体" w:hAnsi="宋体" w:cs="宋体"/>
          <w:color w:val="000000" w:themeColor="text1"/>
          <w:sz w:val="36"/>
          <w:szCs w:val="36"/>
          <w:highlight w:val="none"/>
          <w14:textFill>
            <w14:solidFill>
              <w14:schemeClr w14:val="tx1"/>
            </w14:solidFill>
          </w14:textFill>
        </w:rPr>
      </w:pPr>
    </w:p>
    <w:p w14:paraId="4A6D4525">
      <w:pPr>
        <w:keepNext/>
        <w:keepLines/>
        <w:widowControl w:val="0"/>
        <w:spacing w:before="120" w:after="120"/>
        <w:jc w:val="both"/>
        <w:outlineLvl w:val="9"/>
        <w:rPr>
          <w:rFonts w:ascii="宋体" w:hAnsi="宋体" w:eastAsia="黑体" w:cs="宋体"/>
          <w:b/>
          <w:color w:val="000000" w:themeColor="text1"/>
          <w:kern w:val="2"/>
          <w:sz w:val="36"/>
          <w:szCs w:val="36"/>
          <w:highlight w:val="none"/>
          <w:lang w:val="en-US" w:eastAsia="zh-CN" w:bidi="ar-SA"/>
          <w14:textFill>
            <w14:solidFill>
              <w14:schemeClr w14:val="tx1"/>
            </w14:solidFill>
          </w14:textFill>
        </w:rPr>
      </w:pPr>
    </w:p>
    <w:p w14:paraId="42FFD090">
      <w:pPr>
        <w:rPr>
          <w:rFonts w:ascii="宋体" w:hAnsi="宋体" w:cs="宋体"/>
          <w:color w:val="000000" w:themeColor="text1"/>
          <w:sz w:val="36"/>
          <w:szCs w:val="36"/>
          <w:highlight w:val="none"/>
          <w14:textFill>
            <w14:solidFill>
              <w14:schemeClr w14:val="tx1"/>
            </w14:solidFill>
          </w14:textFill>
        </w:rPr>
      </w:pPr>
    </w:p>
    <w:p w14:paraId="05A50581">
      <w:pPr>
        <w:keepNext/>
        <w:keepLines/>
        <w:widowControl w:val="0"/>
        <w:spacing w:before="120" w:after="120"/>
        <w:jc w:val="both"/>
        <w:outlineLvl w:val="9"/>
        <w:rPr>
          <w:rFonts w:ascii="Arial" w:hAnsi="Arial" w:eastAsia="黑体" w:cs="Times New Roman"/>
          <w:b/>
          <w:color w:val="000000" w:themeColor="text1"/>
          <w:kern w:val="2"/>
          <w:sz w:val="28"/>
          <w:highlight w:val="none"/>
          <w:lang w:val="en-US" w:eastAsia="zh-CN" w:bidi="ar-SA"/>
          <w14:textFill>
            <w14:solidFill>
              <w14:schemeClr w14:val="tx1"/>
            </w14:solidFill>
          </w14:textFill>
        </w:rPr>
      </w:pPr>
    </w:p>
    <w:p w14:paraId="391DE430">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采购人：中国药科大学</w:t>
      </w:r>
    </w:p>
    <w:p w14:paraId="6B89FEDA">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招标代理机构：南京苏宁工程咨询有限公司</w:t>
      </w:r>
    </w:p>
    <w:p w14:paraId="510CF6BD">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日期：二〇二</w:t>
      </w:r>
      <w:r>
        <w:rPr>
          <w:rFonts w:hint="eastAsia" w:ascii="宋体" w:hAnsi="宋体" w:cs="宋体"/>
          <w:color w:val="000000" w:themeColor="text1"/>
          <w:sz w:val="36"/>
          <w:szCs w:val="36"/>
          <w:highlight w:val="none"/>
          <w:lang w:eastAsia="zh-CN"/>
          <w14:textFill>
            <w14:solidFill>
              <w14:schemeClr w14:val="tx1"/>
            </w14:solidFill>
          </w14:textFill>
        </w:rPr>
        <w:t>六</w:t>
      </w:r>
      <w:r>
        <w:rPr>
          <w:rFonts w:hint="eastAsia" w:ascii="宋体" w:hAnsi="宋体" w:cs="宋体"/>
          <w:color w:val="000000" w:themeColor="text1"/>
          <w:sz w:val="36"/>
          <w:szCs w:val="36"/>
          <w:highlight w:val="none"/>
          <w14:textFill>
            <w14:solidFill>
              <w14:schemeClr w14:val="tx1"/>
            </w14:solidFill>
          </w14:textFill>
        </w:rPr>
        <w:t>年</w:t>
      </w:r>
      <w:r>
        <w:rPr>
          <w:rFonts w:hint="eastAsia" w:ascii="宋体" w:hAnsi="宋体" w:cs="宋体"/>
          <w:color w:val="000000" w:themeColor="text1"/>
          <w:sz w:val="36"/>
          <w:szCs w:val="36"/>
          <w:highlight w:val="none"/>
          <w:lang w:eastAsia="zh-CN"/>
          <w14:textFill>
            <w14:solidFill>
              <w14:schemeClr w14:val="tx1"/>
            </w14:solidFill>
          </w14:textFill>
        </w:rPr>
        <w:t>六</w:t>
      </w:r>
      <w:r>
        <w:rPr>
          <w:rFonts w:hint="eastAsia" w:ascii="宋体" w:hAnsi="宋体" w:cs="宋体"/>
          <w:color w:val="000000" w:themeColor="text1"/>
          <w:sz w:val="36"/>
          <w:szCs w:val="36"/>
          <w:highlight w:val="none"/>
          <w14:textFill>
            <w14:solidFill>
              <w14:schemeClr w14:val="tx1"/>
            </w14:solidFill>
          </w14:textFill>
        </w:rPr>
        <w:t>月</w:t>
      </w:r>
    </w:p>
    <w:p w14:paraId="0674DF89">
      <w:pPr>
        <w:rPr>
          <w:color w:val="000000" w:themeColor="text1"/>
          <w:highlight w:val="none"/>
          <w14:textFill>
            <w14:solidFill>
              <w14:schemeClr w14:val="tx1"/>
            </w14:solidFill>
          </w14:textFill>
        </w:rPr>
      </w:pPr>
    </w:p>
    <w:p w14:paraId="7A308CD8">
      <w:pPr>
        <w:jc w:val="center"/>
        <w:outlineLvl w:val="0"/>
        <w:rPr>
          <w:rFonts w:hint="eastAsia"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br w:type="page"/>
      </w:r>
    </w:p>
    <w:sdt>
      <w:sdtPr>
        <w:rPr>
          <w:rFonts w:hint="eastAsia" w:ascii="黑体" w:hAnsi="黑体" w:eastAsia="黑体" w:cs="黑体"/>
          <w:color w:val="000000" w:themeColor="text1"/>
          <w:kern w:val="2"/>
          <w:sz w:val="52"/>
          <w:szCs w:val="48"/>
          <w:highlight w:val="none"/>
          <w:lang w:val="en-US" w:eastAsia="zh-CN" w:bidi="ar-SA"/>
          <w14:textFill>
            <w14:solidFill>
              <w14:schemeClr w14:val="tx1"/>
            </w14:solidFill>
          </w14:textFill>
        </w:rPr>
        <w:id w:val="147460451"/>
        <w15:color w:val="DBDBDB"/>
        <w:docPartObj>
          <w:docPartGallery w:val="Table of Contents"/>
          <w:docPartUnique/>
        </w:docPartObj>
      </w:sdtPr>
      <w:sdtEndPr>
        <w:rPr>
          <w:rFonts w:hint="eastAsia" w:ascii="黑体" w:hAnsi="黑体" w:eastAsia="黑体" w:cs="黑体"/>
          <w:color w:val="000000" w:themeColor="text1"/>
          <w:kern w:val="2"/>
          <w:sz w:val="52"/>
          <w:szCs w:val="48"/>
          <w:highlight w:val="none"/>
          <w:lang w:val="en-US" w:eastAsia="zh-CN" w:bidi="ar-SA"/>
          <w14:textFill>
            <w14:solidFill>
              <w14:schemeClr w14:val="tx1"/>
            </w14:solidFill>
          </w14:textFill>
        </w:rPr>
      </w:sdtEndPr>
      <w:sdtContent>
        <w:p w14:paraId="57F93460">
          <w:pPr>
            <w:spacing w:before="0" w:beforeLines="0" w:after="0" w:afterLines="0" w:line="240" w:lineRule="auto"/>
            <w:ind w:left="0" w:leftChars="0" w:right="0" w:rightChars="0" w:firstLine="0" w:firstLineChars="0"/>
            <w:jc w:val="center"/>
            <w:rPr>
              <w:rFonts w:hint="eastAsia" w:ascii="黑体" w:hAnsi="黑体" w:eastAsia="黑体" w:cs="黑体"/>
              <w:color w:val="000000" w:themeColor="text1"/>
              <w:sz w:val="52"/>
              <w:szCs w:val="48"/>
              <w:highlight w:val="none"/>
              <w14:textFill>
                <w14:solidFill>
                  <w14:schemeClr w14:val="tx1"/>
                </w14:solidFill>
              </w14:textFill>
            </w:rPr>
          </w:pPr>
          <w:r>
            <w:rPr>
              <w:rFonts w:hint="eastAsia" w:ascii="黑体" w:hAnsi="黑体" w:eastAsia="黑体" w:cs="黑体"/>
              <w:color w:val="000000" w:themeColor="text1"/>
              <w:sz w:val="52"/>
              <w:szCs w:val="48"/>
              <w:highlight w:val="none"/>
              <w14:textFill>
                <w14:solidFill>
                  <w14:schemeClr w14:val="tx1"/>
                </w14:solidFill>
              </w14:textFill>
            </w:rPr>
            <w:t>目</w:t>
          </w:r>
          <w:r>
            <w:rPr>
              <w:rFonts w:hint="eastAsia" w:ascii="黑体" w:hAnsi="黑体" w:eastAsia="黑体" w:cs="黑体"/>
              <w:color w:val="000000" w:themeColor="text1"/>
              <w:sz w:val="52"/>
              <w:szCs w:val="48"/>
              <w:highlight w:val="none"/>
              <w:lang w:val="en-US" w:eastAsia="zh-CN"/>
              <w14:textFill>
                <w14:solidFill>
                  <w14:schemeClr w14:val="tx1"/>
                </w14:solidFill>
              </w14:textFill>
            </w:rPr>
            <w:t xml:space="preserve"> </w:t>
          </w:r>
          <w:r>
            <w:rPr>
              <w:rFonts w:hint="eastAsia" w:ascii="黑体" w:hAnsi="黑体" w:eastAsia="黑体" w:cs="黑体"/>
              <w:color w:val="000000" w:themeColor="text1"/>
              <w:sz w:val="52"/>
              <w:szCs w:val="48"/>
              <w:highlight w:val="none"/>
              <w14:textFill>
                <w14:solidFill>
                  <w14:schemeClr w14:val="tx1"/>
                </w14:solidFill>
              </w14:textFill>
            </w:rPr>
            <w:t>录</w:t>
          </w:r>
        </w:p>
        <w:p w14:paraId="212E2302">
          <w:pPr>
            <w:pStyle w:val="20"/>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TOC \o "1-3" \h \u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_Toc12462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pacing w:val="-10"/>
              <w:sz w:val="32"/>
              <w:szCs w:val="32"/>
              <w:highlight w:val="none"/>
              <w14:textFill>
                <w14:solidFill>
                  <w14:schemeClr w14:val="tx1"/>
                </w14:solidFill>
              </w14:textFill>
            </w:rPr>
            <w:t>第一章</w:t>
          </w:r>
          <w:r>
            <w:rPr>
              <w:rFonts w:hint="eastAsia" w:ascii="宋体" w:hAnsi="宋体" w:eastAsia="宋体" w:cs="宋体"/>
              <w:color w:val="000000" w:themeColor="text1"/>
              <w:spacing w:val="-10"/>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0"/>
              <w:sz w:val="32"/>
              <w:szCs w:val="32"/>
              <w:highlight w:val="none"/>
              <w14:textFill>
                <w14:solidFill>
                  <w14:schemeClr w14:val="tx1"/>
                </w14:solidFill>
              </w14:textFill>
            </w:rPr>
            <w:t>竞争性磋商邀请</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_Toc12462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3</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7C4FE052">
          <w:pPr>
            <w:pStyle w:val="20"/>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_Toc1427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pacing w:val="-10"/>
              <w:sz w:val="32"/>
              <w:szCs w:val="32"/>
              <w:highlight w:val="none"/>
              <w14:textFill>
                <w14:solidFill>
                  <w14:schemeClr w14:val="tx1"/>
                </w14:solidFill>
              </w14:textFill>
            </w:rPr>
            <w:t>第二章</w:t>
          </w:r>
          <w:r>
            <w:rPr>
              <w:rFonts w:hint="eastAsia" w:ascii="宋体" w:hAnsi="宋体" w:eastAsia="宋体" w:cs="宋体"/>
              <w:color w:val="000000" w:themeColor="text1"/>
              <w:spacing w:val="-10"/>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0"/>
              <w:sz w:val="32"/>
              <w:szCs w:val="32"/>
              <w:highlight w:val="none"/>
              <w14:textFill>
                <w14:solidFill>
                  <w14:schemeClr w14:val="tx1"/>
                </w14:solidFill>
              </w14:textFill>
            </w:rPr>
            <w:t>竞争性磋商须知</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_Toc1427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8</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1A44B7AD">
          <w:pPr>
            <w:pStyle w:val="20"/>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_Toc4772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pacing w:val="-10"/>
              <w:sz w:val="32"/>
              <w:szCs w:val="32"/>
              <w:highlight w:val="none"/>
              <w14:textFill>
                <w14:solidFill>
                  <w14:schemeClr w14:val="tx1"/>
                </w14:solidFill>
              </w14:textFill>
            </w:rPr>
            <w:t>第三章</w:t>
          </w:r>
          <w:r>
            <w:rPr>
              <w:rFonts w:hint="eastAsia" w:ascii="宋体" w:hAnsi="宋体" w:eastAsia="宋体" w:cs="宋体"/>
              <w:color w:val="000000" w:themeColor="text1"/>
              <w:spacing w:val="-10"/>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0"/>
              <w:sz w:val="32"/>
              <w:szCs w:val="32"/>
              <w:highlight w:val="none"/>
              <w14:textFill>
                <w14:solidFill>
                  <w14:schemeClr w14:val="tx1"/>
                </w14:solidFill>
              </w14:textFill>
            </w:rPr>
            <w:t>成交标准</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_Toc4772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14</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553BC042">
          <w:pPr>
            <w:pStyle w:val="20"/>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_Toc17825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第四章</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2"/>
              <w:szCs w:val="32"/>
              <w:highlight w:val="none"/>
              <w14:textFill>
                <w14:solidFill>
                  <w14:schemeClr w14:val="tx1"/>
                </w14:solidFill>
              </w14:textFill>
            </w:rPr>
            <w:t>采购项目的技术规格</w:t>
          </w:r>
          <w:r>
            <w:rPr>
              <w:rFonts w:hint="eastAsia" w:ascii="宋体" w:hAnsi="宋体" w:eastAsia="宋体" w:cs="宋体"/>
              <w:color w:val="000000" w:themeColor="text1"/>
              <w:kern w:val="0"/>
              <w:sz w:val="32"/>
              <w:szCs w:val="32"/>
              <w:highlight w:val="none"/>
              <w:lang w:val="zh-CN"/>
              <w14:textFill>
                <w14:solidFill>
                  <w14:schemeClr w14:val="tx1"/>
                </w14:solidFill>
              </w14:textFill>
            </w:rPr>
            <w:t>、</w:t>
          </w:r>
          <w:r>
            <w:rPr>
              <w:rFonts w:hint="eastAsia" w:ascii="宋体" w:hAnsi="宋体" w:eastAsia="宋体" w:cs="宋体"/>
              <w:color w:val="000000" w:themeColor="text1"/>
              <w:sz w:val="32"/>
              <w:szCs w:val="32"/>
              <w:highlight w:val="none"/>
              <w14:textFill>
                <w14:solidFill>
                  <w14:schemeClr w14:val="tx1"/>
                </w14:solidFill>
              </w14:textFill>
            </w:rPr>
            <w:t>要求和数量等</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_Toc17825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20</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5E6702D7">
          <w:pPr>
            <w:pStyle w:val="20"/>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_Toc17089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highlight w:val="none"/>
              <w14:textFill>
                <w14:solidFill>
                  <w14:schemeClr w14:val="tx1"/>
                </w14:solidFill>
              </w14:textFill>
            </w:rPr>
            <w:t>第五章</w:t>
          </w:r>
          <w:r>
            <w:rPr>
              <w:rFonts w:hint="eastAsia" w:ascii="宋体" w:hAnsi="宋体" w:eastAsia="宋体" w:cs="宋体"/>
              <w:bCs/>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32"/>
              <w:szCs w:val="32"/>
              <w:highlight w:val="none"/>
              <w14:textFill>
                <w14:solidFill>
                  <w14:schemeClr w14:val="tx1"/>
                </w14:solidFill>
              </w14:textFill>
            </w:rPr>
            <w:t>合同主要条款及格式</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_Toc17089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24</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470F510B">
          <w:pPr>
            <w:pStyle w:val="20"/>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_Toc15328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lang w:val="zh-CN"/>
              <w14:textFill>
                <w14:solidFill>
                  <w14:schemeClr w14:val="tx1"/>
                </w14:solidFill>
              </w14:textFill>
            </w:rPr>
            <w:t>第六章</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2"/>
              <w:szCs w:val="32"/>
              <w:highlight w:val="none"/>
              <w:lang w:val="zh-CN"/>
              <w14:textFill>
                <w14:solidFill>
                  <w14:schemeClr w14:val="tx1"/>
                </w14:solidFill>
              </w14:textFill>
            </w:rPr>
            <w:t>附件</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_Toc15328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140</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1F7A177B">
          <w:pPr>
            <w:keepNext w:val="0"/>
            <w:keepLines w:val="0"/>
            <w:pageBreakBefore w:val="0"/>
            <w:kinsoku/>
            <w:wordWrap/>
            <w:overflowPunct/>
            <w:topLinePunct w:val="0"/>
            <w:autoSpaceDE/>
            <w:autoSpaceDN/>
            <w:bidi w:val="0"/>
            <w:adjustRightInd/>
            <w:snapToGrid/>
            <w:spacing w:line="360" w:lineRule="auto"/>
            <w:textAlignment w:val="auto"/>
            <w:rPr>
              <w:color w:val="000000" w:themeColor="text1"/>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end"/>
          </w:r>
        </w:p>
      </w:sdtContent>
    </w:sdt>
    <w:p w14:paraId="5A72F236">
      <w:pPr>
        <w:rPr>
          <w:color w:val="000000" w:themeColor="text1"/>
          <w:highlight w:val="none"/>
          <w14:textFill>
            <w14:solidFill>
              <w14:schemeClr w14:val="tx1"/>
            </w14:solidFill>
          </w14:textFill>
        </w:rPr>
      </w:pPr>
    </w:p>
    <w:p w14:paraId="731867AA">
      <w:pPr>
        <w:rPr>
          <w:rFonts w:hint="eastAsia" w:ascii="宋体" w:hAnsi="宋体" w:cs="宋体"/>
          <w:color w:val="000000" w:themeColor="text1"/>
          <w:spacing w:val="-10"/>
          <w:sz w:val="36"/>
          <w:szCs w:val="36"/>
          <w:highlight w:val="none"/>
          <w14:textFill>
            <w14:solidFill>
              <w14:schemeClr w14:val="tx1"/>
            </w14:solidFill>
          </w14:textFill>
        </w:rPr>
      </w:pPr>
      <w:bookmarkStart w:id="0" w:name="_Toc12462"/>
      <w:r>
        <w:rPr>
          <w:rFonts w:hint="eastAsia" w:ascii="宋体" w:hAnsi="宋体" w:cs="宋体"/>
          <w:color w:val="000000" w:themeColor="text1"/>
          <w:spacing w:val="-10"/>
          <w:sz w:val="36"/>
          <w:szCs w:val="36"/>
          <w:highlight w:val="none"/>
          <w14:textFill>
            <w14:solidFill>
              <w14:schemeClr w14:val="tx1"/>
            </w14:solidFill>
          </w14:textFill>
        </w:rPr>
        <w:br w:type="page"/>
      </w:r>
    </w:p>
    <w:p w14:paraId="1C84CD65">
      <w:pPr>
        <w:jc w:val="center"/>
        <w:outlineLvl w:val="0"/>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pacing w:val="-10"/>
          <w:sz w:val="36"/>
          <w:szCs w:val="36"/>
          <w:highlight w:val="none"/>
          <w14:textFill>
            <w14:solidFill>
              <w14:schemeClr w14:val="tx1"/>
            </w14:solidFill>
          </w14:textFill>
        </w:rPr>
        <w:t>第一章竞争性磋商邀请</w:t>
      </w:r>
      <w:bookmarkEnd w:id="0"/>
    </w:p>
    <w:p w14:paraId="4C28DFF0">
      <w:pPr>
        <w:pBdr>
          <w:top w:val="single" w:color="auto" w:sz="4" w:space="1"/>
          <w:left w:val="single" w:color="auto" w:sz="4" w:space="4"/>
          <w:bottom w:val="single" w:color="auto" w:sz="4" w:space="1"/>
          <w:right w:val="single" w:color="auto" w:sz="4" w:space="4"/>
        </w:pBdr>
        <w:spacing w:line="360" w:lineRule="auto"/>
        <w:ind w:firstLine="560" w:firstLineChars="20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项目概况</w:t>
      </w:r>
    </w:p>
    <w:p w14:paraId="73464914">
      <w:pPr>
        <w:pBdr>
          <w:top w:val="single" w:color="auto" w:sz="4" w:space="1"/>
          <w:left w:val="single" w:color="auto" w:sz="4" w:space="4"/>
          <w:bottom w:val="single" w:color="auto" w:sz="4" w:space="1"/>
          <w:right w:val="single" w:color="auto" w:sz="4" w:space="4"/>
        </w:pBdr>
        <w:spacing w:line="360" w:lineRule="auto"/>
        <w:ind w:firstLine="560" w:firstLineChars="20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u w:val="single"/>
          <w:lang w:eastAsia="zh-CN"/>
          <w14:textFill>
            <w14:solidFill>
              <w14:schemeClr w14:val="tx1"/>
            </w14:solidFill>
          </w14:textFill>
        </w:rPr>
        <w:t>中国药科大学江宁校区一食堂三楼部分包间修缮项目</w:t>
      </w:r>
      <w:r>
        <w:rPr>
          <w:rFonts w:hint="eastAsia" w:ascii="宋体" w:hAnsi="宋体" w:cs="宋体"/>
          <w:color w:val="000000" w:themeColor="text1"/>
          <w:sz w:val="28"/>
          <w:szCs w:val="28"/>
          <w:highlight w:val="none"/>
          <w14:textFill>
            <w14:solidFill>
              <w14:schemeClr w14:val="tx1"/>
            </w14:solidFill>
          </w14:textFill>
        </w:rPr>
        <w:t>招标项目的潜在投标人应在</w:t>
      </w:r>
      <w:r>
        <w:rPr>
          <w:rFonts w:hint="eastAsia" w:ascii="宋体" w:hAnsi="宋体" w:cs="宋体"/>
          <w:color w:val="000000" w:themeColor="text1"/>
          <w:sz w:val="28"/>
          <w:szCs w:val="28"/>
          <w:highlight w:val="none"/>
          <w:u w:val="single"/>
          <w14:textFill>
            <w14:solidFill>
              <w14:schemeClr w14:val="tx1"/>
            </w14:solidFill>
          </w14:textFill>
        </w:rPr>
        <w:t>南京市鼓楼区中山路99号12楼1212室</w:t>
      </w:r>
      <w:r>
        <w:rPr>
          <w:rFonts w:hint="eastAsia" w:ascii="宋体" w:hAnsi="宋体" w:cs="宋体"/>
          <w:color w:val="000000" w:themeColor="text1"/>
          <w:sz w:val="28"/>
          <w:szCs w:val="28"/>
          <w:highlight w:val="none"/>
          <w14:textFill>
            <w14:solidFill>
              <w14:schemeClr w14:val="tx1"/>
            </w14:solidFill>
          </w14:textFill>
        </w:rPr>
        <w:t>获取招标文件，并于</w:t>
      </w:r>
      <w:r>
        <w:rPr>
          <w:rFonts w:hint="eastAsia" w:ascii="宋体" w:hAnsi="宋体" w:cs="宋体"/>
          <w:color w:val="000000" w:themeColor="text1"/>
          <w:sz w:val="28"/>
          <w:szCs w:val="28"/>
          <w:highlight w:val="none"/>
          <w:u w:val="single"/>
          <w14:textFill>
            <w14:solidFill>
              <w14:schemeClr w14:val="tx1"/>
            </w14:solidFill>
          </w14:textFill>
        </w:rPr>
        <w:t>202</w:t>
      </w:r>
      <w:r>
        <w:rPr>
          <w:rFonts w:hint="eastAsia" w:ascii="宋体" w:hAnsi="宋体" w:cs="宋体"/>
          <w:color w:val="000000" w:themeColor="text1"/>
          <w:sz w:val="28"/>
          <w:szCs w:val="28"/>
          <w:highlight w:val="none"/>
          <w:u w:val="single"/>
          <w:lang w:val="en-US" w:eastAsia="zh-CN"/>
          <w14:textFill>
            <w14:solidFill>
              <w14:schemeClr w14:val="tx1"/>
            </w14:solidFill>
          </w14:textFill>
        </w:rPr>
        <w:t>6</w:t>
      </w:r>
      <w:r>
        <w:rPr>
          <w:rFonts w:hint="eastAsia" w:ascii="宋体" w:hAnsi="宋体" w:cs="宋体"/>
          <w:color w:val="000000" w:themeColor="text1"/>
          <w:sz w:val="28"/>
          <w:szCs w:val="28"/>
          <w:highlight w:val="none"/>
          <w:u w:val="single"/>
          <w14:textFill>
            <w14:solidFill>
              <w14:schemeClr w14:val="tx1"/>
            </w14:solidFill>
          </w14:textFill>
        </w:rPr>
        <w:t>年</w:t>
      </w:r>
      <w:r>
        <w:rPr>
          <w:rFonts w:hint="eastAsia" w:ascii="宋体" w:hAnsi="宋体" w:cs="宋体"/>
          <w:color w:val="000000" w:themeColor="text1"/>
          <w:sz w:val="28"/>
          <w:szCs w:val="28"/>
          <w:highlight w:val="none"/>
          <w:u w:val="single"/>
          <w:lang w:val="en-US" w:eastAsia="zh-CN"/>
          <w14:textFill>
            <w14:solidFill>
              <w14:schemeClr w14:val="tx1"/>
            </w14:solidFill>
          </w14:textFill>
        </w:rPr>
        <w:t>6</w:t>
      </w:r>
      <w:r>
        <w:rPr>
          <w:rFonts w:hint="eastAsia" w:ascii="宋体" w:hAnsi="宋体" w:cs="宋体"/>
          <w:color w:val="000000" w:themeColor="text1"/>
          <w:sz w:val="28"/>
          <w:szCs w:val="28"/>
          <w:highlight w:val="none"/>
          <w:u w:val="single"/>
          <w14:textFill>
            <w14:solidFill>
              <w14:schemeClr w14:val="tx1"/>
            </w14:solidFill>
          </w14:textFill>
        </w:rPr>
        <w:t>月</w:t>
      </w:r>
      <w:r>
        <w:rPr>
          <w:rFonts w:hint="eastAsia" w:ascii="宋体" w:hAnsi="宋体" w:cs="宋体"/>
          <w:color w:val="000000" w:themeColor="text1"/>
          <w:sz w:val="28"/>
          <w:szCs w:val="28"/>
          <w:highlight w:val="none"/>
          <w:u w:val="single"/>
          <w:lang w:val="en-US" w:eastAsia="zh-CN"/>
          <w14:textFill>
            <w14:solidFill>
              <w14:schemeClr w14:val="tx1"/>
            </w14:solidFill>
          </w14:textFill>
        </w:rPr>
        <w:t>29</w:t>
      </w:r>
      <w:r>
        <w:rPr>
          <w:rFonts w:hint="eastAsia" w:ascii="宋体" w:hAnsi="宋体" w:cs="宋体"/>
          <w:color w:val="000000" w:themeColor="text1"/>
          <w:sz w:val="28"/>
          <w:szCs w:val="28"/>
          <w:highlight w:val="none"/>
          <w:u w:val="single"/>
          <w14:textFill>
            <w14:solidFill>
              <w14:schemeClr w14:val="tx1"/>
            </w14:solidFill>
          </w14:textFill>
        </w:rPr>
        <w:t>日</w:t>
      </w:r>
      <w:r>
        <w:rPr>
          <w:rFonts w:hint="eastAsia" w:ascii="宋体" w:hAnsi="宋体" w:cs="宋体"/>
          <w:color w:val="000000" w:themeColor="text1"/>
          <w:sz w:val="28"/>
          <w:szCs w:val="28"/>
          <w:highlight w:val="none"/>
          <w:u w:val="single"/>
          <w:lang w:val="en-US" w:eastAsia="zh-CN"/>
          <w14:textFill>
            <w14:solidFill>
              <w14:schemeClr w14:val="tx1"/>
            </w14:solidFill>
          </w14:textFill>
        </w:rPr>
        <w:t>9</w:t>
      </w:r>
      <w:r>
        <w:rPr>
          <w:rFonts w:hint="eastAsia" w:ascii="宋体" w:hAnsi="宋体" w:cs="宋体"/>
          <w:color w:val="000000" w:themeColor="text1"/>
          <w:sz w:val="28"/>
          <w:szCs w:val="28"/>
          <w:highlight w:val="none"/>
          <w:u w:val="single"/>
          <w14:textFill>
            <w14:solidFill>
              <w14:schemeClr w14:val="tx1"/>
            </w14:solidFill>
          </w14:textFill>
        </w:rPr>
        <w:t>时</w:t>
      </w:r>
      <w:r>
        <w:rPr>
          <w:rFonts w:hint="eastAsia" w:ascii="宋体" w:hAnsi="宋体" w:cs="宋体"/>
          <w:color w:val="000000" w:themeColor="text1"/>
          <w:sz w:val="28"/>
          <w:szCs w:val="28"/>
          <w:highlight w:val="none"/>
          <w:u w:val="single"/>
          <w:lang w:val="en-US" w:eastAsia="zh-CN"/>
          <w14:textFill>
            <w14:solidFill>
              <w14:schemeClr w14:val="tx1"/>
            </w14:solidFill>
          </w14:textFill>
        </w:rPr>
        <w:t>30</w:t>
      </w:r>
      <w:r>
        <w:rPr>
          <w:rFonts w:hint="eastAsia" w:ascii="宋体" w:hAnsi="宋体" w:cs="宋体"/>
          <w:color w:val="000000" w:themeColor="text1"/>
          <w:sz w:val="28"/>
          <w:szCs w:val="28"/>
          <w:highlight w:val="none"/>
          <w:u w:val="single"/>
          <w14:textFill>
            <w14:solidFill>
              <w14:schemeClr w14:val="tx1"/>
            </w14:solidFill>
          </w14:textFill>
        </w:rPr>
        <w:t>分</w:t>
      </w:r>
      <w:r>
        <w:rPr>
          <w:rFonts w:hint="eastAsia" w:ascii="宋体" w:hAnsi="宋体" w:cs="宋体"/>
          <w:bCs/>
          <w:color w:val="000000" w:themeColor="text1"/>
          <w:sz w:val="28"/>
          <w:szCs w:val="28"/>
          <w:highlight w:val="none"/>
          <w:u w:val="single"/>
          <w14:textFill>
            <w14:solidFill>
              <w14:schemeClr w14:val="tx1"/>
            </w14:solidFill>
          </w14:textFill>
        </w:rPr>
        <w:t>（</w:t>
      </w:r>
      <w:r>
        <w:rPr>
          <w:rFonts w:hint="eastAsia" w:ascii="宋体" w:hAnsi="宋体" w:cs="宋体"/>
          <w:bCs/>
          <w:color w:val="000000" w:themeColor="text1"/>
          <w:sz w:val="28"/>
          <w:szCs w:val="28"/>
          <w:highlight w:val="none"/>
          <w14:textFill>
            <w14:solidFill>
              <w14:schemeClr w14:val="tx1"/>
            </w14:solidFill>
          </w14:textFill>
        </w:rPr>
        <w:t>北京时间）前递交投标文件</w:t>
      </w:r>
      <w:r>
        <w:rPr>
          <w:rFonts w:hint="eastAsia" w:ascii="宋体" w:hAnsi="宋体" w:cs="宋体"/>
          <w:color w:val="000000" w:themeColor="text1"/>
          <w:sz w:val="28"/>
          <w:szCs w:val="28"/>
          <w:highlight w:val="none"/>
          <w14:textFill>
            <w14:solidFill>
              <w14:schemeClr w14:val="tx1"/>
            </w14:solidFill>
          </w14:textFill>
        </w:rPr>
        <w:t>。</w:t>
      </w:r>
    </w:p>
    <w:p w14:paraId="402E871D">
      <w:pPr>
        <w:spacing w:line="360" w:lineRule="auto"/>
        <w:ind w:firstLine="562" w:firstLineChars="200"/>
        <w:rPr>
          <w:rFonts w:ascii="宋体" w:hAnsi="宋体" w:cs="宋体"/>
          <w:b/>
          <w:bCs/>
          <w:color w:val="000000" w:themeColor="text1"/>
          <w:sz w:val="28"/>
          <w:szCs w:val="28"/>
          <w:highlight w:val="none"/>
          <w14:textFill>
            <w14:solidFill>
              <w14:schemeClr w14:val="tx1"/>
            </w14:solidFill>
          </w14:textFill>
        </w:rPr>
      </w:pPr>
      <w:bookmarkStart w:id="1" w:name="_Toc35393629"/>
      <w:bookmarkStart w:id="2" w:name="_Toc28359012"/>
      <w:bookmarkStart w:id="3" w:name="_Toc35393798"/>
      <w:bookmarkStart w:id="4" w:name="_Toc28359089"/>
      <w:r>
        <w:rPr>
          <w:rFonts w:hint="eastAsia" w:ascii="宋体" w:hAnsi="宋体" w:cs="宋体"/>
          <w:b/>
          <w:bCs/>
          <w:color w:val="000000" w:themeColor="text1"/>
          <w:sz w:val="28"/>
          <w:szCs w:val="28"/>
          <w:highlight w:val="none"/>
          <w14:textFill>
            <w14:solidFill>
              <w14:schemeClr w14:val="tx1"/>
            </w14:solidFill>
          </w14:textFill>
        </w:rPr>
        <w:t>一、项目基本情况</w:t>
      </w:r>
      <w:bookmarkEnd w:id="1"/>
      <w:bookmarkEnd w:id="2"/>
      <w:bookmarkEnd w:id="3"/>
      <w:bookmarkEnd w:id="4"/>
    </w:p>
    <w:p w14:paraId="3A7DC81D">
      <w:pPr>
        <w:wordWrap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项目编号：校方编号：</w:t>
      </w:r>
      <w:r>
        <w:rPr>
          <w:rFonts w:hint="eastAsia" w:ascii="宋体" w:hAnsi="宋体" w:cs="宋体"/>
          <w:color w:val="000000" w:themeColor="text1"/>
          <w:sz w:val="24"/>
          <w:szCs w:val="24"/>
          <w:highlight w:val="none"/>
          <w:lang w:eastAsia="zh-CN"/>
          <w14:textFill>
            <w14:solidFill>
              <w14:schemeClr w14:val="tx1"/>
            </w14:solidFill>
          </w14:textFill>
        </w:rPr>
        <w:t>DCGPCS008260151、</w:t>
      </w:r>
      <w:r>
        <w:rPr>
          <w:rFonts w:hint="eastAsia" w:ascii="宋体" w:hAnsi="宋体" w:cs="宋体"/>
          <w:color w:val="000000" w:themeColor="text1"/>
          <w:sz w:val="24"/>
          <w:szCs w:val="24"/>
          <w:highlight w:val="none"/>
          <w14:textFill>
            <w14:solidFill>
              <w14:schemeClr w14:val="tx1"/>
            </w14:solidFill>
          </w14:textFill>
        </w:rPr>
        <w:t>代理机构编号：SNZX-</w:t>
      </w:r>
      <w:r>
        <w:rPr>
          <w:rFonts w:hint="eastAsia" w:ascii="宋体" w:hAnsi="宋体" w:cs="宋体"/>
          <w:color w:val="000000" w:themeColor="text1"/>
          <w:sz w:val="24"/>
          <w:szCs w:val="24"/>
          <w:highlight w:val="none"/>
          <w:lang w:eastAsia="zh-CN"/>
          <w14:textFill>
            <w14:solidFill>
              <w14:schemeClr w14:val="tx1"/>
            </w14:solidFill>
          </w14:textFill>
        </w:rPr>
        <w:t>20260241</w:t>
      </w:r>
      <w:r>
        <w:rPr>
          <w:rFonts w:hint="eastAsia" w:ascii="宋体" w:hAnsi="宋体" w:cs="宋体"/>
          <w:color w:val="000000" w:themeColor="text1"/>
          <w:sz w:val="24"/>
          <w:szCs w:val="24"/>
          <w:highlight w:val="none"/>
          <w14:textFill>
            <w14:solidFill>
              <w14:schemeClr w14:val="tx1"/>
            </w14:solidFill>
          </w14:textFill>
        </w:rPr>
        <w:t xml:space="preserve"> </w:t>
      </w:r>
    </w:p>
    <w:p w14:paraId="57EE7772">
      <w:pPr>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项目名称：</w:t>
      </w:r>
      <w:r>
        <w:rPr>
          <w:rFonts w:hint="eastAsia" w:ascii="宋体" w:hAnsi="宋体" w:cs="宋体"/>
          <w:color w:val="000000" w:themeColor="text1"/>
          <w:sz w:val="24"/>
          <w:szCs w:val="24"/>
          <w:highlight w:val="none"/>
          <w:lang w:eastAsia="zh-CN"/>
          <w14:textFill>
            <w14:solidFill>
              <w14:schemeClr w14:val="tx1"/>
            </w14:solidFill>
          </w14:textFill>
        </w:rPr>
        <w:t>中国药科大学江宁校区一食堂三楼部分包间修缮项目</w:t>
      </w:r>
    </w:p>
    <w:p w14:paraId="6D8825BB">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采购方式：竞争性磋商</w:t>
      </w:r>
    </w:p>
    <w:p w14:paraId="60F3B62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预算金额：</w:t>
      </w:r>
      <w:r>
        <w:rPr>
          <w:rFonts w:hint="eastAsia" w:ascii="宋体" w:hAnsi="宋体" w:cs="宋体"/>
          <w:color w:val="000000" w:themeColor="text1"/>
          <w:sz w:val="24"/>
          <w:szCs w:val="24"/>
          <w:highlight w:val="none"/>
          <w:lang w:val="en-US" w:eastAsia="zh-CN"/>
          <w14:textFill>
            <w14:solidFill>
              <w14:schemeClr w14:val="tx1"/>
            </w14:solidFill>
          </w14:textFill>
        </w:rPr>
        <w:t>65</w:t>
      </w:r>
      <w:r>
        <w:rPr>
          <w:rFonts w:hint="eastAsia" w:ascii="宋体" w:hAnsi="宋体" w:cs="宋体"/>
          <w:color w:val="000000" w:themeColor="text1"/>
          <w:sz w:val="24"/>
          <w:szCs w:val="24"/>
          <w:highlight w:val="none"/>
          <w14:textFill>
            <w14:solidFill>
              <w14:schemeClr w14:val="tx1"/>
            </w14:solidFill>
          </w14:textFill>
        </w:rPr>
        <w:t>万元</w:t>
      </w:r>
    </w:p>
    <w:p w14:paraId="4F3B41F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最高限价：60</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874966万元，投标总报价超过最高限价的为无效投标。</w:t>
      </w:r>
    </w:p>
    <w:p w14:paraId="1BA60141">
      <w:pPr>
        <w:spacing w:line="348" w:lineRule="auto"/>
        <w:ind w:firstLine="48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采购需求：</w:t>
      </w:r>
      <w:bookmarkStart w:id="5" w:name="_Toc28359090"/>
      <w:bookmarkStart w:id="6" w:name="_Toc35393799"/>
      <w:bookmarkStart w:id="7" w:name="_Toc28359013"/>
      <w:bookmarkStart w:id="8" w:name="_Toc35393630"/>
      <w:r>
        <w:rPr>
          <w:rFonts w:hint="eastAsia" w:ascii="宋体" w:hAnsi="宋体" w:cs="宋体"/>
          <w:color w:val="000000" w:themeColor="text1"/>
          <w:sz w:val="24"/>
          <w:szCs w:val="24"/>
          <w:highlight w:val="none"/>
          <w14:textFill>
            <w14:solidFill>
              <w14:schemeClr w14:val="tx1"/>
            </w14:solidFill>
          </w14:textFill>
        </w:rPr>
        <w:t>江宁校区一食堂三层包间2、3、5、6、7、8、9、10、11、12共十个包间以及走道、烹饪间和后场卫生间以及更衣室的装修项目，主要内容包括地面、墙面、顶面的装饰装修以及桌子、座椅、消毒柜、灯具、门牌等设备设施的更换，门的出新等，具体详见采购需求、招标工程量清单及图纸。</w:t>
      </w:r>
    </w:p>
    <w:p w14:paraId="29157A8F">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合同履行期限（工期）：</w:t>
      </w:r>
      <w:r>
        <w:rPr>
          <w:rFonts w:hint="eastAsia" w:ascii="宋体" w:hAnsi="宋体" w:cs="宋体"/>
          <w:color w:val="000000" w:themeColor="text1"/>
          <w:sz w:val="24"/>
          <w:szCs w:val="24"/>
          <w:highlight w:val="none"/>
          <w:lang w:val="en-US" w:eastAsia="zh-CN"/>
          <w14:textFill>
            <w14:solidFill>
              <w14:schemeClr w14:val="tx1"/>
            </w14:solidFill>
          </w14:textFill>
        </w:rPr>
        <w:t>45</w:t>
      </w:r>
      <w:r>
        <w:rPr>
          <w:rFonts w:hint="eastAsia" w:ascii="宋体" w:hAnsi="宋体" w:cs="宋体"/>
          <w:color w:val="000000" w:themeColor="text1"/>
          <w:sz w:val="24"/>
          <w:szCs w:val="24"/>
          <w:highlight w:val="none"/>
          <w14:textFill>
            <w14:solidFill>
              <w14:schemeClr w14:val="tx1"/>
            </w14:solidFill>
          </w14:textFill>
        </w:rPr>
        <w:t>日历日</w:t>
      </w:r>
    </w:p>
    <w:p w14:paraId="05B5EC8E">
      <w:pPr>
        <w:spacing w:line="360" w:lineRule="auto"/>
        <w:ind w:firstLine="480" w:firstLineChars="200"/>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本项目不接受联合体投标。</w:t>
      </w:r>
    </w:p>
    <w:p w14:paraId="454125A2">
      <w:pPr>
        <w:spacing w:line="360" w:lineRule="auto"/>
        <w:ind w:firstLine="480" w:firstLineChars="200"/>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本项目采购标的所属行业为：建筑业。</w:t>
      </w:r>
    </w:p>
    <w:p w14:paraId="33813762">
      <w:pPr>
        <w:spacing w:line="360" w:lineRule="auto"/>
        <w:ind w:firstLine="480" w:firstLineChars="200"/>
        <w:rPr>
          <w:rFonts w:ascii="宋体" w:hAnsi="宋体" w:cs="宋体"/>
          <w:color w:val="000000" w:themeColor="text1"/>
          <w:sz w:val="24"/>
          <w:szCs w:val="24"/>
          <w:highlight w:val="none"/>
          <w:u w:color="000000"/>
          <w14:textFill>
            <w14:solidFill>
              <w14:schemeClr w14:val="tx1"/>
            </w14:solidFill>
          </w14:textFill>
        </w:rPr>
      </w:pPr>
      <w:r>
        <w:rPr>
          <w:rFonts w:hint="eastAsia" w:ascii="宋体" w:hAnsi="宋体" w:cs="宋体"/>
          <w:color w:val="000000" w:themeColor="text1"/>
          <w:sz w:val="24"/>
          <w:szCs w:val="24"/>
          <w:highlight w:val="none"/>
          <w:u w:color="000000"/>
          <w14:textFill>
            <w14:solidFill>
              <w14:schemeClr w14:val="tx1"/>
            </w14:solidFill>
          </w14:textFill>
        </w:rPr>
        <w:t>本项目是否属专门面向中小企业采购项目：</w:t>
      </w:r>
      <w:r>
        <w:rPr>
          <w:rFonts w:hint="eastAsia" w:ascii="宋体" w:hAnsi="宋体" w:cs="宋体"/>
          <w:color w:val="000000" w:themeColor="text1"/>
          <w:sz w:val="24"/>
          <w:szCs w:val="24"/>
          <w:highlight w:val="none"/>
          <w14:textFill>
            <w14:solidFill>
              <w14:schemeClr w14:val="tx1"/>
            </w14:solidFill>
          </w14:textFill>
        </w:rPr>
        <w:t>是，非中小型企业参与本采购项目，将做无效响应文件处理（须提供中小企业声明函）。</w:t>
      </w:r>
    </w:p>
    <w:p w14:paraId="00EACEE2">
      <w:pPr>
        <w:spacing w:line="360" w:lineRule="auto"/>
        <w:ind w:firstLine="562" w:firstLineChars="200"/>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二、申请人的资格要求：</w:t>
      </w:r>
      <w:bookmarkEnd w:id="5"/>
      <w:bookmarkEnd w:id="6"/>
      <w:bookmarkEnd w:id="7"/>
      <w:bookmarkEnd w:id="8"/>
    </w:p>
    <w:p w14:paraId="5EA5742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bookmarkStart w:id="9" w:name="_Toc35393800"/>
      <w:bookmarkStart w:id="10" w:name="_Toc35393631"/>
      <w:bookmarkStart w:id="11" w:name="_Toc28359091"/>
      <w:bookmarkStart w:id="12" w:name="_Toc28359014"/>
      <w:r>
        <w:rPr>
          <w:rFonts w:hint="eastAsia" w:ascii="宋体" w:hAnsi="宋体" w:cs="宋体"/>
          <w:color w:val="000000" w:themeColor="text1"/>
          <w:sz w:val="24"/>
          <w:szCs w:val="24"/>
          <w:highlight w:val="none"/>
          <w14:textFill>
            <w14:solidFill>
              <w14:schemeClr w14:val="tx1"/>
            </w14:solidFill>
          </w14:textFill>
        </w:rPr>
        <w:t>1.满足《中华人民共和国政府采购法》第二十二条规定；</w:t>
      </w:r>
    </w:p>
    <w:p w14:paraId="6BF1127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（1）具有独立承担民事责任的能力（提供法人或者其他组织的营业执照，自然人的身份证）；</w:t>
      </w:r>
    </w:p>
    <w:p w14:paraId="0374DC0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具有良好的商业信誉和健全的财务会计制度（提供投标截止时间前六个月内银行出具的资信证明，或投标截止时间前六个月内任意一个月的财务状况报告（至少包括资产负债表和利润表），或上一年度（或2024年度）的审计报告）；</w:t>
      </w:r>
    </w:p>
    <w:p w14:paraId="614433A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（3）具有履行合同所必需的设备和专业技术能力（根据项目需求提供履行合同所必需的设备和专业技术能力的证明材料或相关加盖公章的声明函）；</w:t>
      </w:r>
    </w:p>
    <w:p w14:paraId="354E8544">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有依法缴纳税收和社会保障资金的良好记录（提供投标截止时间前六个月内任意一个月的纳税证明文件（依法免缴的应提供相应文件说明）；并提供投标截止时间前六个月内任意一个月依法为员工缴纳社会保障资金的证明材料（依法不需要缴纳社会保障资金的应提供相应文件说明））；</w:t>
      </w:r>
    </w:p>
    <w:p w14:paraId="7B30A060">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（5）参加本次采购活动前三年内，在经营活动中没有重大违法记录（提供参加本次采购活动前三年内在经营活动中没有重大违法记录的书面声明）。</w:t>
      </w:r>
    </w:p>
    <w:p w14:paraId="3DF9624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（6）法律、行政法规规定的其他条件。（符合并提供承诺书加盖供应商公章编入响应文件中）。</w:t>
      </w:r>
    </w:p>
    <w:p w14:paraId="435FC989">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2.落实政府采购政策需满足的资格要求：本项目为专门面向中小企业采购的项目。如为中小微型企业、监狱企业、残疾人福利性单位，提供的产品为国家认定的节能产品和环保产品的须按要求提供相关材料。</w:t>
      </w:r>
    </w:p>
    <w:p w14:paraId="17ACDAEA">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3.本项目的特定资格要求：</w:t>
      </w:r>
    </w:p>
    <w:p w14:paraId="41D3447A">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（1）供应商资质等级及范围：①具备具备专业承包建筑装修装饰工程二级(含)以上资质证书；②供应商具备有效期内的安全生产许可证。（提供证书复印件并加盖公章）</w:t>
      </w:r>
    </w:p>
    <w:p w14:paraId="15C14D72">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（2）项目负责人的资格要求：</w:t>
      </w:r>
    </w:p>
    <w:p w14:paraId="2F93570C">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①取得注册建造师证建筑工程二级(含)以上并取得《安全生产考核合格证书》B 类证书。（提供证书复印件加盖供应商公章编入响应文件中）</w:t>
      </w:r>
    </w:p>
    <w:p w14:paraId="6CC14B6A">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②供应商必须提供拟投入本工程项目负责人与供应商签订的有效劳动合同、社保机构出具的近半年内（202</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12</w:t>
      </w:r>
      <w:r>
        <w:rPr>
          <w:rFonts w:hint="eastAsia" w:ascii="宋体" w:hAnsi="宋体" w:cs="宋体"/>
          <w:color w:val="000000" w:themeColor="text1"/>
          <w:sz w:val="24"/>
          <w:szCs w:val="24"/>
          <w:highlight w:val="none"/>
          <w14:textFill>
            <w14:solidFill>
              <w14:schemeClr w14:val="tx1"/>
            </w14:solidFill>
          </w14:textFill>
        </w:rPr>
        <w:t>月-202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月）任意一月供应商为其缴纳的养老保险缴费证明材料并加盖社保中心章或社保中心参</w:t>
      </w:r>
      <w:r>
        <w:rPr>
          <w:rFonts w:hint="eastAsia" w:ascii="宋体" w:hAnsi="宋体" w:eastAsia="宋体" w:cs="宋体"/>
          <w:color w:val="000000" w:themeColor="text1"/>
          <w:sz w:val="24"/>
          <w:szCs w:val="24"/>
          <w:highlight w:val="none"/>
          <w14:textFill>
            <w14:solidFill>
              <w14:schemeClr w14:val="tx1"/>
            </w14:solidFill>
          </w14:textFill>
        </w:rPr>
        <w:t>保缴费证明电子专用章；若项目负责人属企业退休人员、现役军人等客观原因无法提供养老保险金缴费证明，退休人员必须出具退休证及劳务合同，若事业编制人员需要提供所在单位上级人事主管部门的人事证明材料，否则一律按未提供养老保险金缴费证明材料处理；（提供证明材料复</w:t>
      </w:r>
      <w:r>
        <w:rPr>
          <w:rFonts w:hint="eastAsia" w:ascii="宋体" w:hAnsi="宋体" w:cs="宋体"/>
          <w:color w:val="000000" w:themeColor="text1"/>
          <w:sz w:val="24"/>
          <w:szCs w:val="24"/>
          <w:highlight w:val="none"/>
          <w14:textFill>
            <w14:solidFill>
              <w14:schemeClr w14:val="tx1"/>
            </w14:solidFill>
          </w14:textFill>
        </w:rPr>
        <w:t>印件加盖供应商公章编入响应文件中）</w:t>
      </w:r>
    </w:p>
    <w:p w14:paraId="25E7702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4.拒绝下述供应商参加本次采购活动：（提供承诺书加盖供应商公章编入响应文件中）</w:t>
      </w:r>
    </w:p>
    <w:p w14:paraId="13FFD53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（1）供应商单位负责人为同一人或者存在直接控股、管理关系的不同供应商，不得参加同一合同项下的采购活动。</w:t>
      </w:r>
    </w:p>
    <w:p w14:paraId="3935494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（2）凡为采购项目提供整体设计、规范编制或者项目管理、监理、检测等服务的供应商，不得再参加本项目的采购活动。</w:t>
      </w:r>
    </w:p>
    <w:p w14:paraId="2E08E34A">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（3）拒绝列入失信被执行人、重大税收违法失信主体、政府采购严重违法失信行为记录名单中的供应商参加本项目的采购活动。</w:t>
      </w:r>
    </w:p>
    <w:p w14:paraId="0268EF9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注：采购人或代理机构通过 “信用中国”网站（www.creditchina.gov.cn）、“中国政府采购网”网站（www.ccgp.gov.cn）等渠道查询供应商信用记录并保存。</w:t>
      </w:r>
    </w:p>
    <w:p w14:paraId="1AA737F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5.根据住房和城乡建设部办公厅关于全面实行一级建造师电子注册证书的通知（建办市〔2021〕40 号）要求，自 2021 年 10 月 15 日起，在全国范围内实行一级建造师电子证书，电子证书式样按照《全国一体化在线政务服务平台电子证照一级建造师注册证书》标准执行。自 2022 年 1 月 1 日起，一级建造师统一使用电子证书，纸质注册证书作废。各投标人须提供一级建造师证书电子注册证书，电子注册证书应当符合相关文件规定，签名图像应当与持证人个人手写签名笔迹一致，证书应当在使用有效期限内。若提供的电子件无法识别有效信息的，视为无效。投标人将自行承担资格审查不通过等相应后果。</w:t>
      </w:r>
    </w:p>
    <w:p w14:paraId="18273BC0">
      <w:pPr>
        <w:spacing w:line="360" w:lineRule="auto"/>
        <w:ind w:firstLine="480" w:firstLineChars="20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w:t>
      </w:r>
      <w:bookmarkEnd w:id="9"/>
      <w:bookmarkEnd w:id="10"/>
      <w:bookmarkEnd w:id="11"/>
      <w:bookmarkEnd w:id="12"/>
      <w:bookmarkStart w:id="13" w:name="_Toc28359092"/>
      <w:bookmarkStart w:id="14" w:name="_Toc35393632"/>
      <w:bookmarkStart w:id="15" w:name="_Toc35393801"/>
      <w:bookmarkStart w:id="16" w:name="_Toc28359015"/>
      <w:r>
        <w:rPr>
          <w:rFonts w:hint="eastAsia" w:ascii="宋体" w:hAnsi="宋体" w:cs="宋体"/>
          <w:b/>
          <w:color w:val="000000" w:themeColor="text1"/>
          <w:sz w:val="24"/>
          <w:szCs w:val="24"/>
          <w:highlight w:val="none"/>
          <w14:textFill>
            <w14:solidFill>
              <w14:schemeClr w14:val="tx1"/>
            </w14:solidFill>
          </w14:textFill>
        </w:rPr>
        <w:t>获取采购文件</w:t>
      </w:r>
    </w:p>
    <w:bookmarkEnd w:id="13"/>
    <w:bookmarkEnd w:id="14"/>
    <w:bookmarkEnd w:id="15"/>
    <w:bookmarkEnd w:id="16"/>
    <w:p w14:paraId="3B2EF10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bookmarkStart w:id="17" w:name="_Toc28359017"/>
      <w:bookmarkStart w:id="18" w:name="_Toc28359094"/>
      <w:bookmarkStart w:id="19" w:name="_Toc35393634"/>
      <w:bookmarkStart w:id="20" w:name="_Toc35393803"/>
      <w:r>
        <w:rPr>
          <w:rFonts w:hint="eastAsia" w:ascii="宋体" w:hAnsi="宋体" w:cs="宋体"/>
          <w:color w:val="000000" w:themeColor="text1"/>
          <w:sz w:val="24"/>
          <w:szCs w:val="24"/>
          <w:highlight w:val="none"/>
          <w14:textFill>
            <w14:solidFill>
              <w14:schemeClr w14:val="tx1"/>
            </w14:solidFill>
          </w14:textFill>
        </w:rPr>
        <w:t>1、时间：202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12</w:t>
      </w:r>
      <w:r>
        <w:rPr>
          <w:rFonts w:hint="eastAsia" w:ascii="宋体" w:hAnsi="宋体" w:cs="宋体"/>
          <w:color w:val="000000" w:themeColor="text1"/>
          <w:sz w:val="24"/>
          <w:szCs w:val="24"/>
          <w:highlight w:val="none"/>
          <w14:textFill>
            <w14:solidFill>
              <w14:schemeClr w14:val="tx1"/>
            </w14:solidFill>
          </w14:textFill>
        </w:rPr>
        <w:t>日上午09:00至202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18</w:t>
      </w:r>
      <w:r>
        <w:rPr>
          <w:rFonts w:hint="eastAsia" w:ascii="宋体" w:hAnsi="宋体" w:cs="宋体"/>
          <w:color w:val="000000" w:themeColor="text1"/>
          <w:sz w:val="24"/>
          <w:szCs w:val="24"/>
          <w:highlight w:val="none"/>
          <w14:textFill>
            <w14:solidFill>
              <w14:schemeClr w14:val="tx1"/>
            </w14:solidFill>
          </w14:textFill>
        </w:rPr>
        <w:t>日下午17:00（北京时间）</w:t>
      </w:r>
    </w:p>
    <w:p w14:paraId="4DCFFCA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2、线上支付：网址为：</w:t>
      </w:r>
      <w:r>
        <w:rPr>
          <w:rFonts w:hint="eastAsia" w:ascii="宋体" w:hAnsi="宋体" w:cs="宋体"/>
          <w:color w:val="000000" w:themeColor="text1"/>
          <w:sz w:val="24"/>
          <w:szCs w:val="24"/>
          <w:highlight w:val="none"/>
          <w:lang w:val="en-US" w:eastAsia="zh-CN"/>
          <w14:textFill>
            <w14:solidFill>
              <w14:schemeClr w14:val="tx1"/>
            </w14:solidFill>
          </w14:textFill>
        </w:rPr>
        <w:t>https://njsnzx.cn/#/detail?id=3122</w:t>
      </w:r>
      <w:r>
        <w:rPr>
          <w:rFonts w:hint="eastAsia" w:ascii="宋体" w:hAnsi="宋体" w:cs="宋体"/>
          <w:color w:val="000000" w:themeColor="text1"/>
          <w:sz w:val="24"/>
          <w:szCs w:val="24"/>
          <w:highlight w:val="none"/>
          <w14:textFill>
            <w14:solidFill>
              <w14:schemeClr w14:val="tx1"/>
            </w14:solidFill>
          </w14:textFill>
        </w:rPr>
        <w:t>；凡有意参加者，请于上述时间内登录网址（免费注册）根据平台提示完成招标（采购）文件线上支付事宜。获取者应充分考虑所需时间，获取招标（采购）文件时间截止后不再接受提交的支</w:t>
      </w:r>
      <w:bookmarkStart w:id="215" w:name="_GoBack"/>
      <w:bookmarkEnd w:id="215"/>
      <w:r>
        <w:rPr>
          <w:rFonts w:hint="eastAsia" w:ascii="宋体" w:hAnsi="宋体" w:cs="宋体"/>
          <w:color w:val="000000" w:themeColor="text1"/>
          <w:sz w:val="24"/>
          <w:szCs w:val="24"/>
          <w:highlight w:val="none"/>
          <w14:textFill>
            <w14:solidFill>
              <w14:schemeClr w14:val="tx1"/>
            </w14:solidFill>
          </w14:textFill>
        </w:rPr>
        <w:t>付购买。平台提交为一次性工作请确认信息后再提交，若有需要查询支付状态可用注册手机号登录网址：https://njsnzx.cn/查询。支付状态成功后，与采购代理机构联系至南京市鼓楼区中山路99号12楼1212室领取纸质盖章版招标（采购）文件，电子版招标（采购）文件可在平台获取（电子版招标（采购）文件与纸质盖章版招标文件具有同等法律效力）。</w:t>
      </w:r>
    </w:p>
    <w:p w14:paraId="2BAF72A2">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未按照上述要求合法获取招标（采购）文件的，招标（采购）人将不予受理其投标（响应）。</w:t>
      </w:r>
    </w:p>
    <w:p w14:paraId="090F53E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售价：￥500元，本公告包含的招标文件售价总和。</w:t>
      </w:r>
    </w:p>
    <w:p w14:paraId="34E831CF">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四、响应文件提交</w:t>
      </w:r>
    </w:p>
    <w:p w14:paraId="029ADA0F">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截止时间：</w:t>
      </w:r>
      <w:r>
        <w:rPr>
          <w:rFonts w:hint="eastAsia" w:ascii="宋体" w:hAnsi="宋体" w:cs="宋体"/>
          <w:color w:val="000000" w:themeColor="text1"/>
          <w:sz w:val="24"/>
          <w:szCs w:val="24"/>
          <w:highlight w:val="none"/>
          <w:u w:val="single"/>
          <w14:textFill>
            <w14:solidFill>
              <w14:schemeClr w14:val="tx1"/>
            </w14:solidFill>
          </w14:textFill>
        </w:rPr>
        <w:t>202</w:t>
      </w:r>
      <w:r>
        <w:rPr>
          <w:rFonts w:hint="eastAsia" w:ascii="宋体" w:hAnsi="宋体" w:cs="宋体"/>
          <w:color w:val="000000" w:themeColor="text1"/>
          <w:sz w:val="24"/>
          <w:szCs w:val="24"/>
          <w:highlight w:val="none"/>
          <w:u w:val="single"/>
          <w:lang w:val="en-US" w:eastAsia="zh-CN"/>
          <w14:textFill>
            <w14:solidFill>
              <w14:schemeClr w14:val="tx1"/>
            </w14:solidFill>
          </w14:textFill>
        </w:rPr>
        <w:t>6</w:t>
      </w:r>
      <w:r>
        <w:rPr>
          <w:rFonts w:hint="eastAsia" w:ascii="宋体" w:hAnsi="宋体" w:cs="宋体"/>
          <w:color w:val="000000" w:themeColor="text1"/>
          <w:sz w:val="24"/>
          <w:szCs w:val="24"/>
          <w:highlight w:val="none"/>
          <w:u w:val="single"/>
          <w14:textFill>
            <w14:solidFill>
              <w14:schemeClr w14:val="tx1"/>
            </w14:solidFill>
          </w14:textFill>
        </w:rPr>
        <w:t>年</w:t>
      </w:r>
      <w:r>
        <w:rPr>
          <w:rFonts w:hint="eastAsia" w:ascii="宋体" w:hAnsi="宋体" w:cs="宋体"/>
          <w:color w:val="000000" w:themeColor="text1"/>
          <w:sz w:val="24"/>
          <w:szCs w:val="24"/>
          <w:highlight w:val="none"/>
          <w:u w:val="single"/>
          <w:lang w:val="en-US" w:eastAsia="zh-CN"/>
          <w14:textFill>
            <w14:solidFill>
              <w14:schemeClr w14:val="tx1"/>
            </w14:solidFill>
          </w14:textFill>
        </w:rPr>
        <w:t>6</w:t>
      </w:r>
      <w:r>
        <w:rPr>
          <w:rFonts w:hint="eastAsia" w:ascii="宋体" w:hAnsi="宋体" w:cs="宋体"/>
          <w:color w:val="000000" w:themeColor="text1"/>
          <w:sz w:val="24"/>
          <w:szCs w:val="24"/>
          <w:highlight w:val="none"/>
          <w:u w:val="single"/>
          <w14:textFill>
            <w14:solidFill>
              <w14:schemeClr w14:val="tx1"/>
            </w14:solidFill>
          </w14:textFill>
        </w:rPr>
        <w:t>月</w:t>
      </w:r>
      <w:r>
        <w:rPr>
          <w:rFonts w:hint="eastAsia" w:ascii="宋体" w:hAnsi="宋体" w:cs="宋体"/>
          <w:color w:val="000000" w:themeColor="text1"/>
          <w:sz w:val="24"/>
          <w:szCs w:val="24"/>
          <w:highlight w:val="none"/>
          <w:u w:val="single"/>
          <w:lang w:val="en-US" w:eastAsia="zh-CN"/>
          <w14:textFill>
            <w14:solidFill>
              <w14:schemeClr w14:val="tx1"/>
            </w14:solidFill>
          </w14:textFill>
        </w:rPr>
        <w:t>29</w:t>
      </w:r>
      <w:r>
        <w:rPr>
          <w:rFonts w:hint="eastAsia" w:ascii="宋体" w:hAnsi="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u w:val="single"/>
          <w:lang w:val="en-US" w:eastAsia="zh-CN"/>
          <w14:textFill>
            <w14:solidFill>
              <w14:schemeClr w14:val="tx1"/>
            </w14:solidFill>
          </w14:textFill>
        </w:rPr>
        <w:t>9</w:t>
      </w:r>
      <w:r>
        <w:rPr>
          <w:rFonts w:hint="eastAsia" w:ascii="宋体" w:hAnsi="宋体" w:cs="宋体"/>
          <w:color w:val="000000" w:themeColor="text1"/>
          <w:sz w:val="24"/>
          <w:szCs w:val="24"/>
          <w:highlight w:val="none"/>
          <w:u w:val="single"/>
          <w14:textFill>
            <w14:solidFill>
              <w14:schemeClr w14:val="tx1"/>
            </w14:solidFill>
          </w14:textFill>
        </w:rPr>
        <w:t>时</w:t>
      </w:r>
      <w:r>
        <w:rPr>
          <w:rFonts w:hint="eastAsia" w:ascii="宋体" w:hAnsi="宋体" w:cs="宋体"/>
          <w:color w:val="000000" w:themeColor="text1"/>
          <w:sz w:val="24"/>
          <w:szCs w:val="24"/>
          <w:highlight w:val="none"/>
          <w:u w:val="single"/>
          <w:lang w:val="en-US" w:eastAsia="zh-CN"/>
          <w14:textFill>
            <w14:solidFill>
              <w14:schemeClr w14:val="tx1"/>
            </w14:solidFill>
          </w14:textFill>
        </w:rPr>
        <w:t>30</w:t>
      </w:r>
      <w:r>
        <w:rPr>
          <w:rFonts w:hint="eastAsia" w:ascii="宋体" w:hAnsi="宋体" w:cs="宋体"/>
          <w:color w:val="000000" w:themeColor="text1"/>
          <w:sz w:val="24"/>
          <w:szCs w:val="24"/>
          <w:highlight w:val="none"/>
          <w:u w:val="single"/>
          <w14:textFill>
            <w14:solidFill>
              <w14:schemeClr w14:val="tx1"/>
            </w14:solidFill>
          </w14:textFill>
        </w:rPr>
        <w:t>分</w:t>
      </w:r>
      <w:r>
        <w:rPr>
          <w:rFonts w:hint="eastAsia" w:ascii="宋体" w:hAnsi="宋体" w:cs="宋体"/>
          <w:bCs/>
          <w:color w:val="000000" w:themeColor="text1"/>
          <w:sz w:val="24"/>
          <w:szCs w:val="24"/>
          <w:highlight w:val="none"/>
          <w14:textFill>
            <w14:solidFill>
              <w14:schemeClr w14:val="tx1"/>
            </w14:solidFill>
          </w14:textFill>
        </w:rPr>
        <w:t>（北京时间）</w:t>
      </w:r>
    </w:p>
    <w:p w14:paraId="587A587E">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地点：</w:t>
      </w:r>
      <w:r>
        <w:rPr>
          <w:rFonts w:hint="eastAsia" w:ascii="宋体" w:hAnsi="宋体" w:cs="宋体"/>
          <w:color w:val="000000" w:themeColor="text1"/>
          <w:sz w:val="24"/>
          <w:szCs w:val="24"/>
          <w:highlight w:val="none"/>
          <w:u w:val="single"/>
          <w14:textFill>
            <w14:solidFill>
              <w14:schemeClr w14:val="tx1"/>
            </w14:solidFill>
          </w14:textFill>
        </w:rPr>
        <w:t>南京市鼓楼区中山路99号12楼1212室二楼开标室</w:t>
      </w:r>
    </w:p>
    <w:p w14:paraId="50C89019">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五、开启</w:t>
      </w:r>
    </w:p>
    <w:p w14:paraId="20A6622C">
      <w:pPr>
        <w:spacing w:line="360" w:lineRule="auto"/>
        <w:ind w:firstLine="480" w:firstLineChars="200"/>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时间：</w:t>
      </w:r>
      <w:r>
        <w:rPr>
          <w:rFonts w:hint="eastAsia" w:ascii="宋体" w:hAnsi="宋体" w:cs="宋体"/>
          <w:color w:val="000000" w:themeColor="text1"/>
          <w:sz w:val="24"/>
          <w:szCs w:val="24"/>
          <w:highlight w:val="none"/>
          <w:u w:val="single"/>
          <w14:textFill>
            <w14:solidFill>
              <w14:schemeClr w14:val="tx1"/>
            </w14:solidFill>
          </w14:textFill>
        </w:rPr>
        <w:t>202</w:t>
      </w:r>
      <w:r>
        <w:rPr>
          <w:rFonts w:hint="eastAsia" w:ascii="宋体" w:hAnsi="宋体" w:cs="宋体"/>
          <w:color w:val="000000" w:themeColor="text1"/>
          <w:sz w:val="24"/>
          <w:szCs w:val="24"/>
          <w:highlight w:val="none"/>
          <w:u w:val="single"/>
          <w:lang w:val="en-US" w:eastAsia="zh-CN"/>
          <w14:textFill>
            <w14:solidFill>
              <w14:schemeClr w14:val="tx1"/>
            </w14:solidFill>
          </w14:textFill>
        </w:rPr>
        <w:t>6</w:t>
      </w:r>
      <w:r>
        <w:rPr>
          <w:rFonts w:hint="eastAsia" w:ascii="宋体" w:hAnsi="宋体" w:cs="宋体"/>
          <w:color w:val="000000" w:themeColor="text1"/>
          <w:sz w:val="24"/>
          <w:szCs w:val="24"/>
          <w:highlight w:val="none"/>
          <w:u w:val="single"/>
          <w14:textFill>
            <w14:solidFill>
              <w14:schemeClr w14:val="tx1"/>
            </w14:solidFill>
          </w14:textFill>
        </w:rPr>
        <w:t>年</w:t>
      </w:r>
      <w:r>
        <w:rPr>
          <w:rFonts w:hint="eastAsia" w:ascii="宋体" w:hAnsi="宋体" w:cs="宋体"/>
          <w:color w:val="000000" w:themeColor="text1"/>
          <w:sz w:val="24"/>
          <w:szCs w:val="24"/>
          <w:highlight w:val="none"/>
          <w:u w:val="single"/>
          <w:lang w:val="en-US" w:eastAsia="zh-CN"/>
          <w14:textFill>
            <w14:solidFill>
              <w14:schemeClr w14:val="tx1"/>
            </w14:solidFill>
          </w14:textFill>
        </w:rPr>
        <w:t>6</w:t>
      </w:r>
      <w:r>
        <w:rPr>
          <w:rFonts w:hint="eastAsia" w:ascii="宋体" w:hAnsi="宋体" w:cs="宋体"/>
          <w:color w:val="000000" w:themeColor="text1"/>
          <w:sz w:val="24"/>
          <w:szCs w:val="24"/>
          <w:highlight w:val="none"/>
          <w:u w:val="single"/>
          <w14:textFill>
            <w14:solidFill>
              <w14:schemeClr w14:val="tx1"/>
            </w14:solidFill>
          </w14:textFill>
        </w:rPr>
        <w:t>月</w:t>
      </w:r>
      <w:r>
        <w:rPr>
          <w:rFonts w:hint="eastAsia" w:ascii="宋体" w:hAnsi="宋体" w:cs="宋体"/>
          <w:color w:val="000000" w:themeColor="text1"/>
          <w:sz w:val="24"/>
          <w:szCs w:val="24"/>
          <w:highlight w:val="none"/>
          <w:u w:val="single"/>
          <w:lang w:val="en-US" w:eastAsia="zh-CN"/>
          <w14:textFill>
            <w14:solidFill>
              <w14:schemeClr w14:val="tx1"/>
            </w14:solidFill>
          </w14:textFill>
        </w:rPr>
        <w:t>29</w:t>
      </w:r>
      <w:r>
        <w:rPr>
          <w:rFonts w:hint="eastAsia" w:ascii="宋体" w:hAnsi="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u w:val="single"/>
          <w:lang w:val="en-US" w:eastAsia="zh-CN"/>
          <w14:textFill>
            <w14:solidFill>
              <w14:schemeClr w14:val="tx1"/>
            </w14:solidFill>
          </w14:textFill>
        </w:rPr>
        <w:t>9</w:t>
      </w:r>
      <w:r>
        <w:rPr>
          <w:rFonts w:hint="eastAsia" w:ascii="宋体" w:hAnsi="宋体" w:cs="宋体"/>
          <w:color w:val="000000" w:themeColor="text1"/>
          <w:sz w:val="24"/>
          <w:szCs w:val="24"/>
          <w:highlight w:val="none"/>
          <w:u w:val="single"/>
          <w14:textFill>
            <w14:solidFill>
              <w14:schemeClr w14:val="tx1"/>
            </w14:solidFill>
          </w14:textFill>
        </w:rPr>
        <w:t>时</w:t>
      </w:r>
      <w:r>
        <w:rPr>
          <w:rFonts w:hint="eastAsia" w:ascii="宋体" w:hAnsi="宋体" w:cs="宋体"/>
          <w:color w:val="000000" w:themeColor="text1"/>
          <w:sz w:val="24"/>
          <w:szCs w:val="24"/>
          <w:highlight w:val="none"/>
          <w:u w:val="single"/>
          <w:lang w:val="en-US" w:eastAsia="zh-CN"/>
          <w14:textFill>
            <w14:solidFill>
              <w14:schemeClr w14:val="tx1"/>
            </w14:solidFill>
          </w14:textFill>
        </w:rPr>
        <w:t>30</w:t>
      </w:r>
      <w:r>
        <w:rPr>
          <w:rFonts w:hint="eastAsia" w:ascii="宋体" w:hAnsi="宋体" w:cs="宋体"/>
          <w:color w:val="000000" w:themeColor="text1"/>
          <w:sz w:val="24"/>
          <w:szCs w:val="24"/>
          <w:highlight w:val="none"/>
          <w:u w:val="single"/>
          <w14:textFill>
            <w14:solidFill>
              <w14:schemeClr w14:val="tx1"/>
            </w14:solidFill>
          </w14:textFill>
        </w:rPr>
        <w:t>分</w:t>
      </w:r>
      <w:r>
        <w:rPr>
          <w:rFonts w:hint="eastAsia" w:ascii="宋体" w:hAnsi="宋体" w:cs="宋体"/>
          <w:bCs/>
          <w:color w:val="000000" w:themeColor="text1"/>
          <w:sz w:val="24"/>
          <w:szCs w:val="24"/>
          <w:highlight w:val="none"/>
          <w14:textFill>
            <w14:solidFill>
              <w14:schemeClr w14:val="tx1"/>
            </w14:solidFill>
          </w14:textFill>
        </w:rPr>
        <w:t>（北京时间）</w:t>
      </w:r>
    </w:p>
    <w:p w14:paraId="6EE056D8">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地点：</w:t>
      </w:r>
      <w:r>
        <w:rPr>
          <w:rFonts w:hint="eastAsia" w:ascii="宋体" w:hAnsi="宋体" w:cs="宋体"/>
          <w:color w:val="000000" w:themeColor="text1"/>
          <w:sz w:val="24"/>
          <w:szCs w:val="24"/>
          <w:highlight w:val="none"/>
          <w:u w:val="single"/>
          <w14:textFill>
            <w14:solidFill>
              <w14:schemeClr w14:val="tx1"/>
            </w14:solidFill>
          </w14:textFill>
        </w:rPr>
        <w:t>南京市鼓楼区中山路99号12楼1212室二楼开标室</w:t>
      </w:r>
    </w:p>
    <w:bookmarkEnd w:id="17"/>
    <w:bookmarkEnd w:id="18"/>
    <w:bookmarkEnd w:id="19"/>
    <w:bookmarkEnd w:id="20"/>
    <w:p w14:paraId="5651F458">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六、公告期限</w:t>
      </w:r>
    </w:p>
    <w:p w14:paraId="311A75CC">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自本公告发布之日起3个工作日。</w:t>
      </w:r>
      <w:bookmarkStart w:id="21" w:name="_Toc35393626"/>
      <w:bookmarkStart w:id="22" w:name="_Toc35393795"/>
    </w:p>
    <w:p w14:paraId="1381C8E0">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七、其他补充事宜</w:t>
      </w:r>
      <w:bookmarkEnd w:id="21"/>
      <w:bookmarkEnd w:id="22"/>
    </w:p>
    <w:p w14:paraId="6047E833">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1.集中考察或答疑：</w:t>
      </w:r>
    </w:p>
    <w:p w14:paraId="3F84D955">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采购人不组织集中踏勘现场，供应商可自行前往现场踏勘。未踏勘现场或踏勘工作不详细的供应商中标后，不得以不完全了解现场情况为理由而向采购人提出任何索赔或其他要求，对此采购人不承担任何责任并将不作任何答复。</w:t>
      </w:r>
    </w:p>
    <w:p w14:paraId="7A6DBD44">
      <w:pPr>
        <w:pStyle w:val="10"/>
        <w:spacing w:after="0" w:line="360" w:lineRule="auto"/>
        <w:ind w:firstLine="480" w:firstLineChars="200"/>
        <w:rPr>
          <w:rFonts w:ascii="宋体" w:hAnsi="宋体" w:cs="宋体"/>
          <w:color w:val="000000" w:themeColor="text1"/>
          <w:highlight w:val="none"/>
          <w14:textFill>
            <w14:solidFill>
              <w14:schemeClr w14:val="tx1"/>
            </w14:solidFill>
          </w14:textFill>
        </w:rPr>
      </w:pPr>
      <w:bookmarkStart w:id="23" w:name="_Toc35393802"/>
      <w:bookmarkStart w:id="24" w:name="_Toc35393633"/>
      <w:bookmarkStart w:id="25" w:name="_Toc28359016"/>
      <w:bookmarkStart w:id="26" w:name="_Toc28359093"/>
      <w:r>
        <w:rPr>
          <w:rFonts w:hint="eastAsia" w:ascii="宋体" w:hAnsi="宋体" w:cs="宋体"/>
          <w:color w:val="000000" w:themeColor="text1"/>
          <w:highlight w:val="none"/>
          <w14:textFill>
            <w14:solidFill>
              <w14:schemeClr w14:val="tx1"/>
            </w14:solidFill>
          </w14:textFill>
        </w:rPr>
        <w:t>2.响应文件份数：</w:t>
      </w:r>
      <w:r>
        <w:rPr>
          <w:rFonts w:hint="eastAsia" w:ascii="宋体" w:hAnsi="宋体" w:cs="宋体"/>
          <w:bCs/>
          <w:color w:val="000000" w:themeColor="text1"/>
          <w:highlight w:val="none"/>
          <w14:textFill>
            <w14:solidFill>
              <w14:schemeClr w14:val="tx1"/>
            </w14:solidFill>
          </w14:textFill>
        </w:rPr>
        <w:t>一式伍份（壹份正本、肆份副本），电子版响应文件壹份</w:t>
      </w:r>
      <w:r>
        <w:rPr>
          <w:rFonts w:hint="eastAsia" w:asciiTheme="minorEastAsia" w:hAnsiTheme="minorEastAsia" w:eastAsiaTheme="minorEastAsia"/>
          <w:color w:val="000000" w:themeColor="text1"/>
          <w:highlight w:val="none"/>
          <w14:textFill>
            <w14:solidFill>
              <w14:schemeClr w14:val="tx1"/>
            </w14:solidFill>
          </w14:textFill>
        </w:rPr>
        <w:t>（电子版须为响应文件盖公章（红章）正本的PDF扫描件，扫描件内容应与纸质文件完全一致。文件名建议修改为公司名+项目编号简写、U盘形式，随纸质正本文件一并提交）</w:t>
      </w:r>
      <w:r>
        <w:rPr>
          <w:rFonts w:hint="eastAsia" w:ascii="宋体" w:hAnsi="宋体" w:cs="宋体"/>
          <w:bCs/>
          <w:color w:val="000000" w:themeColor="text1"/>
          <w:highlight w:val="none"/>
          <w14:textFill>
            <w14:solidFill>
              <w14:schemeClr w14:val="tx1"/>
            </w14:solidFill>
          </w14:textFill>
        </w:rPr>
        <w:t>。当纸质正本文件和电子版文件不一致时，以纸质正本文件为准。电子版文件用于存档，投标供应商需承担前述不一致造成的不利后果。每份纸质文件须清楚标明“正本”或“副本”字样。一旦正本和副本不符，以正本为准。</w:t>
      </w:r>
    </w:p>
    <w:bookmarkEnd w:id="23"/>
    <w:bookmarkEnd w:id="24"/>
    <w:bookmarkEnd w:id="25"/>
    <w:bookmarkEnd w:id="26"/>
    <w:p w14:paraId="095AB7AE">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3.公告媒体</w:t>
      </w:r>
    </w:p>
    <w:p w14:paraId="3744199C">
      <w:pPr>
        <w:pStyle w:val="10"/>
        <w:spacing w:after="0" w:line="360" w:lineRule="auto"/>
        <w:ind w:firstLine="480" w:firstLineChars="200"/>
        <w:rPr>
          <w:rFonts w:ascii="宋体" w:hAnsi="宋体" w:cs="宋体"/>
          <w:bCs/>
          <w:color w:val="000000" w:themeColor="text1"/>
          <w:highlight w:val="none"/>
          <w14:textFill>
            <w14:solidFill>
              <w14:schemeClr w14:val="tx1"/>
            </w14:solidFill>
          </w14:textFill>
        </w:rPr>
      </w:pPr>
      <w:bookmarkStart w:id="27" w:name="_Toc35393796"/>
      <w:bookmarkStart w:id="28" w:name="_Toc28359008"/>
      <w:bookmarkStart w:id="29" w:name="_Toc35393627"/>
      <w:bookmarkStart w:id="30" w:name="_Toc28359085"/>
      <w:r>
        <w:rPr>
          <w:rFonts w:hint="eastAsia" w:ascii="宋体" w:hAnsi="宋体" w:cs="宋体"/>
          <w:bCs/>
          <w:color w:val="000000" w:themeColor="text1"/>
          <w:highlight w:val="none"/>
          <w14:textFill>
            <w14:solidFill>
              <w14:schemeClr w14:val="tx1"/>
            </w14:solidFill>
          </w14:textFill>
        </w:rPr>
        <w:t>（1）本公告在中国药科大学招投标办公室网站发布，敬请各投标人关注；</w:t>
      </w:r>
    </w:p>
    <w:p w14:paraId="6A5DDC4B">
      <w:pPr>
        <w:pStyle w:val="10"/>
        <w:spacing w:after="0" w:line="360" w:lineRule="auto"/>
        <w:ind w:firstLine="480" w:firstLineChars="200"/>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（2）若有关本次采购存在变动或修改，敬请各投标人及时关注中国政府采购网、中国药科大学招投标办公室网发布的关于本项目的信息更正公告。</w:t>
      </w:r>
    </w:p>
    <w:p w14:paraId="10DE5A9E">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4.采购项目需要落实的政府采购政策：</w:t>
      </w:r>
    </w:p>
    <w:p w14:paraId="74884F67">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（1）政府采购促进中小企业发展</w:t>
      </w:r>
    </w:p>
    <w:p w14:paraId="3D1AC940">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（2）政府采购支持监狱企业发展</w:t>
      </w:r>
    </w:p>
    <w:p w14:paraId="6159E17E">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（3）政府采购促进残疾人就业</w:t>
      </w:r>
    </w:p>
    <w:p w14:paraId="5A479D8D">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（4）政府采购鼓励采购节能环保产品</w:t>
      </w:r>
    </w:p>
    <w:p w14:paraId="27049CED">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t>5.</w:t>
      </w:r>
      <w:r>
        <w:rPr>
          <w:rFonts w:ascii="宋体" w:hAnsi="宋体" w:eastAsia="宋体" w:cs="宋体"/>
          <w:color w:val="000000" w:themeColor="text1"/>
          <w:sz w:val="24"/>
          <w:szCs w:val="24"/>
          <w:highlight w:val="none"/>
          <w14:textFill>
            <w14:solidFill>
              <w14:schemeClr w14:val="tx1"/>
            </w14:solidFill>
          </w14:textFill>
        </w:rPr>
        <w:t>本项目投标前需缴纳磋商保证金，金额：人民币</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ascii="宋体" w:hAnsi="宋体" w:eastAsia="宋体" w:cs="宋体"/>
          <w:color w:val="000000" w:themeColor="text1"/>
          <w:sz w:val="24"/>
          <w:szCs w:val="24"/>
          <w:highlight w:val="none"/>
          <w14:textFill>
            <w14:solidFill>
              <w14:schemeClr w14:val="tx1"/>
            </w14:solidFill>
          </w14:textFill>
        </w:rPr>
        <w:t>000元（大写：</w:t>
      </w:r>
      <w:r>
        <w:rPr>
          <w:rFonts w:hint="eastAsia" w:ascii="宋体" w:hAnsi="宋体" w:eastAsia="宋体" w:cs="宋体"/>
          <w:color w:val="000000" w:themeColor="text1"/>
          <w:sz w:val="24"/>
          <w:szCs w:val="24"/>
          <w:highlight w:val="none"/>
          <w14:textFill>
            <w14:solidFill>
              <w14:schemeClr w14:val="tx1"/>
            </w14:solidFill>
          </w14:textFill>
        </w:rPr>
        <w:t>壹</w:t>
      </w:r>
      <w:r>
        <w:rPr>
          <w:rFonts w:ascii="宋体" w:hAnsi="宋体" w:eastAsia="宋体" w:cs="宋体"/>
          <w:color w:val="000000" w:themeColor="text1"/>
          <w:sz w:val="24"/>
          <w:szCs w:val="24"/>
          <w:highlight w:val="none"/>
          <w14:textFill>
            <w14:solidFill>
              <w14:schemeClr w14:val="tx1"/>
            </w14:solidFill>
          </w14:textFill>
        </w:rPr>
        <w:t>万</w:t>
      </w:r>
      <w:r>
        <w:rPr>
          <w:rFonts w:hint="eastAsia" w:ascii="宋体" w:hAnsi="宋体" w:eastAsia="宋体" w:cs="宋体"/>
          <w:color w:val="000000" w:themeColor="text1"/>
          <w:sz w:val="24"/>
          <w:szCs w:val="24"/>
          <w:highlight w:val="none"/>
          <w:lang w:eastAsia="zh-CN"/>
          <w14:textFill>
            <w14:solidFill>
              <w14:schemeClr w14:val="tx1"/>
            </w14:solidFill>
          </w14:textFill>
        </w:rPr>
        <w:t>圆</w:t>
      </w:r>
      <w:r>
        <w:rPr>
          <w:rFonts w:ascii="宋体" w:hAnsi="宋体" w:eastAsia="宋体" w:cs="宋体"/>
          <w:color w:val="000000" w:themeColor="text1"/>
          <w:sz w:val="24"/>
          <w:szCs w:val="24"/>
          <w:highlight w:val="none"/>
          <w14:textFill>
            <w14:solidFill>
              <w14:schemeClr w14:val="tx1"/>
            </w14:solidFill>
          </w14:textFill>
        </w:rPr>
        <w:t>元整），支付信息详见招标文件。</w:t>
      </w:r>
    </w:p>
    <w:p w14:paraId="62490396">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八、对本次招标提出询问，请按以下方式联系。</w:t>
      </w:r>
      <w:bookmarkEnd w:id="27"/>
      <w:bookmarkEnd w:id="28"/>
      <w:bookmarkEnd w:id="29"/>
      <w:bookmarkEnd w:id="30"/>
    </w:p>
    <w:p w14:paraId="5B64B521">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1.采购人信息</w:t>
      </w:r>
    </w:p>
    <w:p w14:paraId="44ABE1AC">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名称：中国药科大学</w:t>
      </w:r>
    </w:p>
    <w:p w14:paraId="748C44D6">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地址：南京市江宁区龙眠大道639号</w:t>
      </w:r>
    </w:p>
    <w:p w14:paraId="7EB94A68">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联系人：李老师、</w:t>
      </w:r>
      <w:r>
        <w:rPr>
          <w:rFonts w:hint="eastAsia" w:ascii="宋体" w:hAnsi="宋体" w:eastAsia="宋体" w:cs="宋体"/>
          <w:color w:val="000000" w:themeColor="text1"/>
          <w:sz w:val="24"/>
          <w:szCs w:val="24"/>
          <w:highlight w:val="none"/>
          <w:lang w:eastAsia="zh-CN"/>
          <w14:textFill>
            <w14:solidFill>
              <w14:schemeClr w14:val="tx1"/>
            </w14:solidFill>
          </w14:textFill>
        </w:rPr>
        <w:t>孙</w:t>
      </w:r>
      <w:r>
        <w:rPr>
          <w:rFonts w:ascii="宋体" w:hAnsi="宋体" w:eastAsia="宋体" w:cs="宋体"/>
          <w:color w:val="000000" w:themeColor="text1"/>
          <w:sz w:val="24"/>
          <w:szCs w:val="24"/>
          <w:highlight w:val="none"/>
          <w14:textFill>
            <w14:solidFill>
              <w14:schemeClr w14:val="tx1"/>
            </w14:solidFill>
          </w14:textFill>
        </w:rPr>
        <w:t xml:space="preserve">老师 </w:t>
      </w:r>
    </w:p>
    <w:p w14:paraId="732B7B97">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联系方式：025-86185029、025-86185589</w:t>
      </w:r>
    </w:p>
    <w:p w14:paraId="7FB49325">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2.采购代理机构信息</w:t>
      </w:r>
    </w:p>
    <w:p w14:paraId="6BF794F0">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名称：南京苏宁工程咨询有限公司</w:t>
      </w:r>
    </w:p>
    <w:p w14:paraId="2066FFAB">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地址：南京市鼓楼区中山路99号12楼1212室</w:t>
      </w:r>
    </w:p>
    <w:p w14:paraId="426C2214">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联系方式：李佳蓉、025-84200809</w:t>
      </w:r>
    </w:p>
    <w:p w14:paraId="5080AAD7">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项目联系人：李佳蓉</w:t>
      </w:r>
    </w:p>
    <w:p w14:paraId="75DD68B9">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电话：025-84200809</w:t>
      </w:r>
    </w:p>
    <w:p w14:paraId="76FBC2E3">
      <w:pPr>
        <w:spacing w:line="300" w:lineRule="exact"/>
        <w:ind w:firstLine="420" w:firstLineChars="200"/>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br w:type="page"/>
      </w:r>
    </w:p>
    <w:p w14:paraId="1962DCE1">
      <w:pPr>
        <w:autoSpaceDE w:val="0"/>
        <w:autoSpaceDN w:val="0"/>
        <w:adjustRightInd w:val="0"/>
        <w:snapToGrid w:val="0"/>
        <w:ind w:firstLine="340" w:firstLineChars="100"/>
        <w:jc w:val="center"/>
        <w:outlineLvl w:val="0"/>
        <w:rPr>
          <w:rFonts w:ascii="宋体" w:hAnsi="宋体" w:cs="宋体"/>
          <w:color w:val="000000" w:themeColor="text1"/>
          <w:spacing w:val="-10"/>
          <w:sz w:val="36"/>
          <w:szCs w:val="36"/>
          <w:highlight w:val="none"/>
          <w14:textFill>
            <w14:solidFill>
              <w14:schemeClr w14:val="tx1"/>
            </w14:solidFill>
          </w14:textFill>
        </w:rPr>
      </w:pPr>
      <w:bookmarkStart w:id="31" w:name="_Toc1427"/>
      <w:r>
        <w:rPr>
          <w:rFonts w:hint="eastAsia" w:ascii="宋体" w:hAnsi="宋体" w:cs="宋体"/>
          <w:color w:val="000000" w:themeColor="text1"/>
          <w:spacing w:val="-10"/>
          <w:sz w:val="36"/>
          <w:szCs w:val="36"/>
          <w:highlight w:val="none"/>
          <w14:textFill>
            <w14:solidFill>
              <w14:schemeClr w14:val="tx1"/>
            </w14:solidFill>
          </w14:textFill>
        </w:rPr>
        <w:t>第二章  竞争性磋商须知</w:t>
      </w:r>
      <w:bookmarkEnd w:id="31"/>
    </w:p>
    <w:p w14:paraId="332BB9E3">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p>
    <w:p w14:paraId="12D4DB13">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一、总则</w:t>
      </w:r>
    </w:p>
    <w:p w14:paraId="1A1ABE29">
      <w:pPr>
        <w:autoSpaceDE w:val="0"/>
        <w:autoSpaceDN w:val="0"/>
        <w:adjustRightInd w:val="0"/>
        <w:ind w:firstLine="420" w:firstLineChars="0"/>
        <w:outlineLvl w:val="9"/>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1、适用法律</w:t>
      </w:r>
    </w:p>
    <w:p w14:paraId="76A0AE1C">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1.1 《中华人民共和国政府采购法》、《中华人民共和国政府采购法实施条例》、《政府采购竞争性磋商采购方式管理暂行办法》等有关法律、规章和规定等。</w:t>
      </w:r>
    </w:p>
    <w:p w14:paraId="23267A38">
      <w:pPr>
        <w:autoSpaceDE w:val="0"/>
        <w:autoSpaceDN w:val="0"/>
        <w:adjustRightInd w:val="0"/>
        <w:ind w:firstLine="420" w:firstLineChars="0"/>
        <w:outlineLvl w:val="9"/>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2、定义</w:t>
      </w:r>
    </w:p>
    <w:p w14:paraId="3FD7766C">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2.1 “</w:t>
      </w:r>
      <w:r>
        <w:rPr>
          <w:rFonts w:hint="eastAsia" w:ascii="宋体" w:hAnsi="宋体" w:cs="宋体"/>
          <w:b/>
          <w:color w:val="000000" w:themeColor="text1"/>
          <w:szCs w:val="21"/>
          <w:highlight w:val="none"/>
          <w:lang w:val="zh-CN"/>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是指参加磋商竞争，并符合采购文件规定资格条件的法人、其他组织或者自然人。</w:t>
      </w:r>
    </w:p>
    <w:p w14:paraId="2B105102">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2.2 “工程”指本采购文件中所述</w:t>
      </w:r>
      <w:r>
        <w:rPr>
          <w:rFonts w:hint="eastAsia" w:ascii="宋体" w:hAnsi="宋体" w:cs="宋体"/>
          <w:b/>
          <w:color w:val="000000" w:themeColor="text1"/>
          <w:szCs w:val="21"/>
          <w:highlight w:val="none"/>
          <w:lang w:val="zh-CN"/>
          <w14:textFill>
            <w14:solidFill>
              <w14:schemeClr w14:val="tx1"/>
            </w14:solidFill>
          </w14:textFill>
        </w:rPr>
        <w:t>工程</w:t>
      </w:r>
      <w:r>
        <w:rPr>
          <w:rFonts w:hint="eastAsia" w:ascii="宋体" w:hAnsi="宋体" w:cs="宋体"/>
          <w:color w:val="000000" w:themeColor="text1"/>
          <w:szCs w:val="21"/>
          <w:highlight w:val="none"/>
          <w:lang w:val="zh-CN"/>
          <w14:textFill>
            <w14:solidFill>
              <w14:schemeClr w14:val="tx1"/>
            </w14:solidFill>
          </w14:textFill>
        </w:rPr>
        <w:t>。</w:t>
      </w:r>
    </w:p>
    <w:p w14:paraId="5F065749">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2.3 “用户或使用单位”是指使用服务的单位。</w:t>
      </w:r>
    </w:p>
    <w:p w14:paraId="4085CB8A">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3、政策功能</w:t>
      </w:r>
    </w:p>
    <w:p w14:paraId="4F3897E9">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3.1 政府采购促进中小企业发展，在政府采购活动中，供应商提供的货物、工程或者服务符合下列情形的，享受中小企业扶持政策：</w:t>
      </w:r>
    </w:p>
    <w:p w14:paraId="10B37C3B">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（1）在货物采购项目中，货物由中小企业制造，即货物由中小企业生产且使用该中小企业商号或者注册商标；</w:t>
      </w:r>
    </w:p>
    <w:p w14:paraId="23429683">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（2）在工程采购项目中，工程由中小企业承建，即工程施工单位为中小企业；</w:t>
      </w:r>
    </w:p>
    <w:p w14:paraId="52989746">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（3）在服务采购项目中，服务由中小企业承接，即提供服务的人员为中小企业依照《中华人民共和国劳动合同法》订立劳动合同的从业人员。</w:t>
      </w:r>
    </w:p>
    <w:p w14:paraId="0491BC80">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在货物采购项目中，供应商提供的货物既有中小企业制造货物，也有大型企业制造货物的，不享受中小企业扶持政策。</w:t>
      </w:r>
    </w:p>
    <w:p w14:paraId="686334A6">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以联合体形式参加政府采购活动，联合体各方均为中小企业的，联合体视同中小企业。其中，联合体各方均为小微企业的，联合体视同小微企业。</w:t>
      </w:r>
    </w:p>
    <w:p w14:paraId="4D492151">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中小企业供应商参加政府采购活动，应当出具《中小企业声明函》（格式见后附件），否则不得享受相关中小企业扶持政策。</w:t>
      </w:r>
    </w:p>
    <w:p w14:paraId="238A00FF">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p>
    <w:p w14:paraId="71636F08">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p>
    <w:p w14:paraId="70B7C619">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p>
    <w:p w14:paraId="7FE08C47">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p>
    <w:p w14:paraId="44BA68A8">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3.5 提供的产品属于信息安全产品的，供应商应当选择经国家认证的信息安全产品磋商，并提供由中国信息安全认证中心按国家标准认证颁发的有效认证证书复印件。</w:t>
      </w:r>
    </w:p>
    <w:p w14:paraId="7EF5A323">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3.6 提供的产品属于政府强制采购节能产品的，供应商应当选择经过认证的节能产品磋商，并提供有效的节能产品认证证书复印件。</w:t>
      </w:r>
    </w:p>
    <w:p w14:paraId="7788A4A0">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3.7 提供的产品属于环境标志产品的，供应商应当选择经过认证的环境标志产品磋商，并提供有效的环境标志产品认证证书复印件。</w:t>
      </w:r>
    </w:p>
    <w:p w14:paraId="766C2132">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磋商费用</w:t>
      </w:r>
    </w:p>
    <w:p w14:paraId="3014778D">
      <w:pPr>
        <w:ind w:firstLine="411" w:firstLineChars="196"/>
        <w:rPr>
          <w:rFonts w:asciiTheme="minorEastAsia" w:hAnsiTheme="minorEastAsia" w:eastAsia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olor w:val="000000" w:themeColor="text1"/>
          <w:szCs w:val="21"/>
          <w:highlight w:val="none"/>
          <w:lang w:val="zh-CN"/>
          <w14:textFill>
            <w14:solidFill>
              <w14:schemeClr w14:val="tx1"/>
            </w14:solidFill>
          </w14:textFill>
        </w:rPr>
        <w:t>4.1本项目的成交供应商须在领取成交通知书时向采购代理机构一次性缴纳采购代理服务费。</w:t>
      </w:r>
    </w:p>
    <w:p w14:paraId="40B83563">
      <w:pPr>
        <w:ind w:firstLine="411" w:firstLineChars="196"/>
        <w:rPr>
          <w:rFonts w:asciiTheme="minorEastAsia" w:hAnsiTheme="minorEastAsia" w:eastAsia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olor w:val="000000" w:themeColor="text1"/>
          <w:szCs w:val="21"/>
          <w:highlight w:val="none"/>
          <w:lang w:val="zh-CN"/>
          <w14:textFill>
            <w14:solidFill>
              <w14:schemeClr w14:val="tx1"/>
            </w14:solidFill>
          </w14:textFill>
        </w:rPr>
        <w:t>4.2采购代理服务费以成交通知书的成交金额作为收取的计算基数，参照《招标代理服务收费管理暂行办法》（计价格[2002]1980号）文件规定的</w:t>
      </w:r>
      <w:r>
        <w:rPr>
          <w:rFonts w:hint="eastAsia" w:asciiTheme="minorEastAsia" w:hAnsiTheme="minorEastAsia" w:eastAsiaTheme="minorEastAsia"/>
          <w:color w:val="000000" w:themeColor="text1"/>
          <w:szCs w:val="21"/>
          <w:highlight w:val="none"/>
          <w:lang w:val="en-US" w:eastAsia="zh-CN"/>
          <w14:textFill>
            <w14:solidFill>
              <w14:schemeClr w14:val="tx1"/>
            </w14:solidFill>
          </w14:textFill>
        </w:rPr>
        <w:t>44</w:t>
      </w:r>
      <w:r>
        <w:rPr>
          <w:rFonts w:hint="eastAsia" w:asciiTheme="minorEastAsia" w:hAnsiTheme="minorEastAsia" w:eastAsiaTheme="minorEastAsia"/>
          <w:color w:val="000000" w:themeColor="text1"/>
          <w:szCs w:val="21"/>
          <w:highlight w:val="none"/>
          <w:lang w:val="zh-CN"/>
          <w14:textFill>
            <w14:solidFill>
              <w14:schemeClr w14:val="tx1"/>
            </w14:solidFill>
          </w14:textFill>
        </w:rPr>
        <w:t>%收取。该项费用请投标人综合考虑在投标报价中，后期采购人不单独列支。</w:t>
      </w:r>
    </w:p>
    <w:p w14:paraId="00EFAF3E">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二、响应文件编制</w:t>
      </w:r>
    </w:p>
    <w:p w14:paraId="1C6632D4">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供应商应当按照磋商文件的要求编制响应文件，并对其提交的响应文件真实性、合法性承担法律责任。</w:t>
      </w:r>
    </w:p>
    <w:p w14:paraId="3AA85FDD">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6、响应文件的语言、计量单位、货币和编制</w:t>
      </w:r>
    </w:p>
    <w:p w14:paraId="41F28D8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6.1 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p>
    <w:p w14:paraId="0F27D0E4">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6.2 供应商所使用的计量单位应为国家法定计量单位。</w:t>
      </w:r>
    </w:p>
    <w:p w14:paraId="3F6C1B7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6.3 供应商应用人民币报价。</w:t>
      </w:r>
    </w:p>
    <w:p w14:paraId="2BD34F81">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6.4 响应文件应字迹清楚、内容齐全、不得涂改。如有修改，修改处须有供应商公章或法定代表人或其授权磋商代表签字。</w:t>
      </w:r>
    </w:p>
    <w:p w14:paraId="7EDDA32D">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6.5 响应文件应按照磋商文件规定，统一用A4规格幅面打印、装订成册并编制目录，由于编排混乱导致响应文件被误读或查找不到，责任由供应商承担。</w:t>
      </w:r>
    </w:p>
    <w:p w14:paraId="75BA088C">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6.6 供应商应在响应文件中写清相应的项目编号、项目名称、供应商名称、地址、电话、传真等。</w:t>
      </w:r>
    </w:p>
    <w:p w14:paraId="099DF5DD">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7、响应文件的组成</w:t>
      </w:r>
    </w:p>
    <w:p w14:paraId="514A8B58">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7.1</w:t>
      </w:r>
      <w:r>
        <w:rPr>
          <w:rFonts w:hint="eastAsia" w:ascii="宋体" w:hAnsi="宋体" w:cs="宋体"/>
          <w:color w:val="000000" w:themeColor="text1"/>
          <w:szCs w:val="21"/>
          <w:highlight w:val="none"/>
          <w14:textFill>
            <w14:solidFill>
              <w14:schemeClr w14:val="tx1"/>
            </w14:solidFill>
          </w14:textFill>
        </w:rPr>
        <w:t>供应商应当根据磋商文件要求编制响应文件，并根据自己的商务能力、技术水平对磋商文件提出的要求和条件逐条标明是否响应。</w:t>
      </w:r>
      <w:r>
        <w:rPr>
          <w:rFonts w:hint="eastAsia" w:ascii="宋体" w:hAnsi="宋体" w:cs="宋体"/>
          <w:color w:val="000000" w:themeColor="text1"/>
          <w:szCs w:val="21"/>
          <w:highlight w:val="none"/>
          <w:lang w:val="zh-CN"/>
          <w14:textFill>
            <w14:solidFill>
              <w14:schemeClr w14:val="tx1"/>
            </w14:solidFill>
          </w14:textFill>
        </w:rPr>
        <w:t>响应文件由商务部分、技术部分、价格部分，以及其他部分组成。</w:t>
      </w:r>
    </w:p>
    <w:p w14:paraId="00B927C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7.2 </w:t>
      </w:r>
      <w:r>
        <w:rPr>
          <w:rFonts w:hint="eastAsia" w:ascii="宋体" w:hAnsi="宋体" w:cs="宋体"/>
          <w:b/>
          <w:bCs/>
          <w:color w:val="000000" w:themeColor="text1"/>
          <w:szCs w:val="21"/>
          <w:highlight w:val="none"/>
          <w:lang w:val="zh-CN"/>
          <w14:textFill>
            <w14:solidFill>
              <w14:schemeClr w14:val="tx1"/>
            </w14:solidFill>
          </w14:textFill>
        </w:rPr>
        <w:t>响应文件的商务部分。</w:t>
      </w:r>
      <w:r>
        <w:rPr>
          <w:rFonts w:hint="eastAsia" w:ascii="宋体" w:hAnsi="宋体" w:cs="宋体"/>
          <w:color w:val="000000" w:themeColor="text1"/>
          <w:szCs w:val="21"/>
          <w:highlight w:val="none"/>
          <w:lang w:val="zh-CN"/>
          <w14:textFill>
            <w14:solidFill>
              <w14:schemeClr w14:val="tx1"/>
            </w14:solidFill>
          </w14:textFill>
        </w:rPr>
        <w:t>商务部分是证明供应商有资格参加磋商和成交后有能力履行合同的文件，</w:t>
      </w:r>
      <w:r>
        <w:rPr>
          <w:rFonts w:hint="eastAsia" w:ascii="宋体" w:hAnsi="宋体" w:cs="宋体"/>
          <w:color w:val="000000" w:themeColor="text1"/>
          <w:szCs w:val="21"/>
          <w:highlight w:val="none"/>
          <w14:textFill>
            <w14:solidFill>
              <w14:schemeClr w14:val="tx1"/>
            </w14:solidFill>
          </w14:textFill>
        </w:rPr>
        <w:t>这些文件应能满足竞争性磋商采购文件的要求</w:t>
      </w:r>
      <w:r>
        <w:rPr>
          <w:rFonts w:hint="eastAsia" w:ascii="宋体" w:hAnsi="宋体" w:cs="宋体"/>
          <w:color w:val="000000" w:themeColor="text1"/>
          <w:szCs w:val="21"/>
          <w:highlight w:val="none"/>
          <w:lang w:val="zh-CN"/>
          <w14:textFill>
            <w14:solidFill>
              <w14:schemeClr w14:val="tx1"/>
            </w14:solidFill>
          </w14:textFill>
        </w:rPr>
        <w:t>，包括但不限于下列文件，其中加</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szCs w:val="21"/>
          <w:highlight w:val="none"/>
          <w:lang w:val="zh-CN"/>
          <w14:textFill>
            <w14:solidFill>
              <w14:schemeClr w14:val="tx1"/>
            </w14:solidFill>
          </w14:textFill>
        </w:rPr>
        <w:t>项目不得有缺失或无效：</w:t>
      </w:r>
    </w:p>
    <w:p w14:paraId="2C6C6EFA">
      <w:pPr>
        <w:autoSpaceDE w:val="0"/>
        <w:autoSpaceDN w:val="0"/>
        <w:adjustRightInd w:val="0"/>
        <w:snapToGrid w:val="0"/>
        <w:spacing w:line="259" w:lineRule="auto"/>
        <w:ind w:firstLine="420"/>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kern w:val="0"/>
          <w:szCs w:val="21"/>
          <w:highlight w:val="none"/>
          <w:lang w:val="zh-CN"/>
          <w14:textFill>
            <w14:solidFill>
              <w14:schemeClr w14:val="tx1"/>
            </w14:solidFill>
          </w14:textFill>
        </w:rPr>
        <w:t>★</w:t>
      </w:r>
      <w:r>
        <w:rPr>
          <w:rFonts w:hint="eastAsia" w:ascii="宋体" w:hAnsi="宋体" w:cs="宋体"/>
          <w:b/>
          <w:bCs/>
          <w:color w:val="000000" w:themeColor="text1"/>
          <w:szCs w:val="21"/>
          <w:highlight w:val="none"/>
          <w:lang w:val="zh-CN"/>
          <w14:textFill>
            <w14:solidFill>
              <w14:schemeClr w14:val="tx1"/>
            </w14:solidFill>
          </w14:textFill>
        </w:rPr>
        <w:t>磋商申请及声明；</w:t>
      </w:r>
    </w:p>
    <w:p w14:paraId="167CFBAF">
      <w:pPr>
        <w:widowControl/>
        <w:adjustRightInd w:val="0"/>
        <w:snapToGrid w:val="0"/>
        <w:spacing w:line="259" w:lineRule="auto"/>
        <w:ind w:firstLine="420"/>
        <w:jc w:val="left"/>
        <w:rPr>
          <w:rFonts w:ascii="宋体" w:hAnsi="宋体" w:cs="宋体"/>
          <w:b/>
          <w:bCs/>
          <w:color w:val="000000" w:themeColor="text1"/>
          <w:kern w:val="0"/>
          <w:szCs w:val="21"/>
          <w:highlight w:val="none"/>
          <w:lang w:val="zh-CN"/>
          <w14:textFill>
            <w14:solidFill>
              <w14:schemeClr w14:val="tx1"/>
            </w14:solidFill>
          </w14:textFill>
        </w:rPr>
      </w:pPr>
      <w:r>
        <w:rPr>
          <w:rFonts w:hint="eastAsia" w:ascii="宋体" w:hAnsi="宋体" w:cs="宋体"/>
          <w:b/>
          <w:bCs/>
          <w:color w:val="000000" w:themeColor="text1"/>
          <w:kern w:val="0"/>
          <w:szCs w:val="21"/>
          <w:highlight w:val="none"/>
          <w:lang w:val="zh-CN"/>
          <w14:textFill>
            <w14:solidFill>
              <w14:schemeClr w14:val="tx1"/>
            </w14:solidFill>
          </w14:textFill>
        </w:rPr>
        <w:t xml:space="preserve">（2）★法定代表人授权委托书及委托代理人的身份证复印件； </w:t>
      </w:r>
    </w:p>
    <w:p w14:paraId="4C06F169">
      <w:pPr>
        <w:autoSpaceDE w:val="0"/>
        <w:autoSpaceDN w:val="0"/>
        <w:adjustRightInd w:val="0"/>
        <w:snapToGrid w:val="0"/>
        <w:spacing w:line="259" w:lineRule="auto"/>
        <w:ind w:firstLine="422" w:firstLineChars="200"/>
        <w:rPr>
          <w:rFonts w:cs="宋体" w:asciiTheme="minorEastAsia" w:hAnsiTheme="minorEastAsia" w:eastAsiaTheme="minorEastAsia"/>
          <w:b/>
          <w:bCs/>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3</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asciiTheme="minorEastAsia" w:hAnsiTheme="minorEastAsia" w:eastAsiaTheme="minorEastAsia"/>
          <w:b/>
          <w:bCs/>
          <w:color w:val="000000" w:themeColor="text1"/>
          <w:szCs w:val="21"/>
          <w:highlight w:val="none"/>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第一章磋商邀请中</w:t>
      </w:r>
      <w:r>
        <w:rPr>
          <w:rFonts w:hint="eastAsia" w:asciiTheme="minorEastAsia" w:hAnsiTheme="minorEastAsia" w:eastAsiaTheme="minorEastAsia"/>
          <w:b/>
          <w:bCs/>
          <w:color w:val="000000" w:themeColor="text1"/>
          <w:szCs w:val="21"/>
          <w:highlight w:val="none"/>
          <w:lang w:val="zh-CN"/>
          <w14:textFill>
            <w14:solidFill>
              <w14:schemeClr w14:val="tx1"/>
            </w14:solidFill>
          </w14:textFill>
        </w:rPr>
        <w:t>《中华人民共和国政府采购法》规定的资格条件证明文件</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p>
    <w:p w14:paraId="5712747B">
      <w:pPr>
        <w:autoSpaceDE w:val="0"/>
        <w:autoSpaceDN w:val="0"/>
        <w:adjustRightInd w:val="0"/>
        <w:snapToGrid w:val="0"/>
        <w:spacing w:line="259" w:lineRule="auto"/>
        <w:ind w:left="1052" w:leftChars="200" w:hanging="632" w:hangingChars="300"/>
        <w:rPr>
          <w:rFonts w:cs="宋体" w:asciiTheme="minorEastAsia" w:hAnsiTheme="minorEastAsia" w:eastAsiaTheme="minorEastAsia"/>
          <w:b/>
          <w:bCs/>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4</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asciiTheme="minorEastAsia" w:hAnsiTheme="minorEastAsia" w:eastAsiaTheme="minorEastAsia"/>
          <w:b/>
          <w:bCs/>
          <w:color w:val="000000" w:themeColor="text1"/>
          <w:szCs w:val="21"/>
          <w:highlight w:val="none"/>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 xml:space="preserve">第一章磋商邀请中 </w:t>
      </w:r>
      <w:r>
        <w:rPr>
          <w:rFonts w:hint="eastAsia" w:asciiTheme="minorEastAsia" w:hAnsiTheme="minorEastAsia" w:eastAsiaTheme="minorEastAsia"/>
          <w:b/>
          <w:bCs/>
          <w:color w:val="000000" w:themeColor="text1"/>
          <w:szCs w:val="21"/>
          <w:highlight w:val="none"/>
          <w14:textFill>
            <w14:solidFill>
              <w14:schemeClr w14:val="tx1"/>
            </w14:solidFill>
          </w14:textFill>
        </w:rPr>
        <w:t>采购人根据采购项目的特殊要求规定的特定条件证明文件（若有）；</w:t>
      </w:r>
    </w:p>
    <w:p w14:paraId="7051D4BF">
      <w:pPr>
        <w:autoSpaceDE w:val="0"/>
        <w:autoSpaceDN w:val="0"/>
        <w:adjustRightInd w:val="0"/>
        <w:snapToGrid w:val="0"/>
        <w:spacing w:line="259" w:lineRule="auto"/>
        <w:ind w:firstLine="422" w:firstLineChars="200"/>
        <w:rPr>
          <w:rFonts w:ascii="宋体" w:hAnsi="宋体" w:cs="宋体"/>
          <w:b/>
          <w:bCs/>
          <w:color w:val="000000" w:themeColor="text1"/>
          <w:kern w:val="0"/>
          <w:szCs w:val="21"/>
          <w:highlight w:val="none"/>
          <w:lang w:val="zh-CN"/>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（5）</w:t>
      </w:r>
      <w:r>
        <w:rPr>
          <w:rFonts w:hint="eastAsia" w:ascii="宋体" w:hAnsi="宋体" w:cs="宋体"/>
          <w:color w:val="000000" w:themeColor="text1"/>
          <w:kern w:val="0"/>
          <w:szCs w:val="21"/>
          <w:highlight w:val="none"/>
          <w:lang w:val="zh-CN"/>
          <w14:textFill>
            <w14:solidFill>
              <w14:schemeClr w14:val="tx1"/>
            </w14:solidFill>
          </w14:textFill>
        </w:rPr>
        <w:t>《商务条款偏离表》</w:t>
      </w:r>
    </w:p>
    <w:p w14:paraId="549E3026">
      <w:pPr>
        <w:widowControl/>
        <w:adjustRightInd w:val="0"/>
        <w:snapToGrid w:val="0"/>
        <w:spacing w:line="259" w:lineRule="auto"/>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lang w:val="en-US" w:eastAsia="zh-CN"/>
          <w14:textFill>
            <w14:solidFill>
              <w14:schemeClr w14:val="tx1"/>
            </w14:solidFill>
          </w14:textFill>
        </w:rPr>
        <w:t>6</w:t>
      </w:r>
      <w:r>
        <w:rPr>
          <w:rFonts w:hint="eastAsia" w:ascii="宋体" w:hAnsi="宋体" w:cs="宋体"/>
          <w:color w:val="000000" w:themeColor="text1"/>
          <w:kern w:val="0"/>
          <w:szCs w:val="21"/>
          <w:highlight w:val="none"/>
          <w:lang w:val="zh-CN"/>
          <w14:textFill>
            <w14:solidFill>
              <w14:schemeClr w14:val="tx1"/>
            </w14:solidFill>
          </w14:textFill>
        </w:rPr>
        <w:t>）合同草案条款</w:t>
      </w:r>
    </w:p>
    <w:p w14:paraId="539D3834">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lang w:val="en-US" w:eastAsia="zh-CN"/>
          <w14:textFill>
            <w14:solidFill>
              <w14:schemeClr w14:val="tx1"/>
            </w14:solidFill>
          </w14:textFill>
        </w:rPr>
        <w:t>7）</w:t>
      </w:r>
      <w:r>
        <w:rPr>
          <w:rFonts w:hint="eastAsia" w:ascii="宋体" w:hAnsi="宋体" w:cs="宋体"/>
          <w:color w:val="000000" w:themeColor="text1"/>
          <w:szCs w:val="21"/>
          <w:highlight w:val="none"/>
          <w14:textFill>
            <w14:solidFill>
              <w14:schemeClr w14:val="tx1"/>
            </w14:solidFill>
          </w14:textFill>
        </w:rPr>
        <w:t>供应商认为需要</w:t>
      </w:r>
      <w:r>
        <w:rPr>
          <w:rFonts w:hint="eastAsia" w:ascii="宋体" w:hAnsi="宋体" w:cs="宋体"/>
          <w:color w:val="000000" w:themeColor="text1"/>
          <w:kern w:val="0"/>
          <w:szCs w:val="21"/>
          <w:highlight w:val="none"/>
          <w:lang w:val="zh-CN"/>
          <w14:textFill>
            <w14:solidFill>
              <w14:schemeClr w14:val="tx1"/>
            </w14:solidFill>
          </w14:textFill>
        </w:rPr>
        <w:t>提供的其他资格证明文件和商务资料。</w:t>
      </w:r>
    </w:p>
    <w:p w14:paraId="70025C73">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7.3 响应文件的技术部分。技术部分是证明</w:t>
      </w:r>
      <w:r>
        <w:rPr>
          <w:rFonts w:hint="eastAsia" w:ascii="宋体" w:hAnsi="宋体" w:cs="宋体"/>
          <w:color w:val="000000" w:themeColor="text1"/>
          <w:kern w:val="0"/>
          <w:szCs w:val="21"/>
          <w:highlight w:val="none"/>
          <w14:textFill>
            <w14:solidFill>
              <w14:schemeClr w14:val="tx1"/>
            </w14:solidFill>
          </w14:textFill>
        </w:rPr>
        <w:t>供应商提供的服务是合格的，并符合磋商文件要求的证明文件，以及</w:t>
      </w:r>
      <w:r>
        <w:rPr>
          <w:rFonts w:hint="eastAsia" w:ascii="宋体" w:hAnsi="宋体" w:cs="宋体"/>
          <w:color w:val="000000" w:themeColor="text1"/>
          <w:kern w:val="0"/>
          <w:szCs w:val="21"/>
          <w:highlight w:val="none"/>
          <w:lang w:val="zh-CN"/>
          <w14:textFill>
            <w14:solidFill>
              <w14:schemeClr w14:val="tx1"/>
            </w14:solidFill>
          </w14:textFill>
        </w:rPr>
        <w:t>对服务的详细说明，这些文件可以是文字资料、图纸和数据等。提供的服务如与磋商文件要求有不符之处，应说明其差别之所在。包括但不限于下列文件，其中加</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zh-CN"/>
          <w14:textFill>
            <w14:solidFill>
              <w14:schemeClr w14:val="tx1"/>
            </w14:solidFill>
          </w14:textFill>
        </w:rPr>
        <w:t>项目不得有缺失或无效：</w:t>
      </w:r>
    </w:p>
    <w:p w14:paraId="1E1FF6B2">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（1）《技术条款偏离表》；</w:t>
      </w:r>
    </w:p>
    <w:p w14:paraId="0191DBE2">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（2）项目实施或集成方案；</w:t>
      </w:r>
    </w:p>
    <w:p w14:paraId="7B4952B0">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（3）《施工主要材料一览表》；</w:t>
      </w:r>
    </w:p>
    <w:p w14:paraId="5D0E58AF">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（4）项目负责人基本情况表 ；</w:t>
      </w:r>
    </w:p>
    <w:p w14:paraId="31E6D949">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5</w:t>
      </w:r>
      <w:r>
        <w:rPr>
          <w:rFonts w:hint="eastAsia" w:ascii="宋体" w:hAnsi="宋体" w:cs="宋体"/>
          <w:color w:val="000000" w:themeColor="text1"/>
          <w:kern w:val="0"/>
          <w:szCs w:val="21"/>
          <w:highlight w:val="none"/>
          <w:lang w:val="zh-CN"/>
          <w14:textFill>
            <w14:solidFill>
              <w14:schemeClr w14:val="tx1"/>
            </w14:solidFill>
          </w14:textFill>
        </w:rPr>
        <w:t>）项目参与人员的职称、资格证书复印件；</w:t>
      </w:r>
    </w:p>
    <w:p w14:paraId="05925267">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6</w:t>
      </w:r>
      <w:r>
        <w:rPr>
          <w:rFonts w:hint="eastAsia" w:ascii="宋体" w:hAnsi="宋体" w:cs="宋体"/>
          <w:color w:val="000000" w:themeColor="text1"/>
          <w:kern w:val="0"/>
          <w:szCs w:val="21"/>
          <w:highlight w:val="none"/>
          <w:lang w:val="zh-CN"/>
          <w14:textFill>
            <w14:solidFill>
              <w14:schemeClr w14:val="tx1"/>
            </w14:solidFill>
          </w14:textFill>
        </w:rPr>
        <w:t>）技术支持资料（如白皮书、彩页、手册、检测报告等）；</w:t>
      </w:r>
    </w:p>
    <w:p w14:paraId="16C07A1B">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7</w:t>
      </w:r>
      <w:r>
        <w:rPr>
          <w:rFonts w:hint="eastAsia" w:ascii="宋体" w:hAnsi="宋体" w:cs="宋体"/>
          <w:color w:val="000000" w:themeColor="text1"/>
          <w:kern w:val="0"/>
          <w:szCs w:val="21"/>
          <w:highlight w:val="none"/>
          <w:lang w:val="zh-CN"/>
          <w14:textFill>
            <w14:solidFill>
              <w14:schemeClr w14:val="tx1"/>
            </w14:solidFill>
          </w14:textFill>
        </w:rPr>
        <w:t>）供应商认为需要提供的其他技术文件或资料等。</w:t>
      </w:r>
    </w:p>
    <w:p w14:paraId="09E5238B">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7.4 </w:t>
      </w:r>
      <w:r>
        <w:rPr>
          <w:rFonts w:hint="eastAsia" w:ascii="宋体" w:hAnsi="宋体" w:cs="宋体"/>
          <w:b/>
          <w:color w:val="000000" w:themeColor="text1"/>
          <w:szCs w:val="21"/>
          <w:highlight w:val="none"/>
          <w:lang w:val="zh-CN"/>
          <w14:textFill>
            <w14:solidFill>
              <w14:schemeClr w14:val="tx1"/>
            </w14:solidFill>
          </w14:textFill>
        </w:rPr>
        <w:t>响应文件的价格部分</w:t>
      </w:r>
    </w:p>
    <w:p w14:paraId="754BDDEA">
      <w:pP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本工程采用在工程量清单范围内包工包料、综合单价计价方法计算价格。</w:t>
      </w:r>
      <w:r>
        <w:rPr>
          <w:rFonts w:hint="eastAsia" w:ascii="宋体" w:hAnsi="宋体" w:cs="宋体"/>
          <w:color w:val="000000" w:themeColor="text1"/>
          <w:szCs w:val="21"/>
          <w:highlight w:val="none"/>
          <w:lang w:val="zh-CN"/>
          <w14:textFill>
            <w14:solidFill>
              <w14:schemeClr w14:val="tx1"/>
            </w14:solidFill>
          </w14:textFill>
        </w:rPr>
        <w:t>磋商文件如没有特别说明的话，对每一项货物、服务和工程仅接受一个价格。供应商应以表格形式详细说明价格构成，以及价格构成各项因素的单价和总价。</w:t>
      </w:r>
      <w:r>
        <w:rPr>
          <w:rFonts w:hint="eastAsia" w:ascii="宋体" w:hAnsi="宋体" w:cs="宋体"/>
          <w:color w:val="000000" w:themeColor="text1"/>
          <w:szCs w:val="21"/>
          <w:highlight w:val="none"/>
          <w14:textFill>
            <w14:solidFill>
              <w14:schemeClr w14:val="tx1"/>
            </w14:solidFill>
          </w14:textFill>
        </w:rPr>
        <w:t>供应商应按照磋商文件所提供的工程量清单，报价、施工。</w:t>
      </w:r>
      <w:r>
        <w:rPr>
          <w:rFonts w:hint="eastAsia" w:ascii="宋体" w:hAnsi="宋体" w:cs="宋体"/>
          <w:color w:val="000000" w:themeColor="text1"/>
          <w:szCs w:val="21"/>
          <w:highlight w:val="none"/>
          <w:lang w:val="zh-CN"/>
          <w14:textFill>
            <w14:solidFill>
              <w14:schemeClr w14:val="tx1"/>
            </w14:solidFill>
          </w14:textFill>
        </w:rPr>
        <w:t>按照《建设工程工程量清单计价规范》（GB50500-2013）、工程量清单指定的定额等造价计算程序、及现行的法律法规确定分项综合预算单价，并根据本企业水平研究最终确定磋商总报价。</w:t>
      </w:r>
    </w:p>
    <w:p w14:paraId="5E745D9E">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（2）报价应包含完成本货物、服务和工程项目发生的所有含税费用、支付给员工的工资和国家强制缴纳的各种社会保障资金，以及供应商认为需要的其他费用等。</w:t>
      </w:r>
    </w:p>
    <w:p w14:paraId="3CAC8F4C">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供应商应评细阅读磋商文件，充分了解施工现场位置、环境、道路、储存空间、装卸限制及任何其他足以影响报价之情况，任何因忽视或误解工地情况而导致的成本增加或工期延长等情况采购人一律不予认可。在对现场进行实地勘察后，提出合理的报价，在《磋商报价汇总表》中标明拟提供货物和服务的总价、在《磋商分项报价表》中标明拟提供货物和服务的明细价。</w:t>
      </w:r>
    </w:p>
    <w:p w14:paraId="7B156206">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（4）供应商的任何错漏、优惠、竞争性报价不得作为减轻责任、减少服务、降低质量的理由。</w:t>
      </w:r>
    </w:p>
    <w:p w14:paraId="7EE2B932">
      <w:pPr>
        <w:ind w:firstLine="420" w:firstLineChars="20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（5）报价表必须由供应商法人代表或委托授权人签字、或加盖单位公章。如有优惠条款，请单独列明，但不得影响报价，影响货物或服务整体功能。</w:t>
      </w:r>
    </w:p>
    <w:p w14:paraId="3693FFD6">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zh-CN"/>
          <w14:textFill>
            <w14:solidFill>
              <w14:schemeClr w14:val="tx1"/>
            </w14:solidFill>
          </w14:textFill>
        </w:rPr>
        <w:t xml:space="preserve"> 评审中出现下列情形之一的，评审委员会应当启动异常低价投标（响应）审查程序：</w:t>
      </w:r>
    </w:p>
    <w:p w14:paraId="2B474FCF">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6.1</w:t>
      </w:r>
      <w:r>
        <w:rPr>
          <w:rFonts w:hint="eastAsia" w:ascii="宋体" w:hAnsi="宋体" w:cs="宋体"/>
          <w:color w:val="000000" w:themeColor="text1"/>
          <w:sz w:val="21"/>
          <w:szCs w:val="21"/>
          <w:highlight w:val="none"/>
          <w:lang w:val="zh-CN"/>
          <w14:textFill>
            <w14:solidFill>
              <w14:schemeClr w14:val="tx1"/>
            </w14:solidFill>
          </w14:textFill>
        </w:rPr>
        <w:t>）投标（响应）报价低于全部通过符合性审查供应商投标（响应）报价平均值</w:t>
      </w:r>
      <w:r>
        <w:rPr>
          <w:rFonts w:hint="eastAsia" w:ascii="宋体" w:hAnsi="宋体" w:cs="宋体"/>
          <w:color w:val="000000" w:themeColor="text1"/>
          <w:sz w:val="21"/>
          <w:szCs w:val="21"/>
          <w:highlight w:val="none"/>
          <w:lang w:val="en-US" w:eastAsia="zh-CN"/>
          <w14:textFill>
            <w14:solidFill>
              <w14:schemeClr w14:val="tx1"/>
            </w14:solidFill>
          </w14:textFill>
        </w:rPr>
        <w:t>50</w:t>
      </w:r>
      <w:r>
        <w:rPr>
          <w:rFonts w:hint="eastAsia" w:ascii="宋体" w:hAnsi="宋体" w:cs="宋体"/>
          <w:color w:val="000000" w:themeColor="text1"/>
          <w:sz w:val="21"/>
          <w:szCs w:val="21"/>
          <w:highlight w:val="none"/>
          <w:lang w:val="zh-CN"/>
          <w14:textFill>
            <w14:solidFill>
              <w14:schemeClr w14:val="tx1"/>
            </w14:solidFill>
          </w14:textFill>
        </w:rPr>
        <w:t>%的，即投标（响应）报价&lt;全部通过符合性审查供应商投标（响应）报价平均值×</w:t>
      </w:r>
      <w:r>
        <w:rPr>
          <w:rFonts w:hint="eastAsia" w:ascii="宋体" w:hAnsi="宋体" w:cs="宋体"/>
          <w:color w:val="000000" w:themeColor="text1"/>
          <w:sz w:val="21"/>
          <w:szCs w:val="21"/>
          <w:highlight w:val="none"/>
          <w:lang w:val="en-US" w:eastAsia="zh-CN"/>
          <w14:textFill>
            <w14:solidFill>
              <w14:schemeClr w14:val="tx1"/>
            </w14:solidFill>
          </w14:textFill>
        </w:rPr>
        <w:t>50</w:t>
      </w:r>
      <w:r>
        <w:rPr>
          <w:rFonts w:hint="eastAsia" w:ascii="宋体" w:hAnsi="宋体" w:cs="宋体"/>
          <w:color w:val="000000" w:themeColor="text1"/>
          <w:sz w:val="21"/>
          <w:szCs w:val="21"/>
          <w:highlight w:val="none"/>
          <w:lang w:val="zh-CN"/>
          <w14:textFill>
            <w14:solidFill>
              <w14:schemeClr w14:val="tx1"/>
            </w14:solidFill>
          </w14:textFill>
        </w:rPr>
        <w:t>%；</w:t>
      </w:r>
    </w:p>
    <w:p w14:paraId="66877649">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cs="宋体"/>
          <w:color w:val="000000" w:themeColor="text1"/>
          <w:sz w:val="21"/>
          <w:szCs w:val="21"/>
          <w:highlight w:val="none"/>
          <w:lang w:val="zh-CN"/>
          <w14:textFill>
            <w14:solidFill>
              <w14:schemeClr w14:val="tx1"/>
            </w14:solidFill>
          </w14:textFill>
        </w:rPr>
        <w:t>2）投标（响应）报价低于通过符合性审查的次低报价供应商投标（响应）报价</w:t>
      </w:r>
      <w:r>
        <w:rPr>
          <w:rFonts w:hint="eastAsia" w:ascii="宋体" w:hAnsi="宋体" w:cs="宋体"/>
          <w:color w:val="000000" w:themeColor="text1"/>
          <w:sz w:val="21"/>
          <w:szCs w:val="21"/>
          <w:highlight w:val="none"/>
          <w:lang w:val="en-US" w:eastAsia="zh-CN"/>
          <w14:textFill>
            <w14:solidFill>
              <w14:schemeClr w14:val="tx1"/>
            </w14:solidFill>
          </w14:textFill>
        </w:rPr>
        <w:t>50</w:t>
      </w:r>
      <w:r>
        <w:rPr>
          <w:rFonts w:hint="eastAsia" w:ascii="宋体" w:hAnsi="宋体" w:cs="宋体"/>
          <w:color w:val="000000" w:themeColor="text1"/>
          <w:sz w:val="21"/>
          <w:szCs w:val="21"/>
          <w:highlight w:val="none"/>
          <w:lang w:val="zh-CN"/>
          <w14:textFill>
            <w14:solidFill>
              <w14:schemeClr w14:val="tx1"/>
            </w14:solidFill>
          </w14:textFill>
        </w:rPr>
        <w:t>%的，即投标（响应）报价&lt;通过符合性审查的次低报价供应商投标（响应）报价×</w:t>
      </w:r>
      <w:r>
        <w:rPr>
          <w:rFonts w:hint="eastAsia" w:ascii="宋体" w:hAnsi="宋体" w:cs="宋体"/>
          <w:color w:val="000000" w:themeColor="text1"/>
          <w:sz w:val="21"/>
          <w:szCs w:val="21"/>
          <w:highlight w:val="none"/>
          <w:lang w:val="en-US" w:eastAsia="zh-CN"/>
          <w14:textFill>
            <w14:solidFill>
              <w14:schemeClr w14:val="tx1"/>
            </w14:solidFill>
          </w14:textFill>
        </w:rPr>
        <w:t>50</w:t>
      </w:r>
      <w:r>
        <w:rPr>
          <w:rFonts w:hint="eastAsia" w:ascii="宋体" w:hAnsi="宋体" w:cs="宋体"/>
          <w:color w:val="000000" w:themeColor="text1"/>
          <w:sz w:val="21"/>
          <w:szCs w:val="21"/>
          <w:highlight w:val="none"/>
          <w:lang w:val="zh-CN"/>
          <w14:textFill>
            <w14:solidFill>
              <w14:schemeClr w14:val="tx1"/>
            </w14:solidFill>
          </w14:textFill>
        </w:rPr>
        <w:t>%；</w:t>
      </w:r>
    </w:p>
    <w:p w14:paraId="1A0C3A63">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cs="宋体"/>
          <w:color w:val="000000" w:themeColor="text1"/>
          <w:sz w:val="21"/>
          <w:szCs w:val="21"/>
          <w:highlight w:val="none"/>
          <w:lang w:val="zh-CN"/>
          <w14:textFill>
            <w14:solidFill>
              <w14:schemeClr w14:val="tx1"/>
            </w14:solidFill>
          </w14:textFill>
        </w:rPr>
        <w:t>3）投标（响应）报价低于采购项目最高限价</w:t>
      </w:r>
      <w:r>
        <w:rPr>
          <w:rFonts w:hint="eastAsia" w:ascii="宋体" w:hAnsi="宋体" w:cs="宋体"/>
          <w:color w:val="000000" w:themeColor="text1"/>
          <w:sz w:val="21"/>
          <w:szCs w:val="21"/>
          <w:highlight w:val="none"/>
          <w:lang w:val="en-US" w:eastAsia="zh-CN"/>
          <w14:textFill>
            <w14:solidFill>
              <w14:schemeClr w14:val="tx1"/>
            </w14:solidFill>
          </w14:textFill>
        </w:rPr>
        <w:t>45</w:t>
      </w:r>
      <w:r>
        <w:rPr>
          <w:rFonts w:hint="eastAsia" w:ascii="宋体" w:hAnsi="宋体" w:cs="宋体"/>
          <w:color w:val="000000" w:themeColor="text1"/>
          <w:sz w:val="21"/>
          <w:szCs w:val="21"/>
          <w:highlight w:val="none"/>
          <w:lang w:val="zh-CN"/>
          <w14:textFill>
            <w14:solidFill>
              <w14:schemeClr w14:val="tx1"/>
            </w14:solidFill>
          </w14:textFill>
        </w:rPr>
        <w:t>%的，即投标（响应）报价&lt;采购项目最高限价×</w:t>
      </w:r>
      <w:r>
        <w:rPr>
          <w:rFonts w:hint="eastAsia" w:ascii="宋体" w:hAnsi="宋体" w:cs="宋体"/>
          <w:color w:val="000000" w:themeColor="text1"/>
          <w:sz w:val="21"/>
          <w:szCs w:val="21"/>
          <w:highlight w:val="none"/>
          <w:lang w:val="en-US" w:eastAsia="zh-CN"/>
          <w14:textFill>
            <w14:solidFill>
              <w14:schemeClr w14:val="tx1"/>
            </w14:solidFill>
          </w14:textFill>
        </w:rPr>
        <w:t>45</w:t>
      </w:r>
      <w:r>
        <w:rPr>
          <w:rFonts w:hint="eastAsia" w:ascii="宋体" w:hAnsi="宋体" w:cs="宋体"/>
          <w:color w:val="000000" w:themeColor="text1"/>
          <w:sz w:val="21"/>
          <w:szCs w:val="21"/>
          <w:highlight w:val="none"/>
          <w:lang w:val="zh-CN"/>
          <w14:textFill>
            <w14:solidFill>
              <w14:schemeClr w14:val="tx1"/>
            </w14:solidFill>
          </w14:textFill>
        </w:rPr>
        <w:t>%；</w:t>
      </w:r>
    </w:p>
    <w:p w14:paraId="52403470">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cs="宋体"/>
          <w:color w:val="000000" w:themeColor="text1"/>
          <w:sz w:val="21"/>
          <w:szCs w:val="21"/>
          <w:highlight w:val="none"/>
          <w:lang w:val="zh-CN"/>
          <w14:textFill>
            <w14:solidFill>
              <w14:schemeClr w14:val="tx1"/>
            </w14:solidFill>
          </w14:textFill>
        </w:rPr>
        <w:t>4）评审委员会基于专业判断，认为供应商报价过低，有可能影响产品质量或者不能诚信履约的其他情形。</w:t>
      </w:r>
    </w:p>
    <w:p w14:paraId="2F32613F">
      <w:pPr>
        <w:pStyle w:val="15"/>
        <w:pageBreakBefore w:val="0"/>
        <w:kinsoku/>
        <w:wordWrap/>
        <w:overflowPunct/>
        <w:topLinePunct w:val="0"/>
        <w:bidi w:val="0"/>
        <w:spacing w:line="320" w:lineRule="atLeast"/>
        <w:ind w:firstLine="420" w:firstLineChars="200"/>
        <w:textAlignment w:val="auto"/>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相关法律法规对供应商报价有规定的，从其规定。</w:t>
      </w:r>
    </w:p>
    <w:p w14:paraId="5B3CDE3B">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 xml:space="preserve">6 </w:t>
      </w:r>
      <w:r>
        <w:rPr>
          <w:rFonts w:hint="eastAsia" w:ascii="宋体" w:hAnsi="宋体" w:cs="宋体"/>
          <w:color w:val="000000" w:themeColor="text1"/>
          <w:sz w:val="21"/>
          <w:szCs w:val="21"/>
          <w:highlight w:val="none"/>
          <w:lang w:val="zh-CN"/>
          <w14:textFill>
            <w14:solidFill>
              <w14:schemeClr w14:val="tx1"/>
            </w14:solidFill>
          </w14:textFill>
        </w:rPr>
        <w:t>评审委员会启动异常低价投标（响应）审查后，属于前述第（</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cs="宋体"/>
          <w:color w:val="000000" w:themeColor="text1"/>
          <w:sz w:val="21"/>
          <w:szCs w:val="21"/>
          <w:highlight w:val="none"/>
          <w:lang w:val="zh-CN"/>
          <w14:textFill>
            <w14:solidFill>
              <w14:schemeClr w14:val="tx1"/>
            </w14:solidFill>
          </w14:textFill>
        </w:rPr>
        <w:t>1）项至第（</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cs="宋体"/>
          <w:color w:val="000000" w:themeColor="text1"/>
          <w:sz w:val="21"/>
          <w:szCs w:val="21"/>
          <w:highlight w:val="none"/>
          <w:lang w:val="zh-CN"/>
          <w14:textFill>
            <w14:solidFill>
              <w14:schemeClr w14:val="tx1"/>
            </w14:solidFill>
          </w14:textFill>
        </w:rPr>
        <w:t>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000000" w:themeColor="text1"/>
          <w:sz w:val="21"/>
          <w:szCs w:val="21"/>
          <w:highlight w:val="none"/>
          <w:lang w:val="en-US" w:eastAsia="zh-CN"/>
          <w14:textFill>
            <w14:solidFill>
              <w14:schemeClr w14:val="tx1"/>
            </w14:solidFill>
          </w14:textFill>
        </w:rPr>
        <w:t>6.3</w:t>
      </w:r>
      <w:r>
        <w:rPr>
          <w:rFonts w:hint="eastAsia" w:ascii="宋体" w:hAnsi="宋体" w:cs="宋体"/>
          <w:color w:val="000000" w:themeColor="text1"/>
          <w:sz w:val="21"/>
          <w:szCs w:val="21"/>
          <w:highlight w:val="none"/>
          <w:lang w:val="zh-CN"/>
          <w14:textFill>
            <w14:solidFill>
              <w14:schemeClr w14:val="tx1"/>
            </w14:solidFill>
          </w14:textFill>
        </w:rPr>
        <w:t>）项情形，供应商已随投标（响应）文件一并提交相关书面说明及必要的证明材料的，在评审现场可不再重复提交。</w:t>
      </w:r>
    </w:p>
    <w:p w14:paraId="741CCA76">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C24C33E">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7.5 </w:t>
      </w:r>
      <w:r>
        <w:rPr>
          <w:rFonts w:hint="eastAsia" w:ascii="宋体" w:hAnsi="宋体" w:cs="宋体"/>
          <w:b/>
          <w:color w:val="000000" w:themeColor="text1"/>
          <w:szCs w:val="21"/>
          <w:highlight w:val="none"/>
          <w:lang w:val="zh-CN"/>
          <w14:textFill>
            <w14:solidFill>
              <w14:schemeClr w14:val="tx1"/>
            </w14:solidFill>
          </w14:textFill>
        </w:rPr>
        <w:t>响应文件的其他部分。</w:t>
      </w:r>
      <w:r>
        <w:rPr>
          <w:rFonts w:hint="eastAsia" w:ascii="宋体" w:hAnsi="宋体" w:cs="宋体"/>
          <w:color w:val="000000" w:themeColor="text1"/>
          <w:szCs w:val="21"/>
          <w:highlight w:val="none"/>
          <w:lang w:val="zh-CN"/>
          <w14:textFill>
            <w14:solidFill>
              <w14:schemeClr w14:val="tx1"/>
            </w14:solidFill>
          </w14:textFill>
        </w:rPr>
        <w:t>其他部分由供应商根据编制响应文件需要提供的其他相关文件。</w:t>
      </w:r>
    </w:p>
    <w:p w14:paraId="07F7025F">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三、响应文件签署与提交</w:t>
      </w:r>
    </w:p>
    <w:p w14:paraId="63B36DFB">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8</w:t>
      </w:r>
      <w:r>
        <w:rPr>
          <w:rFonts w:hint="eastAsia" w:ascii="宋体" w:hAnsi="宋体" w:cs="宋体"/>
          <w:b/>
          <w:bCs/>
          <w:color w:val="000000" w:themeColor="text1"/>
          <w:szCs w:val="21"/>
          <w:highlight w:val="none"/>
          <w:lang w:val="zh-CN"/>
          <w14:textFill>
            <w14:solidFill>
              <w14:schemeClr w14:val="tx1"/>
            </w14:solidFill>
          </w14:textFill>
        </w:rPr>
        <w:t>、响应文件签署</w:t>
      </w:r>
    </w:p>
    <w:p w14:paraId="76D4EC56">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.1 响应文件应由供应商法定代表人或授权代表签字，并加盖公章。</w:t>
      </w:r>
    </w:p>
    <w:p w14:paraId="53420DC7">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.2供应商应当在磋商文件要求提交响应文件的截止时间前，将响应文件密封送达指定地点。</w:t>
      </w:r>
    </w:p>
    <w:p w14:paraId="41D4B68C">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w:t>
      </w:r>
      <w:r>
        <w:rPr>
          <w:rFonts w:hint="eastAsia" w:ascii="宋体" w:hAnsi="宋体" w:cs="宋体"/>
          <w:bCs/>
          <w:color w:val="000000" w:themeColor="text1"/>
          <w:szCs w:val="21"/>
          <w:highlight w:val="none"/>
          <w:lang w:val="zh-CN"/>
          <w14:textFill>
            <w14:solidFill>
              <w14:schemeClr w14:val="tx1"/>
            </w14:solidFill>
          </w14:textFill>
        </w:rPr>
        <w:t xml:space="preserve">.3 </w:t>
      </w:r>
      <w:r>
        <w:rPr>
          <w:rFonts w:hint="eastAsia" w:ascii="宋体" w:hAnsi="宋体" w:cs="宋体"/>
          <w:b/>
          <w:bCs/>
          <w:color w:val="000000" w:themeColor="text1"/>
          <w:szCs w:val="21"/>
          <w:highlight w:val="none"/>
          <w:lang w:val="zh-CN"/>
          <w14:textFill>
            <w14:solidFill>
              <w14:schemeClr w14:val="tx1"/>
            </w14:solidFill>
          </w14:textFill>
        </w:rPr>
        <w:t>有下列情形之一的响应文件将拒收：</w:t>
      </w:r>
    </w:p>
    <w:p w14:paraId="15B926E6">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（1）在磋商文件要求提交响应文件的截止时间之后送达的等。</w:t>
      </w:r>
    </w:p>
    <w:p w14:paraId="37DB6875">
      <w:pPr>
        <w:autoSpaceDE w:val="0"/>
        <w:autoSpaceDN w:val="0"/>
        <w:adjustRightInd w:val="0"/>
        <w:snapToGrid w:val="0"/>
        <w:spacing w:line="259" w:lineRule="auto"/>
        <w:ind w:firstLine="422"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四、磋商</w:t>
      </w:r>
    </w:p>
    <w:p w14:paraId="0492E6BF">
      <w:pPr>
        <w:autoSpaceDE w:val="0"/>
        <w:autoSpaceDN w:val="0"/>
        <w:adjustRightInd w:val="0"/>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w:t>
      </w:r>
      <w:r>
        <w:rPr>
          <w:rFonts w:hint="eastAsia" w:ascii="宋体" w:hAnsi="宋体" w:cs="宋体"/>
          <w:b/>
          <w:bCs/>
          <w:color w:val="000000" w:themeColor="text1"/>
          <w:szCs w:val="21"/>
          <w:highlight w:val="none"/>
          <w:lang w:val="zh-CN"/>
          <w14:textFill>
            <w14:solidFill>
              <w14:schemeClr w14:val="tx1"/>
            </w14:solidFill>
          </w14:textFill>
        </w:rPr>
        <w:t>、联合体</w:t>
      </w:r>
    </w:p>
    <w:p w14:paraId="5A12C4D3">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9.1</w:t>
      </w:r>
      <w:r>
        <w:rPr>
          <w:rFonts w:hint="eastAsia" w:ascii="宋体" w:hAnsi="宋体" w:cs="宋体"/>
          <w:color w:val="000000" w:themeColor="text1"/>
          <w:szCs w:val="21"/>
          <w:highlight w:val="none"/>
          <w14:textFill>
            <w14:solidFill>
              <w14:schemeClr w14:val="tx1"/>
            </w14:solidFill>
          </w14:textFill>
        </w:rPr>
        <w:t>两个以上的自然人、法人或者其他组织可以组成一个联合体，以一个供应商的身份共同参加政府采购。</w:t>
      </w:r>
    </w:p>
    <w:p w14:paraId="411DEA31">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9.2</w:t>
      </w:r>
      <w:r>
        <w:rPr>
          <w:rFonts w:hint="eastAsia" w:ascii="宋体" w:hAnsi="宋体" w:cs="宋体"/>
          <w:color w:val="000000" w:themeColor="text1"/>
          <w:kern w:val="0"/>
          <w:szCs w:val="21"/>
          <w:highlight w:val="none"/>
          <w14:textFill>
            <w14:solidFill>
              <w14:schemeClr w14:val="tx1"/>
            </w14:solidFill>
          </w14:textFill>
        </w:rPr>
        <w:t>鼓励大中型企业和其他自然人、法人或者其他组织与小型、微型企业组成联合体共同参加非专门面向中小企业的政府采购活动。</w:t>
      </w:r>
    </w:p>
    <w:p w14:paraId="282B70C1">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9.3以联合体形式参加采购的，</w:t>
      </w:r>
      <w:r>
        <w:rPr>
          <w:rFonts w:hint="eastAsia" w:ascii="宋体" w:hAnsi="宋体" w:cs="宋体"/>
          <w:b/>
          <w:color w:val="000000" w:themeColor="text1"/>
          <w:szCs w:val="21"/>
          <w:highlight w:val="none"/>
          <w14:textFill>
            <w14:solidFill>
              <w14:schemeClr w14:val="tx1"/>
            </w14:solidFill>
          </w14:textFill>
        </w:rPr>
        <w:t>联合体各方均应当符合政府采购法第二十二条第一款规定的</w:t>
      </w:r>
      <w:r>
        <w:rPr>
          <w:rFonts w:hint="eastAsia" w:ascii="宋体" w:hAnsi="宋体" w:cs="宋体"/>
          <w:b/>
          <w:color w:val="000000" w:themeColor="text1"/>
          <w:highlight w:val="none"/>
          <w14:textFill>
            <w14:solidFill>
              <w14:schemeClr w14:val="tx1"/>
            </w14:solidFill>
          </w14:textFill>
        </w:rPr>
        <w:t>条件；采购人根据采购项目的特殊要求规定供应商特定条件的，联合体各方中至少应当有一方符合采购人规定的特定条件</w:t>
      </w:r>
      <w:r>
        <w:rPr>
          <w:rFonts w:hint="eastAsia" w:ascii="宋体" w:hAnsi="宋体" w:cs="宋体"/>
          <w:color w:val="000000" w:themeColor="text1"/>
          <w:highlight w:val="none"/>
          <w14:textFill>
            <w14:solidFill>
              <w14:schemeClr w14:val="tx1"/>
            </w14:solidFill>
          </w14:textFill>
        </w:rPr>
        <w:t>。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4ACFD41A">
      <w:pPr>
        <w:autoSpaceDE w:val="0"/>
        <w:autoSpaceDN w:val="0"/>
        <w:adjustRightInd w:val="0"/>
        <w:snapToGrid w:val="0"/>
        <w:spacing w:line="259" w:lineRule="auto"/>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9.4 联合体各方之间应当签订联合体协议，明确约定联合体各方承担的工作和相应的责任，并将联合体协议连同响应文件一并提交。</w:t>
      </w:r>
    </w:p>
    <w:p w14:paraId="6AEECB25">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9.5 以联合体形式参加政府采购活动的，联合体各方不得再单独参加或者与其他供应商另外组成联合体参加同一合同项下的政府采购活动。</w:t>
      </w:r>
    </w:p>
    <w:p w14:paraId="66B6E412">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0</w:t>
      </w:r>
      <w:r>
        <w:rPr>
          <w:rFonts w:hint="eastAsia" w:ascii="宋体" w:hAnsi="宋体" w:cs="宋体"/>
          <w:b/>
          <w:bCs/>
          <w:color w:val="000000" w:themeColor="text1"/>
          <w:szCs w:val="21"/>
          <w:highlight w:val="none"/>
          <w:lang w:val="zh-CN"/>
          <w14:textFill>
            <w14:solidFill>
              <w14:schemeClr w14:val="tx1"/>
            </w14:solidFill>
          </w14:textFill>
        </w:rPr>
        <w:t>、磋商组织</w:t>
      </w:r>
    </w:p>
    <w:p w14:paraId="29CE0D5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0</w:t>
      </w:r>
      <w:r>
        <w:rPr>
          <w:rFonts w:hint="eastAsia" w:ascii="宋体" w:hAnsi="宋体" w:cs="宋体"/>
          <w:color w:val="000000" w:themeColor="text1"/>
          <w:szCs w:val="21"/>
          <w:highlight w:val="none"/>
          <w:lang w:val="zh-CN"/>
          <w14:textFill>
            <w14:solidFill>
              <w14:schemeClr w14:val="tx1"/>
            </w14:solidFill>
          </w14:textFill>
        </w:rPr>
        <w:t>.1 在提交响应文件时间截止后，代理机构在规定的时间和地点组织磋商小组分别与供应商进行磋商。</w:t>
      </w:r>
    </w:p>
    <w:p w14:paraId="405C10F7">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0</w:t>
      </w:r>
      <w:r>
        <w:rPr>
          <w:rFonts w:hint="eastAsia" w:ascii="宋体" w:hAnsi="宋体" w:cs="宋体"/>
          <w:color w:val="000000" w:themeColor="text1"/>
          <w:szCs w:val="21"/>
          <w:highlight w:val="none"/>
          <w:lang w:val="zh-CN"/>
          <w14:textFill>
            <w14:solidFill>
              <w14:schemeClr w14:val="tx1"/>
            </w14:solidFill>
          </w14:textFill>
        </w:rPr>
        <w:t>.2 磋商工作由代理机构负责组织，具体磋商事务由依法组建的磋商小组负责。</w:t>
      </w:r>
    </w:p>
    <w:p w14:paraId="26951A84">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1</w:t>
      </w:r>
      <w:r>
        <w:rPr>
          <w:rFonts w:hint="eastAsia" w:ascii="宋体" w:hAnsi="宋体" w:cs="宋体"/>
          <w:b/>
          <w:color w:val="000000" w:themeColor="text1"/>
          <w:szCs w:val="21"/>
          <w:highlight w:val="none"/>
          <w:lang w:val="zh-CN"/>
          <w14:textFill>
            <w14:solidFill>
              <w14:schemeClr w14:val="tx1"/>
            </w14:solidFill>
          </w14:textFill>
        </w:rPr>
        <w:t>、磋商程序</w:t>
      </w:r>
    </w:p>
    <w:p w14:paraId="4D7A6F8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.1 磋商小组评审供应商所递交的响应性文件，</w:t>
      </w:r>
      <w:r>
        <w:rPr>
          <w:rFonts w:hint="eastAsia" w:ascii="宋体" w:hAnsi="宋体" w:cs="宋体"/>
          <w:color w:val="000000" w:themeColor="text1"/>
          <w:highlight w:val="none"/>
          <w14:textFill>
            <w14:solidFill>
              <w14:schemeClr w14:val="tx1"/>
            </w14:solidFill>
          </w14:textFill>
        </w:rPr>
        <w:t>并根据磋商文件规定的程序、评定成交的标准等事项与实质性响应磋商文件要求的供应商进行磋商。未实质性响应磋商文件的响应文件按无效处理，磋商小组应将告知有关供应商。</w:t>
      </w:r>
    </w:p>
    <w:p w14:paraId="441ABC73">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.2 磋商小组所有成员集中与单一供应商分别进行磋商，所有参加磋商的供应商均有同等的磋商机会。</w:t>
      </w:r>
    </w:p>
    <w:p w14:paraId="6C1F05F2">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.3 磋商过程中，磋商小组根据磋商文件和磋商情况可能实质性变动采购需求中的技术、服务要求以及合同草案条款。实质性变动是磋商文件的有效组成部分，磋商小组将以书面形式通知所有参加磋商的供应商。</w:t>
      </w:r>
      <w:r>
        <w:rPr>
          <w:rFonts w:hint="eastAsia" w:ascii="宋体" w:hAnsi="宋体" w:cs="宋体"/>
          <w:b/>
          <w:color w:val="000000" w:themeColor="text1"/>
          <w:szCs w:val="21"/>
          <w:highlight w:val="none"/>
          <w:lang w:val="zh-CN"/>
          <w14:textFill>
            <w14:solidFill>
              <w14:schemeClr w14:val="tx1"/>
            </w14:solidFill>
          </w14:textFill>
        </w:rPr>
        <w:t>用“★”加注或特别说明的内容为实质性要求。</w:t>
      </w:r>
    </w:p>
    <w:p w14:paraId="7624A536">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.4 供应商应当按照磋商文件的变动情况和磋商小组的要求重新提交响应文件，并由其法定代表人或授权代表签字或者加盖公章。</w:t>
      </w:r>
    </w:p>
    <w:p w14:paraId="1BBE7745">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.5 磋商结束后，磋商小组将要求所有继续参加磋商的供应商在规定时间内提交最后报价。最后报价由其法定代表人或授权代表签字或者加盖公章，最后报价是供应商响应文件的有效组成部分。</w:t>
      </w:r>
    </w:p>
    <w:p w14:paraId="405CBDA9">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已提交响应文件的供应商，在提交最后报价之前，可以根据磋商情况退出磋商。退出磋商的供应商，代理机构将退还其磋商保证金。</w:t>
      </w:r>
    </w:p>
    <w:p w14:paraId="27320510">
      <w:pPr>
        <w:adjustRightInd w:val="0"/>
        <w:snapToGrid w:val="0"/>
        <w:spacing w:line="259" w:lineRule="auto"/>
        <w:ind w:firstLine="420" w:firstLineChars="200"/>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.7 出现下列情形之一的响应文件按照无效处理：</w:t>
      </w:r>
    </w:p>
    <w:p w14:paraId="7C58C7B4">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未按竞争性磋商邀请规定的数额和办法交纳磋商保证金的；</w:t>
      </w:r>
    </w:p>
    <w:p w14:paraId="371D8BD8">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（2）不具备磋商文件中规定资格条件的；</w:t>
      </w:r>
    </w:p>
    <w:p w14:paraId="2FC6429A">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（3）未实质性响应磋商文件要求的；</w:t>
      </w:r>
    </w:p>
    <w:p w14:paraId="715B6477">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zh-CN"/>
          <w14:textFill>
            <w14:solidFill>
              <w14:schemeClr w14:val="tx1"/>
            </w14:solidFill>
          </w14:textFill>
        </w:rPr>
        <w:t>不符合法律、法规和磋商文件规定的其他实质性要求的。</w:t>
      </w:r>
    </w:p>
    <w:p w14:paraId="09AF8B06">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 xml:space="preserve">.8 </w:t>
      </w:r>
      <w:r>
        <w:rPr>
          <w:rFonts w:hint="eastAsia" w:ascii="宋体" w:hAnsi="宋体" w:cs="宋体"/>
          <w:b/>
          <w:bCs/>
          <w:color w:val="000000" w:themeColor="text1"/>
          <w:szCs w:val="21"/>
          <w:highlight w:val="none"/>
          <w14:textFill>
            <w14:solidFill>
              <w14:schemeClr w14:val="tx1"/>
            </w14:solidFill>
          </w14:textFill>
        </w:rPr>
        <w:t>出现下列情形之一的，磋商终止：</w:t>
      </w:r>
    </w:p>
    <w:p w14:paraId="79B09BB1">
      <w:pPr>
        <w:autoSpaceDE w:val="0"/>
        <w:autoSpaceDN w:val="0"/>
        <w:adjustRightInd w:val="0"/>
        <w:snapToGrid w:val="0"/>
        <w:spacing w:line="259" w:lineRule="auto"/>
        <w:ind w:firstLine="420" w:firstLineChars="0"/>
        <w:outlineLvl w:val="9"/>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（1）因情况变化，不再符合规定的竞争性磋商采购方式适用情形的；</w:t>
      </w:r>
    </w:p>
    <w:p w14:paraId="31E8D925">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（2）所有供应商的响应文件被磋商小组认定为无效的；</w:t>
      </w:r>
    </w:p>
    <w:p w14:paraId="45BFCA44">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（3）</w:t>
      </w:r>
      <w:r>
        <w:rPr>
          <w:rFonts w:hint="eastAsia" w:ascii="宋体" w:hAnsi="宋体" w:cs="宋体"/>
          <w:color w:val="000000" w:themeColor="text1"/>
          <w:szCs w:val="21"/>
          <w:highlight w:val="none"/>
          <w:lang w:val="zh-CN"/>
          <w14:textFill>
            <w14:solidFill>
              <w14:schemeClr w14:val="tx1"/>
            </w14:solidFill>
          </w14:textFill>
        </w:rPr>
        <w:t>出现影响采购公正的违法、违规行为的；</w:t>
      </w:r>
    </w:p>
    <w:p w14:paraId="419ADA8E">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供应商的最终报价超过采购预算的；</w:t>
      </w:r>
    </w:p>
    <w:p w14:paraId="451AB0F7">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（5）因重大变故，采购任务取消的；</w:t>
      </w:r>
    </w:p>
    <w:p w14:paraId="4F894675">
      <w:pPr>
        <w:autoSpaceDE w:val="0"/>
        <w:autoSpaceDN w:val="0"/>
        <w:adjustRightInd w:val="0"/>
        <w:snapToGrid w:val="0"/>
        <w:spacing w:line="259" w:lineRule="auto"/>
        <w:ind w:firstLine="42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（6）采购人需求发生重大变化暂时不能确定或供应商提供的服务不能满足需求等。</w:t>
      </w:r>
      <w:r>
        <w:rPr>
          <w:rFonts w:hint="eastAsia" w:ascii="宋体" w:hAnsi="宋体" w:cs="宋体"/>
          <w:bCs/>
          <w:color w:val="000000" w:themeColor="text1"/>
          <w:szCs w:val="21"/>
          <w:highlight w:val="none"/>
          <w:lang w:val="zh-CN"/>
          <w14:textFill>
            <w14:solidFill>
              <w14:schemeClr w14:val="tx1"/>
            </w14:solidFill>
          </w14:textFill>
        </w:rPr>
        <w:t xml:space="preserve">  </w:t>
      </w:r>
    </w:p>
    <w:p w14:paraId="065E5992">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2</w:t>
      </w:r>
      <w:r>
        <w:rPr>
          <w:rFonts w:hint="eastAsia" w:ascii="宋体" w:hAnsi="宋体" w:cs="宋体"/>
          <w:b/>
          <w:color w:val="000000" w:themeColor="text1"/>
          <w:szCs w:val="21"/>
          <w:highlight w:val="none"/>
          <w:lang w:val="zh-CN"/>
          <w14:textFill>
            <w14:solidFill>
              <w14:schemeClr w14:val="tx1"/>
            </w14:solidFill>
          </w14:textFill>
        </w:rPr>
        <w:t>、评定成交方法和标准</w:t>
      </w:r>
    </w:p>
    <w:p w14:paraId="3D6990D0">
      <w:pPr>
        <w:autoSpaceDE w:val="0"/>
        <w:autoSpaceDN w:val="0"/>
        <w:adjustRightInd w:val="0"/>
        <w:snapToGrid w:val="0"/>
        <w:spacing w:line="259" w:lineRule="auto"/>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kern w:val="0"/>
          <w:szCs w:val="21"/>
          <w:highlight w:val="none"/>
          <w:lang w:val="zh-CN"/>
          <w14:textFill>
            <w14:solidFill>
              <w14:schemeClr w14:val="tx1"/>
            </w14:solidFill>
          </w14:textFill>
        </w:rPr>
        <w:t>采用综合评分法。即在最大限度地满足竞争性磋商文件实质性要求前提下，按照磋商文件中规定的各项因素进行综合评审后，以评审总得分排名第一的供应商作为成交候选供应商或者成交供应商的评审方法。</w:t>
      </w:r>
    </w:p>
    <w:p w14:paraId="6D73716A">
      <w:pPr>
        <w:autoSpaceDE w:val="0"/>
        <w:autoSpaceDN w:val="0"/>
        <w:adjustRightInd w:val="0"/>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1</w:t>
      </w:r>
      <w:r>
        <w:rPr>
          <w:rFonts w:hint="eastAsia" w:ascii="宋体" w:hAnsi="宋体" w:cs="宋体"/>
          <w:color w:val="000000" w:themeColor="text1"/>
          <w:kern w:val="0"/>
          <w:szCs w:val="21"/>
          <w:highlight w:val="none"/>
          <w14:textFill>
            <w14:solidFill>
              <w14:schemeClr w14:val="tx1"/>
            </w14:solidFill>
          </w14:textFill>
        </w:rPr>
        <w:t>2</w:t>
      </w:r>
      <w:r>
        <w:rPr>
          <w:rFonts w:hint="eastAsia" w:ascii="宋体" w:hAnsi="宋体" w:cs="宋体"/>
          <w:color w:val="000000" w:themeColor="text1"/>
          <w:kern w:val="0"/>
          <w:szCs w:val="21"/>
          <w:highlight w:val="none"/>
          <w:lang w:val="zh-CN"/>
          <w14:textFill>
            <w14:solidFill>
              <w14:schemeClr w14:val="tx1"/>
            </w14:solidFill>
          </w14:textFill>
        </w:rPr>
        <w:t>.2 综合评审的主要因素是：详见文件第三章。</w:t>
      </w:r>
    </w:p>
    <w:p w14:paraId="5406CA3C">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kern w:val="0"/>
          <w:szCs w:val="21"/>
          <w:highlight w:val="none"/>
          <w:lang w:val="zh-CN"/>
          <w14:textFill>
            <w14:solidFill>
              <w14:schemeClr w14:val="tx1"/>
            </w14:solidFill>
          </w14:textFill>
        </w:rPr>
        <w:t>1</w:t>
      </w:r>
      <w:r>
        <w:rPr>
          <w:rFonts w:hint="eastAsia" w:ascii="宋体" w:hAnsi="宋体" w:cs="宋体"/>
          <w:bCs/>
          <w:color w:val="000000" w:themeColor="text1"/>
          <w:kern w:val="0"/>
          <w:szCs w:val="21"/>
          <w:highlight w:val="none"/>
          <w14:textFill>
            <w14:solidFill>
              <w14:schemeClr w14:val="tx1"/>
            </w14:solidFill>
          </w14:textFill>
        </w:rPr>
        <w:t>2</w:t>
      </w:r>
      <w:r>
        <w:rPr>
          <w:rFonts w:hint="eastAsia" w:ascii="宋体" w:hAnsi="宋体" w:cs="宋体"/>
          <w:bCs/>
          <w:color w:val="000000" w:themeColor="text1"/>
          <w:kern w:val="0"/>
          <w:szCs w:val="21"/>
          <w:highlight w:val="none"/>
          <w:lang w:val="zh-CN"/>
          <w14:textFill>
            <w14:solidFill>
              <w14:schemeClr w14:val="tx1"/>
            </w14:solidFill>
          </w14:textFill>
        </w:rPr>
        <w:t>.3</w:t>
      </w:r>
      <w:r>
        <w:rPr>
          <w:rFonts w:hint="eastAsia" w:ascii="宋体" w:hAnsi="宋体" w:cs="宋体"/>
          <w:b/>
          <w:color w:val="000000" w:themeColor="text1"/>
          <w:szCs w:val="21"/>
          <w:highlight w:val="none"/>
          <w14:textFill>
            <w14:solidFill>
              <w14:schemeClr w14:val="tx1"/>
            </w14:solidFill>
          </w14:textFill>
        </w:rPr>
        <w:t>评审标准详见文件第三章。</w:t>
      </w:r>
    </w:p>
    <w:p w14:paraId="0A1300CF">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3</w:t>
      </w:r>
      <w:r>
        <w:rPr>
          <w:rFonts w:hint="eastAsia" w:ascii="宋体" w:hAnsi="宋体" w:cs="宋体"/>
          <w:b/>
          <w:bCs/>
          <w:color w:val="000000" w:themeColor="text1"/>
          <w:szCs w:val="21"/>
          <w:highlight w:val="none"/>
          <w:lang w:val="zh-CN"/>
          <w14:textFill>
            <w14:solidFill>
              <w14:schemeClr w14:val="tx1"/>
            </w14:solidFill>
          </w14:textFill>
        </w:rPr>
        <w:t>、确定成交供应商</w:t>
      </w:r>
    </w:p>
    <w:p w14:paraId="60B1AE4C">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.1 在综合比较与评价后按照得分由高到低顺序对供应商进行排序。磋商小组按综合得分排名推荐3名</w:t>
      </w:r>
      <w:r>
        <w:rPr>
          <w:rFonts w:hint="eastAsia" w:ascii="宋体" w:hAnsi="宋体" w:cs="宋体"/>
          <w:color w:val="000000" w:themeColor="text1"/>
          <w:szCs w:val="21"/>
          <w:highlight w:val="none"/>
          <w14:textFill>
            <w14:solidFill>
              <w14:schemeClr w14:val="tx1"/>
            </w14:solidFill>
          </w14:textFill>
        </w:rPr>
        <w:t>成交</w:t>
      </w:r>
      <w:r>
        <w:rPr>
          <w:rFonts w:hint="eastAsia" w:ascii="宋体" w:hAnsi="宋体" w:cs="宋体"/>
          <w:color w:val="000000" w:themeColor="text1"/>
          <w:szCs w:val="21"/>
          <w:highlight w:val="none"/>
          <w:lang w:val="zh-CN"/>
          <w14:textFill>
            <w14:solidFill>
              <w14:schemeClr w14:val="tx1"/>
            </w14:solidFill>
          </w14:textFill>
        </w:rPr>
        <w:t>候选</w:t>
      </w: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。得分相同的，按投标报价由低到高顺序排列。得分且报价相同的，按技术指标（</w:t>
      </w:r>
      <w:r>
        <w:rPr>
          <w:rFonts w:hint="eastAsia" w:ascii="宋体" w:hAnsi="宋体" w:cs="宋体"/>
          <w:bCs/>
          <w:color w:val="000000" w:themeColor="text1"/>
          <w:szCs w:val="21"/>
          <w:highlight w:val="none"/>
          <w14:textFill>
            <w14:solidFill>
              <w14:schemeClr w14:val="tx1"/>
            </w14:solidFill>
          </w14:textFill>
        </w:rPr>
        <w:t>施工组织方案</w:t>
      </w:r>
      <w:r>
        <w:rPr>
          <w:rFonts w:hint="eastAsia" w:ascii="宋体" w:hAnsi="宋体" w:cs="宋体"/>
          <w:color w:val="000000" w:themeColor="text1"/>
          <w:szCs w:val="21"/>
          <w:highlight w:val="none"/>
          <w:lang w:val="zh-CN"/>
          <w14:textFill>
            <w14:solidFill>
              <w14:schemeClr w14:val="tx1"/>
            </w14:solidFill>
          </w14:textFill>
        </w:rPr>
        <w:t>）优劣顺序排列。</w:t>
      </w:r>
    </w:p>
    <w:p w14:paraId="65862BF2">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.2 按以下第（</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lang w:val="zh-CN"/>
          <w14:textFill>
            <w14:solidFill>
              <w14:schemeClr w14:val="tx1"/>
            </w14:solidFill>
          </w14:textFill>
        </w:rPr>
        <w:t>）种方式确定成交供应商</w:t>
      </w:r>
    </w:p>
    <w:p w14:paraId="6FB5A55E">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（1）磋商小组直接确定排名第一的成交候选人为成交供应商；</w:t>
      </w:r>
    </w:p>
    <w:p w14:paraId="6DA0479A">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（2）采购人在磋商小组推荐的</w:t>
      </w:r>
      <w:r>
        <w:rPr>
          <w:rFonts w:hint="eastAsia" w:ascii="宋体" w:hAnsi="宋体" w:cs="宋体"/>
          <w:color w:val="000000" w:themeColor="text1"/>
          <w:szCs w:val="21"/>
          <w:highlight w:val="none"/>
          <w14:textFill>
            <w14:solidFill>
              <w14:schemeClr w14:val="tx1"/>
            </w14:solidFill>
          </w14:textFill>
        </w:rPr>
        <w:t>成交</w:t>
      </w:r>
      <w:r>
        <w:rPr>
          <w:rFonts w:hint="eastAsia" w:ascii="宋体" w:hAnsi="宋体" w:cs="宋体"/>
          <w:color w:val="000000" w:themeColor="text1"/>
          <w:szCs w:val="21"/>
          <w:highlight w:val="none"/>
          <w:lang w:val="zh-CN"/>
          <w14:textFill>
            <w14:solidFill>
              <w14:schemeClr w14:val="tx1"/>
            </w14:solidFill>
          </w14:textFill>
        </w:rPr>
        <w:t>候选</w:t>
      </w: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中按顺序确定成交供应商。</w:t>
      </w:r>
    </w:p>
    <w:p w14:paraId="2DFC1DF6">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按第二种方式确定成交供应商的，代理机构自评审结束之日起两个工作日内将评审报告送交采购人，采购人应当自收到评审报告之日起五个工作日内在评审报告推荐的中标候选人中按顺序确定成交供应商。</w:t>
      </w:r>
    </w:p>
    <w:p w14:paraId="2BB9DA59">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.3 成交供应商确定之日起两个工作日内，将在财政部门指定的政府采购信息发布媒体上公告。</w:t>
      </w:r>
    </w:p>
    <w:p w14:paraId="1AE68686">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.4 《中标通知书》对采购人和成交供应商具有同等法律效力。</w:t>
      </w:r>
    </w:p>
    <w:p w14:paraId="72927025">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.5 《中标通知书》发出后，成交供应商无正当理由不与采购人签订合同的，应当依法承担法律责任。</w:t>
      </w:r>
    </w:p>
    <w:p w14:paraId="10BA605C">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.6代理机构和磋商小组对未中标的供应商不作未中标原因的解释。</w:t>
      </w:r>
    </w:p>
    <w:p w14:paraId="68D0DB45">
      <w:pPr>
        <w:autoSpaceDE w:val="0"/>
        <w:autoSpaceDN w:val="0"/>
        <w:adjustRightInd w:val="0"/>
        <w:snapToGrid w:val="0"/>
        <w:spacing w:line="259" w:lineRule="auto"/>
        <w:ind w:firstLine="413" w:firstLineChars="196"/>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编写评审报告</w:t>
      </w:r>
    </w:p>
    <w:p w14:paraId="2069AD93">
      <w:pP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14.1 磋商小组根据磋商过程和结果编写评审报告。</w:t>
      </w:r>
    </w:p>
    <w:p w14:paraId="48CB916D">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5</w:t>
      </w:r>
      <w:r>
        <w:rPr>
          <w:rFonts w:hint="eastAsia" w:ascii="宋体" w:hAnsi="宋体" w:cs="宋体"/>
          <w:b/>
          <w:color w:val="000000" w:themeColor="text1"/>
          <w:szCs w:val="21"/>
          <w:highlight w:val="none"/>
          <w:lang w:val="zh-CN"/>
          <w14:textFill>
            <w14:solidFill>
              <w14:schemeClr w14:val="tx1"/>
            </w14:solidFill>
          </w14:textFill>
        </w:rPr>
        <w:t>、</w:t>
      </w:r>
      <w:r>
        <w:rPr>
          <w:rFonts w:hint="eastAsia" w:ascii="宋体" w:hAnsi="宋体" w:cs="宋体"/>
          <w:b/>
          <w:bCs/>
          <w:color w:val="000000" w:themeColor="text1"/>
          <w:szCs w:val="21"/>
          <w:highlight w:val="none"/>
          <w:lang w:val="zh-CN"/>
          <w14:textFill>
            <w14:solidFill>
              <w14:schemeClr w14:val="tx1"/>
            </w14:solidFill>
          </w14:textFill>
        </w:rPr>
        <w:t>签订合同</w:t>
      </w:r>
    </w:p>
    <w:p w14:paraId="63166738">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1 成交供应商应当</w:t>
      </w:r>
      <w:r>
        <w:rPr>
          <w:rFonts w:hint="eastAsia" w:ascii="宋体" w:hAnsi="宋体" w:cs="宋体"/>
          <w:color w:val="000000" w:themeColor="text1"/>
          <w:szCs w:val="21"/>
          <w:highlight w:val="none"/>
          <w:lang w:val="zh-CN"/>
          <w14:textFill>
            <w14:solidFill>
              <w14:schemeClr w14:val="tx1"/>
            </w14:solidFill>
          </w14:textFill>
        </w:rPr>
        <w:t>自成交通知书发出之日起三十日内，</w:t>
      </w:r>
      <w:r>
        <w:rPr>
          <w:rFonts w:hint="eastAsia" w:ascii="宋体" w:hAnsi="宋体" w:cs="宋体"/>
          <w:color w:val="000000" w:themeColor="text1"/>
          <w:szCs w:val="21"/>
          <w:highlight w:val="none"/>
          <w14:textFill>
            <w14:solidFill>
              <w14:schemeClr w14:val="tx1"/>
            </w14:solidFill>
          </w14:textFill>
        </w:rPr>
        <w:t>与采购人签订政府采购合同，所签订的合同不得对磋商文件和响应文件作实质性修改。</w:t>
      </w:r>
    </w:p>
    <w:p w14:paraId="57113361">
      <w:pP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w:t>
      </w:r>
      <w:r>
        <w:rPr>
          <w:rFonts w:hint="eastAsia" w:ascii="宋体" w:hAnsi="宋体" w:cs="宋体"/>
          <w:color w:val="000000" w:themeColor="text1"/>
          <w:szCs w:val="21"/>
          <w:highlight w:val="none"/>
          <w:lang w:val="zh-CN"/>
          <w14:textFill>
            <w14:solidFill>
              <w14:schemeClr w14:val="tx1"/>
            </w14:solidFill>
          </w14:textFill>
        </w:rPr>
        <w:t xml:space="preserve">.2 </w:t>
      </w:r>
      <w:r>
        <w:rPr>
          <w:rFonts w:hint="eastAsia" w:ascii="宋体" w:hAnsi="宋体" w:cs="宋体"/>
          <w:color w:val="000000" w:themeColor="text1"/>
          <w:szCs w:val="21"/>
          <w:highlight w:val="none"/>
          <w14:textFill>
            <w14:solidFill>
              <w14:schemeClr w14:val="tx1"/>
            </w14:solidFill>
          </w14:textFill>
        </w:rPr>
        <w:t>采购人不得向成交供应商提出任何不合理的要求作为签订合同的条件，不得与成交供应商私下订立背离合同实质性内容的协议。</w:t>
      </w:r>
    </w:p>
    <w:p w14:paraId="00A08E64">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 xml:space="preserve"> 除不可抗力等因素外，</w:t>
      </w:r>
      <w:r>
        <w:rPr>
          <w:rFonts w:hint="eastAsia" w:ascii="宋体" w:hAnsi="宋体" w:cs="宋体"/>
          <w:color w:val="000000" w:themeColor="text1"/>
          <w:szCs w:val="21"/>
          <w:highlight w:val="none"/>
          <w:lang w:val="zh-CN"/>
          <w14:textFill>
            <w14:solidFill>
              <w14:schemeClr w14:val="tx1"/>
            </w14:solidFill>
          </w14:textFill>
        </w:rPr>
        <w:t>成交通知书发出后，采购人改变成交结果，或者成交供应商拒绝签订政府采购合同的，应当承担相应的法律责任。</w:t>
      </w:r>
    </w:p>
    <w:p w14:paraId="1EC13784">
      <w:pPr>
        <w:autoSpaceDE w:val="0"/>
        <w:autoSpaceDN w:val="0"/>
        <w:adjustRightInd w:val="0"/>
        <w:snapToGrid w:val="0"/>
        <w:spacing w:line="259" w:lineRule="auto"/>
        <w:ind w:firstLine="420"/>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 xml:space="preserve">.4 </w:t>
      </w:r>
      <w:r>
        <w:rPr>
          <w:rFonts w:hint="eastAsia" w:ascii="宋体" w:hAnsi="宋体" w:cs="宋体"/>
          <w:b/>
          <w:color w:val="000000" w:themeColor="text1"/>
          <w:szCs w:val="21"/>
          <w:highlight w:val="none"/>
          <w14:textFill>
            <w14:solidFill>
              <w14:schemeClr w14:val="tx1"/>
            </w14:solidFill>
          </w14:textFill>
        </w:rPr>
        <w:t>成交供应商除发生法律规定的不能预见、不能避免并不能克服的客观情况外不得放弃或拒绝签订合同的。放弃或拒绝签订合同的，财政部门视情将其列入不良行为名单，在一至三年内不得参加中国药科大学政府采购。</w:t>
      </w:r>
    </w:p>
    <w:p w14:paraId="6E0C42A1">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.5成交供应商拒绝签订政府采购合同的，</w:t>
      </w:r>
      <w:r>
        <w:rPr>
          <w:rFonts w:hint="eastAsia" w:ascii="宋体" w:hAnsi="宋体" w:cs="宋体"/>
          <w:color w:val="000000" w:themeColor="text1"/>
          <w:highlight w:val="none"/>
          <w14:textFill>
            <w14:solidFill>
              <w14:schemeClr w14:val="tx1"/>
            </w14:solidFill>
          </w14:textFill>
        </w:rPr>
        <w:t>或因不可抗力或者自身原因不能履行政府采购合同的，</w:t>
      </w:r>
      <w:r>
        <w:rPr>
          <w:rFonts w:hint="eastAsia" w:ascii="宋体" w:hAnsi="宋体" w:cs="宋体"/>
          <w:color w:val="000000" w:themeColor="text1"/>
          <w:szCs w:val="21"/>
          <w:highlight w:val="none"/>
          <w:lang w:val="zh-CN"/>
          <w14:textFill>
            <w14:solidFill>
              <w14:schemeClr w14:val="tx1"/>
            </w14:solidFill>
          </w14:textFill>
        </w:rPr>
        <w:t>采购人可以视情与排位在成交供应商之后第一位的成交候选供应商签订政府采购合同，也可以重新开展采购活动。</w:t>
      </w:r>
    </w:p>
    <w:p w14:paraId="3E9EED8C">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.6 政府采购合同履行中，采购人需追加与合同标的相同的服务的，在不改变合同其他条款的前提下，可以与供应商协商签订补充合同，但所有补充合同的采购金额不得超过原合同采购金额的百分之十。</w:t>
      </w:r>
    </w:p>
    <w:p w14:paraId="57186B9E">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六、询问、质疑、投诉和诚实信用</w:t>
      </w:r>
    </w:p>
    <w:p w14:paraId="2150BB51">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6</w:t>
      </w:r>
      <w:r>
        <w:rPr>
          <w:rFonts w:hint="eastAsia" w:ascii="宋体" w:hAnsi="宋体" w:cs="宋体"/>
          <w:b/>
          <w:bCs/>
          <w:color w:val="000000" w:themeColor="text1"/>
          <w:szCs w:val="21"/>
          <w:highlight w:val="none"/>
          <w:lang w:val="zh-CN"/>
          <w14:textFill>
            <w14:solidFill>
              <w14:schemeClr w14:val="tx1"/>
            </w14:solidFill>
          </w14:textFill>
        </w:rPr>
        <w:t>、询问</w:t>
      </w:r>
    </w:p>
    <w:p w14:paraId="1B923AB7">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.1 供应商对采购活动事项有疑问的，可以向代理机构提出询问，代理机构将在两个工作日内作出答复，但答复的内容不涉及商业秘密</w:t>
      </w:r>
      <w:r>
        <w:rPr>
          <w:rFonts w:hint="eastAsia" w:ascii="宋体" w:hAnsi="宋体" w:cs="宋体"/>
          <w:b/>
          <w:color w:val="000000" w:themeColor="text1"/>
          <w:szCs w:val="21"/>
          <w:highlight w:val="none"/>
          <w:lang w:val="zh-CN"/>
          <w14:textFill>
            <w14:solidFill>
              <w14:schemeClr w14:val="tx1"/>
            </w14:solidFill>
          </w14:textFill>
        </w:rPr>
        <w:t>。</w:t>
      </w:r>
    </w:p>
    <w:p w14:paraId="6AED9BEF">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17</w:t>
      </w:r>
      <w:r>
        <w:rPr>
          <w:rFonts w:hint="eastAsia" w:ascii="宋体" w:hAnsi="宋体" w:cs="宋体"/>
          <w:b/>
          <w:color w:val="000000" w:themeColor="text1"/>
          <w:szCs w:val="21"/>
          <w:highlight w:val="none"/>
          <w:lang w:val="zh-CN"/>
          <w14:textFill>
            <w14:solidFill>
              <w14:schemeClr w14:val="tx1"/>
            </w14:solidFill>
          </w14:textFill>
        </w:rPr>
        <w:t>、质疑</w:t>
      </w:r>
    </w:p>
    <w:p w14:paraId="1417C86E">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.1 供应商认为采购文件、采购过程和成交结果使自己的合法权益受到损害的，可以在知道或者应当知道其权益受到损害之日起七个工作日内，将质疑文件原件送达南京苏宁工程咨询有限公司。</w:t>
      </w:r>
    </w:p>
    <w:p w14:paraId="30813AD7">
      <w:pPr>
        <w:autoSpaceDE w:val="0"/>
        <w:autoSpaceDN w:val="0"/>
        <w:adjustRightInd w:val="0"/>
        <w:ind w:firstLine="420" w:firstLineChars="200"/>
        <w:rPr>
          <w:rFonts w:ascii="宋体" w:hAnsi="宋体" w:cs="宋体"/>
          <w:snapToGrid w:val="0"/>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.2 质疑文件应包括以下主要内容，并</w:t>
      </w:r>
      <w:r>
        <w:rPr>
          <w:rFonts w:hint="eastAsia" w:ascii="宋体" w:hAnsi="宋体" w:cs="宋体"/>
          <w:color w:val="000000" w:themeColor="text1"/>
          <w:szCs w:val="21"/>
          <w:highlight w:val="none"/>
          <w14:textFill>
            <w14:solidFill>
              <w14:schemeClr w14:val="tx1"/>
            </w14:solidFill>
          </w14:textFill>
        </w:rPr>
        <w:t>按照“谁主张、谁举证”的原则，附上相关证明材料。否则，代理机构不予受理：</w:t>
      </w:r>
    </w:p>
    <w:p w14:paraId="52C8A357">
      <w:pPr>
        <w:autoSpaceDE w:val="0"/>
        <w:autoSpaceDN w:val="0"/>
        <w:adjustRightInd w:val="0"/>
        <w:ind w:left="420" w:left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（1）质疑项目名称、项目编号、包号、采购公告发布时间、磋商时间；</w:t>
      </w:r>
    </w:p>
    <w:p w14:paraId="2BBF566C">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（2）提起质疑的日期、具体的质疑事项及事实根据（具体条款）；</w:t>
      </w:r>
    </w:p>
    <w:p w14:paraId="5BA97935">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（3）认为自己合法权益受到损害或可能受到损害的相关证据材料。</w:t>
      </w:r>
    </w:p>
    <w:p w14:paraId="3060A568">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（4）质疑供应商名称、地址、邮编、联系人、联系电话</w:t>
      </w:r>
      <w:r>
        <w:rPr>
          <w:rFonts w:hint="eastAsia" w:ascii="宋体" w:hAnsi="宋体" w:cs="宋体"/>
          <w:color w:val="000000" w:themeColor="text1"/>
          <w:szCs w:val="21"/>
          <w:highlight w:val="none"/>
          <w14:textFill>
            <w14:solidFill>
              <w14:schemeClr w14:val="tx1"/>
            </w14:solidFill>
          </w14:textFill>
        </w:rPr>
        <w:t>（包括座机、手机、传真号码等）</w:t>
      </w:r>
      <w:r>
        <w:rPr>
          <w:rFonts w:hint="eastAsia" w:ascii="宋体" w:hAnsi="宋体" w:cs="宋体"/>
          <w:color w:val="000000" w:themeColor="text1"/>
          <w:szCs w:val="21"/>
          <w:highlight w:val="none"/>
          <w:lang w:val="zh-CN"/>
          <w14:textFill>
            <w14:solidFill>
              <w14:schemeClr w14:val="tx1"/>
            </w14:solidFill>
          </w14:textFill>
        </w:rPr>
        <w:t>；</w:t>
      </w:r>
    </w:p>
    <w:p w14:paraId="0405556A">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（5）质疑文件应当署名，质疑人为自然人的，应当由本人签字并附有效身份证明；质疑人为法人或其他组织的，应当由法定代表人签字并加盖单位公章。</w:t>
      </w:r>
    </w:p>
    <w:p w14:paraId="1B011766">
      <w:pPr>
        <w:autoSpaceDE w:val="0"/>
        <w:autoSpaceDN w:val="0"/>
        <w:adjustRightInd w:val="0"/>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（6）供应商委托代理质疑的，应当提交授权委托书，并载明委托代理的具体权限和事项。</w:t>
      </w:r>
    </w:p>
    <w:p w14:paraId="2728A11A">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.3质疑</w:t>
      </w:r>
      <w:r>
        <w:rPr>
          <w:rFonts w:hint="eastAsia" w:ascii="宋体" w:hAnsi="宋体" w:cs="宋体"/>
          <w:color w:val="000000" w:themeColor="text1"/>
          <w:highlight w:val="none"/>
          <w14:textFill>
            <w14:solidFill>
              <w14:schemeClr w14:val="tx1"/>
            </w14:solidFill>
          </w14:textFill>
        </w:rPr>
        <w:t>供应商</w:t>
      </w:r>
      <w:r>
        <w:rPr>
          <w:rFonts w:hint="eastAsia" w:ascii="宋体" w:hAnsi="宋体" w:cs="宋体"/>
          <w:color w:val="000000" w:themeColor="text1"/>
          <w:szCs w:val="21"/>
          <w:highlight w:val="none"/>
          <w14:textFill>
            <w14:solidFill>
              <w14:schemeClr w14:val="tx1"/>
            </w14:solidFill>
          </w14:textFill>
        </w:rPr>
        <w:t>指直接参加本项目采购活动的供应商</w:t>
      </w:r>
      <w:r>
        <w:rPr>
          <w:rFonts w:hint="eastAsia" w:ascii="宋体" w:hAnsi="宋体" w:cs="宋体"/>
          <w:color w:val="000000" w:themeColor="text1"/>
          <w:szCs w:val="21"/>
          <w:highlight w:val="none"/>
          <w:lang w:val="zh-CN"/>
          <w14:textFill>
            <w14:solidFill>
              <w14:schemeClr w14:val="tx1"/>
            </w14:solidFill>
          </w14:textFill>
        </w:rPr>
        <w:t>；对采购文件提出质疑的，应自供应商获得采购文件之日起计算；对采购过程提出质疑的，自采购程序环</w:t>
      </w:r>
      <w:r>
        <w:rPr>
          <w:rFonts w:hint="eastAsia" w:ascii="宋体" w:hAnsi="宋体" w:cs="宋体"/>
          <w:color w:val="000000" w:themeColor="text1"/>
          <w:highlight w:val="none"/>
          <w14:textFill>
            <w14:solidFill>
              <w14:schemeClr w14:val="tx1"/>
            </w14:solidFill>
          </w14:textFill>
        </w:rPr>
        <w:t>节结束之日起计算；对采购结果提出质疑的，自采购</w:t>
      </w:r>
      <w:r>
        <w:rPr>
          <w:rFonts w:hint="eastAsia" w:ascii="宋体" w:hAnsi="宋体" w:cs="宋体"/>
          <w:color w:val="000000" w:themeColor="text1"/>
          <w:szCs w:val="21"/>
          <w:highlight w:val="none"/>
          <w:lang w:val="zh-CN"/>
          <w14:textFill>
            <w14:solidFill>
              <w14:schemeClr w14:val="tx1"/>
            </w14:solidFill>
          </w14:textFill>
        </w:rPr>
        <w:t>结果公告期限届满之日起计算。</w:t>
      </w:r>
    </w:p>
    <w:p w14:paraId="16EB93FF">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17.4 </w:t>
      </w:r>
      <w:r>
        <w:rPr>
          <w:rFonts w:hint="eastAsia" w:ascii="宋体" w:hAnsi="宋体" w:cs="宋体"/>
          <w:color w:val="000000" w:themeColor="text1"/>
          <w:szCs w:val="21"/>
          <w:highlight w:val="none"/>
          <w:lang w:val="zh-CN"/>
          <w14:textFill>
            <w14:solidFill>
              <w14:schemeClr w14:val="tx1"/>
            </w14:solidFill>
          </w14:textFill>
        </w:rPr>
        <w:t>代理机构</w:t>
      </w:r>
      <w:r>
        <w:rPr>
          <w:rFonts w:hint="eastAsia" w:ascii="宋体" w:hAnsi="宋体" w:cs="宋体"/>
          <w:color w:val="000000" w:themeColor="text1"/>
          <w:szCs w:val="21"/>
          <w:highlight w:val="none"/>
          <w14:textFill>
            <w14:solidFill>
              <w14:schemeClr w14:val="tx1"/>
            </w14:solidFill>
          </w14:textFill>
        </w:rPr>
        <w:t>在收到供应商的书面质疑后将及时组织调查核实，在</w:t>
      </w:r>
      <w:r>
        <w:rPr>
          <w:rFonts w:hint="eastAsia" w:ascii="宋体" w:hAnsi="宋体" w:cs="宋体"/>
          <w:b/>
          <w:bCs/>
          <w:color w:val="000000" w:themeColor="text1"/>
          <w:szCs w:val="21"/>
          <w:highlight w:val="none"/>
          <w:lang w:val="zh-CN"/>
          <w14:textFill>
            <w14:solidFill>
              <w14:schemeClr w14:val="tx1"/>
            </w14:solidFill>
          </w14:textFill>
        </w:rPr>
        <w:t>七个工作日内</w:t>
      </w:r>
      <w:r>
        <w:rPr>
          <w:rFonts w:hint="eastAsia" w:ascii="宋体" w:hAnsi="宋体" w:cs="宋体"/>
          <w:color w:val="000000" w:themeColor="text1"/>
          <w:szCs w:val="21"/>
          <w:highlight w:val="none"/>
          <w:lang w:val="zh-CN"/>
          <w14:textFill>
            <w14:solidFill>
              <w14:schemeClr w14:val="tx1"/>
            </w14:solidFill>
          </w14:textFill>
        </w:rPr>
        <w:t>作出答复，并以书面通知质疑供应商和其他有关供应商，答复的内容不涉及商业秘密。代理机构</w:t>
      </w:r>
      <w:r>
        <w:rPr>
          <w:rFonts w:hint="eastAsia" w:ascii="宋体" w:hAnsi="宋体" w:cs="宋体"/>
          <w:color w:val="000000" w:themeColor="text1"/>
          <w:szCs w:val="21"/>
          <w:highlight w:val="none"/>
          <w14:textFill>
            <w14:solidFill>
              <w14:schemeClr w14:val="tx1"/>
            </w14:solidFill>
          </w14:textFill>
        </w:rPr>
        <w:t>遵循“谁过错谁负担”的原则，有过错的一方承担调查论证费用。</w:t>
      </w:r>
    </w:p>
    <w:p w14:paraId="6E4A89D4">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8</w:t>
      </w:r>
      <w:r>
        <w:rPr>
          <w:rFonts w:hint="eastAsia" w:ascii="宋体" w:hAnsi="宋体" w:cs="宋体"/>
          <w:b/>
          <w:bCs/>
          <w:color w:val="000000" w:themeColor="text1"/>
          <w:szCs w:val="21"/>
          <w:highlight w:val="none"/>
          <w:lang w:val="zh-CN"/>
          <w14:textFill>
            <w14:solidFill>
              <w14:schemeClr w14:val="tx1"/>
            </w14:solidFill>
          </w14:textFill>
        </w:rPr>
        <w:t>、投诉</w:t>
      </w:r>
    </w:p>
    <w:p w14:paraId="613DF376">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.1质疑供应商对代理机构的答复不满意，或代理机构未在规定的时间内作出答复的，可以在答复期满后</w:t>
      </w:r>
      <w:r>
        <w:rPr>
          <w:rFonts w:hint="eastAsia" w:ascii="宋体" w:hAnsi="宋体" w:cs="宋体"/>
          <w:b/>
          <w:bCs/>
          <w:color w:val="000000" w:themeColor="text1"/>
          <w:szCs w:val="21"/>
          <w:highlight w:val="none"/>
          <w:lang w:val="zh-CN"/>
          <w14:textFill>
            <w14:solidFill>
              <w14:schemeClr w14:val="tx1"/>
            </w14:solidFill>
          </w14:textFill>
        </w:rPr>
        <w:t>十五个工作日内</w:t>
      </w:r>
      <w:r>
        <w:rPr>
          <w:rFonts w:hint="eastAsia" w:ascii="宋体" w:hAnsi="宋体" w:cs="宋体"/>
          <w:color w:val="000000" w:themeColor="text1"/>
          <w:szCs w:val="21"/>
          <w:highlight w:val="none"/>
          <w:lang w:val="zh-CN"/>
          <w14:textFill>
            <w14:solidFill>
              <w14:schemeClr w14:val="tx1"/>
            </w14:solidFill>
          </w14:textFill>
        </w:rPr>
        <w:t>向采购项目同级财政部门投诉。</w:t>
      </w:r>
    </w:p>
    <w:p w14:paraId="5414B472">
      <w:pPr>
        <w:autoSpaceDE w:val="0"/>
        <w:autoSpaceDN w:val="0"/>
        <w:adjustRightInd w:val="0"/>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19</w:t>
      </w:r>
      <w:r>
        <w:rPr>
          <w:rFonts w:hint="eastAsia" w:ascii="宋体" w:hAnsi="宋体" w:cs="宋体"/>
          <w:b/>
          <w:bCs/>
          <w:color w:val="000000" w:themeColor="text1"/>
          <w:szCs w:val="21"/>
          <w:highlight w:val="none"/>
          <w:lang w:val="zh-CN"/>
          <w14:textFill>
            <w14:solidFill>
              <w14:schemeClr w14:val="tx1"/>
            </w14:solidFill>
          </w14:textFill>
        </w:rPr>
        <w:t>、诚实信用</w:t>
      </w:r>
    </w:p>
    <w:p w14:paraId="10488877">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.1 供应商之间不得相互串通报价，不得妨碍其他供应商的公平竞争，不得损害采购人和其他供应商的合法权益。</w:t>
      </w:r>
    </w:p>
    <w:p w14:paraId="1045BBAE">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.2 供应商不得以向代理机构工作人员、磋商小组成员行贿或者采取其他不正当手段谋取成交。经查实供应商有此行为的，政府采购管理部门将供应商列入不良行为记录名单，按照《政府采</w:t>
      </w:r>
      <w:r>
        <w:rPr>
          <w:rFonts w:hint="eastAsia" w:ascii="宋体" w:hAnsi="宋体" w:cs="宋体"/>
          <w:color w:val="000000" w:themeColor="text1"/>
          <w:highlight w:val="none"/>
          <w14:textFill>
            <w14:solidFill>
              <w14:schemeClr w14:val="tx1"/>
            </w14:solidFill>
          </w14:textFill>
        </w:rPr>
        <w:t>购法》有关规定处理。</w:t>
      </w:r>
    </w:p>
    <w:p w14:paraId="06876E4F">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.3 供应商不得虚假质疑和恶意质疑，并对质疑内容的真实性承担责任。</w:t>
      </w:r>
      <w:r>
        <w:rPr>
          <w:rFonts w:hint="eastAsia" w:ascii="宋体" w:hAnsi="宋体" w:cs="宋体"/>
          <w:color w:val="000000" w:themeColor="text1"/>
          <w:szCs w:val="21"/>
          <w:highlight w:val="none"/>
          <w14:textFill>
            <w14:solidFill>
              <w14:schemeClr w14:val="tx1"/>
            </w14:solidFill>
          </w14:textFill>
        </w:rPr>
        <w:t>供应商或者其他利害关系人通过捏造事实、伪造证明材料等方式提出异议或投诉，阻碍政府采购活动正常进行的，属于严重不良行为，代理机构将提请财政部门将其列入不良行为记录名单，并依法予以处罚。</w:t>
      </w:r>
    </w:p>
    <w:p w14:paraId="1599CE58">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.4 供应商不得虚假承诺，否则，按照提供虚假材料谋取成交处理。</w:t>
      </w:r>
    </w:p>
    <w:p w14:paraId="0985BDB6">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.5 供应商应自觉遵守磋商、评审纪律，扰乱磋商、评审现场秩序的，属于失信行为，失信行为将被记入供应商诚信档案。</w:t>
      </w:r>
      <w:r>
        <w:rPr>
          <w:rFonts w:hint="eastAsia" w:ascii="宋体" w:hAnsi="宋体" w:cs="宋体"/>
          <w:color w:val="000000" w:themeColor="text1"/>
          <w:szCs w:val="21"/>
          <w:highlight w:val="none"/>
          <w:lang w:val="zh-CN"/>
          <w14:textFill>
            <w14:solidFill>
              <w14:schemeClr w14:val="tx1"/>
            </w14:solidFill>
          </w14:textFill>
        </w:rPr>
        <w:br w:type="page"/>
      </w:r>
    </w:p>
    <w:p w14:paraId="384FCEDF">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p>
    <w:p w14:paraId="181F2E60">
      <w:pPr>
        <w:jc w:val="center"/>
        <w:outlineLvl w:val="0"/>
        <w:rPr>
          <w:rFonts w:ascii="宋体" w:hAnsi="宋体" w:cs="宋体"/>
          <w:color w:val="000000" w:themeColor="text1"/>
          <w:spacing w:val="-10"/>
          <w:sz w:val="36"/>
          <w:szCs w:val="36"/>
          <w:highlight w:val="none"/>
          <w14:textFill>
            <w14:solidFill>
              <w14:schemeClr w14:val="tx1"/>
            </w14:solidFill>
          </w14:textFill>
        </w:rPr>
      </w:pPr>
      <w:bookmarkStart w:id="32" w:name="_Toc4772"/>
      <w:r>
        <w:rPr>
          <w:rFonts w:hint="eastAsia" w:ascii="宋体" w:hAnsi="宋体" w:cs="宋体"/>
          <w:color w:val="000000" w:themeColor="text1"/>
          <w:spacing w:val="-10"/>
          <w:sz w:val="36"/>
          <w:szCs w:val="36"/>
          <w:highlight w:val="none"/>
          <w14:textFill>
            <w14:solidFill>
              <w14:schemeClr w14:val="tx1"/>
            </w14:solidFill>
          </w14:textFill>
        </w:rPr>
        <w:t>第三章 成交标准</w:t>
      </w:r>
      <w:bookmarkEnd w:id="32"/>
    </w:p>
    <w:p w14:paraId="2F6D1584">
      <w:pPr>
        <w:pStyle w:val="3"/>
        <w:numPr>
          <w:ilvl w:val="0"/>
          <w:numId w:val="1"/>
        </w:numPr>
        <w:spacing w:line="360" w:lineRule="auto"/>
        <w:outlineLvl w:val="9"/>
        <w:rPr>
          <w:rFonts w:cs="宋体"/>
          <w:color w:val="000000" w:themeColor="text1"/>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资格性审查</w:t>
      </w:r>
    </w:p>
    <w:p w14:paraId="6F9F3064">
      <w:pPr>
        <w:spacing w:line="360" w:lineRule="auto"/>
        <w:ind w:firstLine="480" w:firstLineChars="200"/>
        <w:jc w:val="left"/>
        <w:rPr>
          <w:rFonts w:asci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磋商小组将依法对供应商的资格进行审查。资格审查记录表如下：</w:t>
      </w:r>
    </w:p>
    <w:tbl>
      <w:tblPr>
        <w:tblStyle w:val="28"/>
        <w:tblW w:w="9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5"/>
        <w:gridCol w:w="3222"/>
        <w:gridCol w:w="3098"/>
        <w:gridCol w:w="1005"/>
        <w:gridCol w:w="930"/>
        <w:gridCol w:w="930"/>
      </w:tblGrid>
      <w:tr w14:paraId="773F9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5" w:type="dxa"/>
            <w:vMerge w:val="restart"/>
            <w:vAlign w:val="center"/>
          </w:tcPr>
          <w:p w14:paraId="02AD6349">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序号</w:t>
            </w:r>
          </w:p>
        </w:tc>
        <w:tc>
          <w:tcPr>
            <w:tcW w:w="3222" w:type="dxa"/>
            <w:vMerge w:val="restart"/>
            <w:vAlign w:val="center"/>
          </w:tcPr>
          <w:p w14:paraId="0333CE4C">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审查因素</w:t>
            </w:r>
          </w:p>
        </w:tc>
        <w:tc>
          <w:tcPr>
            <w:tcW w:w="3098" w:type="dxa"/>
            <w:vMerge w:val="restart"/>
            <w:vAlign w:val="center"/>
          </w:tcPr>
          <w:p w14:paraId="3D3C428F">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审查标准</w:t>
            </w:r>
          </w:p>
        </w:tc>
        <w:tc>
          <w:tcPr>
            <w:tcW w:w="2865" w:type="dxa"/>
            <w:gridSpan w:val="3"/>
            <w:vAlign w:val="center"/>
          </w:tcPr>
          <w:p w14:paraId="700578DD">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投标人名称及审查意见</w:t>
            </w:r>
          </w:p>
        </w:tc>
      </w:tr>
      <w:tr w14:paraId="59304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5" w:type="dxa"/>
            <w:vMerge w:val="continue"/>
            <w:tcBorders>
              <w:top w:val="nil"/>
            </w:tcBorders>
            <w:vAlign w:val="center"/>
          </w:tcPr>
          <w:p w14:paraId="03E15D41">
            <w:pPr>
              <w:jc w:val="left"/>
              <w:rPr>
                <w:color w:val="000000" w:themeColor="text1"/>
                <w:szCs w:val="21"/>
                <w:highlight w:val="none"/>
                <w14:textFill>
                  <w14:solidFill>
                    <w14:schemeClr w14:val="tx1"/>
                  </w14:solidFill>
                </w14:textFill>
              </w:rPr>
            </w:pPr>
          </w:p>
        </w:tc>
        <w:tc>
          <w:tcPr>
            <w:tcW w:w="3222" w:type="dxa"/>
            <w:vMerge w:val="continue"/>
            <w:tcBorders>
              <w:top w:val="nil"/>
            </w:tcBorders>
            <w:vAlign w:val="center"/>
          </w:tcPr>
          <w:p w14:paraId="6A0C56E6">
            <w:pPr>
              <w:jc w:val="left"/>
              <w:rPr>
                <w:color w:val="000000" w:themeColor="text1"/>
                <w:szCs w:val="21"/>
                <w:highlight w:val="none"/>
                <w14:textFill>
                  <w14:solidFill>
                    <w14:schemeClr w14:val="tx1"/>
                  </w14:solidFill>
                </w14:textFill>
              </w:rPr>
            </w:pPr>
          </w:p>
        </w:tc>
        <w:tc>
          <w:tcPr>
            <w:tcW w:w="3098" w:type="dxa"/>
            <w:vMerge w:val="continue"/>
            <w:tcBorders>
              <w:top w:val="nil"/>
            </w:tcBorders>
            <w:vAlign w:val="center"/>
          </w:tcPr>
          <w:p w14:paraId="5EB1BB4E">
            <w:pPr>
              <w:jc w:val="left"/>
              <w:rPr>
                <w:color w:val="000000" w:themeColor="text1"/>
                <w:szCs w:val="21"/>
                <w:highlight w:val="none"/>
                <w14:textFill>
                  <w14:solidFill>
                    <w14:schemeClr w14:val="tx1"/>
                  </w14:solidFill>
                </w14:textFill>
              </w:rPr>
            </w:pPr>
          </w:p>
        </w:tc>
        <w:tc>
          <w:tcPr>
            <w:tcW w:w="1005" w:type="dxa"/>
            <w:vAlign w:val="center"/>
          </w:tcPr>
          <w:p w14:paraId="3B5ADB25">
            <w:pPr>
              <w:rPr>
                <w:color w:val="000000" w:themeColor="text1"/>
                <w:szCs w:val="21"/>
                <w:highlight w:val="none"/>
                <w14:textFill>
                  <w14:solidFill>
                    <w14:schemeClr w14:val="tx1"/>
                  </w14:solidFill>
                </w14:textFill>
              </w:rPr>
            </w:pPr>
          </w:p>
        </w:tc>
        <w:tc>
          <w:tcPr>
            <w:tcW w:w="930" w:type="dxa"/>
            <w:vAlign w:val="center"/>
          </w:tcPr>
          <w:p w14:paraId="453E7448">
            <w:pPr>
              <w:rPr>
                <w:color w:val="000000" w:themeColor="text1"/>
                <w:szCs w:val="21"/>
                <w:highlight w:val="none"/>
                <w14:textFill>
                  <w14:solidFill>
                    <w14:schemeClr w14:val="tx1"/>
                  </w14:solidFill>
                </w14:textFill>
              </w:rPr>
            </w:pPr>
          </w:p>
        </w:tc>
        <w:tc>
          <w:tcPr>
            <w:tcW w:w="930" w:type="dxa"/>
            <w:vAlign w:val="center"/>
          </w:tcPr>
          <w:p w14:paraId="322BC492">
            <w:pPr>
              <w:rPr>
                <w:color w:val="000000" w:themeColor="text1"/>
                <w:szCs w:val="21"/>
                <w:highlight w:val="none"/>
                <w14:textFill>
                  <w14:solidFill>
                    <w14:schemeClr w14:val="tx1"/>
                  </w14:solidFill>
                </w14:textFill>
              </w:rPr>
            </w:pPr>
          </w:p>
        </w:tc>
      </w:tr>
      <w:tr w14:paraId="55FD6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jc w:val="center"/>
        </w:trPr>
        <w:tc>
          <w:tcPr>
            <w:tcW w:w="535" w:type="dxa"/>
            <w:vAlign w:val="center"/>
          </w:tcPr>
          <w:p w14:paraId="5E54A5F3">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w:t>
            </w:r>
          </w:p>
        </w:tc>
        <w:tc>
          <w:tcPr>
            <w:tcW w:w="3222" w:type="dxa"/>
            <w:vAlign w:val="center"/>
          </w:tcPr>
          <w:p w14:paraId="6741F6EC">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具有独立承担民事责任的能力</w:t>
            </w:r>
          </w:p>
        </w:tc>
        <w:tc>
          <w:tcPr>
            <w:tcW w:w="3098" w:type="dxa"/>
            <w:vAlign w:val="center"/>
          </w:tcPr>
          <w:p w14:paraId="0D3615CD">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提供法人或者其他组织的营业执照，自然人的身份证</w:t>
            </w:r>
          </w:p>
        </w:tc>
        <w:tc>
          <w:tcPr>
            <w:tcW w:w="1005" w:type="dxa"/>
            <w:vAlign w:val="center"/>
          </w:tcPr>
          <w:p w14:paraId="6E8AED14">
            <w:pPr>
              <w:rPr>
                <w:color w:val="000000" w:themeColor="text1"/>
                <w:szCs w:val="21"/>
                <w:highlight w:val="none"/>
                <w14:textFill>
                  <w14:solidFill>
                    <w14:schemeClr w14:val="tx1"/>
                  </w14:solidFill>
                </w14:textFill>
              </w:rPr>
            </w:pPr>
          </w:p>
        </w:tc>
        <w:tc>
          <w:tcPr>
            <w:tcW w:w="930" w:type="dxa"/>
            <w:vAlign w:val="center"/>
          </w:tcPr>
          <w:p w14:paraId="5EE15FC6">
            <w:pPr>
              <w:rPr>
                <w:color w:val="000000" w:themeColor="text1"/>
                <w:szCs w:val="21"/>
                <w:highlight w:val="none"/>
                <w14:textFill>
                  <w14:solidFill>
                    <w14:schemeClr w14:val="tx1"/>
                  </w14:solidFill>
                </w14:textFill>
              </w:rPr>
            </w:pPr>
          </w:p>
        </w:tc>
        <w:tc>
          <w:tcPr>
            <w:tcW w:w="930" w:type="dxa"/>
            <w:vAlign w:val="center"/>
          </w:tcPr>
          <w:p w14:paraId="2CA68EAE">
            <w:pPr>
              <w:rPr>
                <w:color w:val="000000" w:themeColor="text1"/>
                <w:szCs w:val="21"/>
                <w:highlight w:val="none"/>
                <w14:textFill>
                  <w14:solidFill>
                    <w14:schemeClr w14:val="tx1"/>
                  </w14:solidFill>
                </w14:textFill>
              </w:rPr>
            </w:pPr>
          </w:p>
        </w:tc>
      </w:tr>
      <w:tr w14:paraId="5694D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jc w:val="center"/>
        </w:trPr>
        <w:tc>
          <w:tcPr>
            <w:tcW w:w="535" w:type="dxa"/>
            <w:vAlign w:val="center"/>
          </w:tcPr>
          <w:p w14:paraId="283FE0E2">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w:t>
            </w:r>
          </w:p>
        </w:tc>
        <w:tc>
          <w:tcPr>
            <w:tcW w:w="3222" w:type="dxa"/>
            <w:vAlign w:val="center"/>
          </w:tcPr>
          <w:p w14:paraId="16DE25EB">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具有良好的商业信誉和健全的财务会计制度</w:t>
            </w:r>
          </w:p>
        </w:tc>
        <w:tc>
          <w:tcPr>
            <w:tcW w:w="3098" w:type="dxa"/>
            <w:vAlign w:val="center"/>
          </w:tcPr>
          <w:p w14:paraId="652A8E5E">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提供投标截止时间前六个月内银行出具的资信证明，或投标截止时间前六个月内任意一个月的财务状况报告（至少包括资产负债表和利润表），或上一年度（或2024年度）的审计报告</w:t>
            </w:r>
          </w:p>
        </w:tc>
        <w:tc>
          <w:tcPr>
            <w:tcW w:w="1005" w:type="dxa"/>
            <w:vAlign w:val="center"/>
          </w:tcPr>
          <w:p w14:paraId="37822852">
            <w:pPr>
              <w:rPr>
                <w:color w:val="000000" w:themeColor="text1"/>
                <w:szCs w:val="21"/>
                <w:highlight w:val="none"/>
                <w14:textFill>
                  <w14:solidFill>
                    <w14:schemeClr w14:val="tx1"/>
                  </w14:solidFill>
                </w14:textFill>
              </w:rPr>
            </w:pPr>
          </w:p>
        </w:tc>
        <w:tc>
          <w:tcPr>
            <w:tcW w:w="930" w:type="dxa"/>
            <w:vAlign w:val="center"/>
          </w:tcPr>
          <w:p w14:paraId="49C639D0">
            <w:pPr>
              <w:rPr>
                <w:color w:val="000000" w:themeColor="text1"/>
                <w:szCs w:val="21"/>
                <w:highlight w:val="none"/>
                <w14:textFill>
                  <w14:solidFill>
                    <w14:schemeClr w14:val="tx1"/>
                  </w14:solidFill>
                </w14:textFill>
              </w:rPr>
            </w:pPr>
          </w:p>
        </w:tc>
        <w:tc>
          <w:tcPr>
            <w:tcW w:w="930" w:type="dxa"/>
            <w:vAlign w:val="center"/>
          </w:tcPr>
          <w:p w14:paraId="0C3D890A">
            <w:pPr>
              <w:rPr>
                <w:color w:val="000000" w:themeColor="text1"/>
                <w:szCs w:val="21"/>
                <w:highlight w:val="none"/>
                <w14:textFill>
                  <w14:solidFill>
                    <w14:schemeClr w14:val="tx1"/>
                  </w14:solidFill>
                </w14:textFill>
              </w:rPr>
            </w:pPr>
          </w:p>
        </w:tc>
      </w:tr>
      <w:tr w14:paraId="0FBD3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35" w:type="dxa"/>
            <w:vAlign w:val="center"/>
          </w:tcPr>
          <w:p w14:paraId="3CE00B1D">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w:t>
            </w:r>
          </w:p>
        </w:tc>
        <w:tc>
          <w:tcPr>
            <w:tcW w:w="3222" w:type="dxa"/>
            <w:vAlign w:val="center"/>
          </w:tcPr>
          <w:p w14:paraId="39E4B136">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具有履行合同所必需的设备和专业技术能力</w:t>
            </w:r>
          </w:p>
        </w:tc>
        <w:tc>
          <w:tcPr>
            <w:tcW w:w="3098" w:type="dxa"/>
            <w:vAlign w:val="center"/>
          </w:tcPr>
          <w:p w14:paraId="14D345D1">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根据项目需求提供履行合同所必需的设备和专业技术能力的证明材料或相关加盖公章的声明函</w:t>
            </w:r>
          </w:p>
        </w:tc>
        <w:tc>
          <w:tcPr>
            <w:tcW w:w="1005" w:type="dxa"/>
            <w:vAlign w:val="center"/>
          </w:tcPr>
          <w:p w14:paraId="10333610">
            <w:pPr>
              <w:rPr>
                <w:color w:val="000000" w:themeColor="text1"/>
                <w:szCs w:val="21"/>
                <w:highlight w:val="none"/>
                <w14:textFill>
                  <w14:solidFill>
                    <w14:schemeClr w14:val="tx1"/>
                  </w14:solidFill>
                </w14:textFill>
              </w:rPr>
            </w:pPr>
          </w:p>
        </w:tc>
        <w:tc>
          <w:tcPr>
            <w:tcW w:w="930" w:type="dxa"/>
            <w:vAlign w:val="center"/>
          </w:tcPr>
          <w:p w14:paraId="4D8E2914">
            <w:pPr>
              <w:rPr>
                <w:color w:val="000000" w:themeColor="text1"/>
                <w:szCs w:val="21"/>
                <w:highlight w:val="none"/>
                <w14:textFill>
                  <w14:solidFill>
                    <w14:schemeClr w14:val="tx1"/>
                  </w14:solidFill>
                </w14:textFill>
              </w:rPr>
            </w:pPr>
          </w:p>
        </w:tc>
        <w:tc>
          <w:tcPr>
            <w:tcW w:w="930" w:type="dxa"/>
            <w:vAlign w:val="center"/>
          </w:tcPr>
          <w:p w14:paraId="20424285">
            <w:pPr>
              <w:rPr>
                <w:color w:val="000000" w:themeColor="text1"/>
                <w:szCs w:val="21"/>
                <w:highlight w:val="none"/>
                <w14:textFill>
                  <w14:solidFill>
                    <w14:schemeClr w14:val="tx1"/>
                  </w14:solidFill>
                </w14:textFill>
              </w:rPr>
            </w:pPr>
          </w:p>
        </w:tc>
      </w:tr>
      <w:tr w14:paraId="1F67D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5" w:type="dxa"/>
            <w:vAlign w:val="center"/>
          </w:tcPr>
          <w:p w14:paraId="43459E7F">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4</w:t>
            </w:r>
          </w:p>
        </w:tc>
        <w:tc>
          <w:tcPr>
            <w:tcW w:w="3222" w:type="dxa"/>
            <w:vAlign w:val="center"/>
          </w:tcPr>
          <w:p w14:paraId="7BE109D7">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有依法缴纳税收和社会保障资金的良好记录</w:t>
            </w:r>
          </w:p>
        </w:tc>
        <w:tc>
          <w:tcPr>
            <w:tcW w:w="3098" w:type="dxa"/>
            <w:vAlign w:val="center"/>
          </w:tcPr>
          <w:p w14:paraId="6DE47147">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投标截止时间前六个月内任意一个月的纳税证明文件（依法免缴的应提供相应文件说明）；并提供投标截止时间前六个月内任意一个月依法为员工缴纳社会保障资金的证明材料（依法不需要缴纳社会保障资金的应提供相应文件说明）</w:t>
            </w:r>
          </w:p>
        </w:tc>
        <w:tc>
          <w:tcPr>
            <w:tcW w:w="1005" w:type="dxa"/>
            <w:vAlign w:val="center"/>
          </w:tcPr>
          <w:p w14:paraId="1B0792E8">
            <w:pPr>
              <w:rPr>
                <w:color w:val="000000" w:themeColor="text1"/>
                <w:szCs w:val="21"/>
                <w:highlight w:val="none"/>
                <w14:textFill>
                  <w14:solidFill>
                    <w14:schemeClr w14:val="tx1"/>
                  </w14:solidFill>
                </w14:textFill>
              </w:rPr>
            </w:pPr>
          </w:p>
        </w:tc>
        <w:tc>
          <w:tcPr>
            <w:tcW w:w="930" w:type="dxa"/>
            <w:vAlign w:val="center"/>
          </w:tcPr>
          <w:p w14:paraId="66859F0F">
            <w:pPr>
              <w:rPr>
                <w:color w:val="000000" w:themeColor="text1"/>
                <w:szCs w:val="21"/>
                <w:highlight w:val="none"/>
                <w14:textFill>
                  <w14:solidFill>
                    <w14:schemeClr w14:val="tx1"/>
                  </w14:solidFill>
                </w14:textFill>
              </w:rPr>
            </w:pPr>
          </w:p>
        </w:tc>
        <w:tc>
          <w:tcPr>
            <w:tcW w:w="930" w:type="dxa"/>
            <w:vAlign w:val="center"/>
          </w:tcPr>
          <w:p w14:paraId="4AC34B81">
            <w:pPr>
              <w:rPr>
                <w:color w:val="000000" w:themeColor="text1"/>
                <w:szCs w:val="21"/>
                <w:highlight w:val="none"/>
                <w14:textFill>
                  <w14:solidFill>
                    <w14:schemeClr w14:val="tx1"/>
                  </w14:solidFill>
                </w14:textFill>
              </w:rPr>
            </w:pPr>
          </w:p>
        </w:tc>
      </w:tr>
      <w:tr w14:paraId="7ACDE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5" w:type="dxa"/>
            <w:vAlign w:val="center"/>
          </w:tcPr>
          <w:p w14:paraId="7478BF56">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5</w:t>
            </w:r>
          </w:p>
        </w:tc>
        <w:tc>
          <w:tcPr>
            <w:tcW w:w="3222" w:type="dxa"/>
            <w:vAlign w:val="center"/>
          </w:tcPr>
          <w:p w14:paraId="1BC0F5E1">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参加政府采购活动前三年内，在经营活动中没有重大违法记录</w:t>
            </w:r>
          </w:p>
        </w:tc>
        <w:tc>
          <w:tcPr>
            <w:tcW w:w="3098" w:type="dxa"/>
            <w:vAlign w:val="center"/>
          </w:tcPr>
          <w:p w14:paraId="136AFBC6">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提供参加本次采购活动前三年内在经营活动中没有重大违法记录的书面声明</w:t>
            </w:r>
          </w:p>
        </w:tc>
        <w:tc>
          <w:tcPr>
            <w:tcW w:w="1005" w:type="dxa"/>
            <w:vAlign w:val="center"/>
          </w:tcPr>
          <w:p w14:paraId="0C281ECA">
            <w:pPr>
              <w:rPr>
                <w:color w:val="000000" w:themeColor="text1"/>
                <w:szCs w:val="21"/>
                <w:highlight w:val="none"/>
                <w14:textFill>
                  <w14:solidFill>
                    <w14:schemeClr w14:val="tx1"/>
                  </w14:solidFill>
                </w14:textFill>
              </w:rPr>
            </w:pPr>
          </w:p>
        </w:tc>
        <w:tc>
          <w:tcPr>
            <w:tcW w:w="930" w:type="dxa"/>
            <w:vAlign w:val="center"/>
          </w:tcPr>
          <w:p w14:paraId="00FDCD2E">
            <w:pPr>
              <w:rPr>
                <w:color w:val="000000" w:themeColor="text1"/>
                <w:szCs w:val="21"/>
                <w:highlight w:val="none"/>
                <w14:textFill>
                  <w14:solidFill>
                    <w14:schemeClr w14:val="tx1"/>
                  </w14:solidFill>
                </w14:textFill>
              </w:rPr>
            </w:pPr>
          </w:p>
        </w:tc>
        <w:tc>
          <w:tcPr>
            <w:tcW w:w="930" w:type="dxa"/>
            <w:vAlign w:val="center"/>
          </w:tcPr>
          <w:p w14:paraId="3D5BB3E3">
            <w:pPr>
              <w:rPr>
                <w:color w:val="000000" w:themeColor="text1"/>
                <w:szCs w:val="21"/>
                <w:highlight w:val="none"/>
                <w14:textFill>
                  <w14:solidFill>
                    <w14:schemeClr w14:val="tx1"/>
                  </w14:solidFill>
                </w14:textFill>
              </w:rPr>
            </w:pPr>
          </w:p>
        </w:tc>
      </w:tr>
      <w:tr w14:paraId="39CFC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5" w:type="dxa"/>
            <w:vAlign w:val="center"/>
          </w:tcPr>
          <w:p w14:paraId="693FAA09">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6</w:t>
            </w:r>
          </w:p>
        </w:tc>
        <w:tc>
          <w:tcPr>
            <w:tcW w:w="3222" w:type="dxa"/>
            <w:vAlign w:val="center"/>
          </w:tcPr>
          <w:p w14:paraId="56A213FD">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满足法律、行政法规规定的其他条件</w:t>
            </w:r>
          </w:p>
        </w:tc>
        <w:tc>
          <w:tcPr>
            <w:tcW w:w="3098" w:type="dxa"/>
            <w:vAlign w:val="center"/>
          </w:tcPr>
          <w:p w14:paraId="50B08C65">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符合并提供承诺书加盖供应商公章编入响应文件中</w:t>
            </w:r>
          </w:p>
        </w:tc>
        <w:tc>
          <w:tcPr>
            <w:tcW w:w="1005" w:type="dxa"/>
            <w:vAlign w:val="center"/>
          </w:tcPr>
          <w:p w14:paraId="74E10B1C">
            <w:pPr>
              <w:rPr>
                <w:color w:val="000000" w:themeColor="text1"/>
                <w:szCs w:val="21"/>
                <w:highlight w:val="none"/>
                <w14:textFill>
                  <w14:solidFill>
                    <w14:schemeClr w14:val="tx1"/>
                  </w14:solidFill>
                </w14:textFill>
              </w:rPr>
            </w:pPr>
          </w:p>
        </w:tc>
        <w:tc>
          <w:tcPr>
            <w:tcW w:w="930" w:type="dxa"/>
            <w:vAlign w:val="center"/>
          </w:tcPr>
          <w:p w14:paraId="4AA8B665">
            <w:pPr>
              <w:rPr>
                <w:color w:val="000000" w:themeColor="text1"/>
                <w:szCs w:val="21"/>
                <w:highlight w:val="none"/>
                <w14:textFill>
                  <w14:solidFill>
                    <w14:schemeClr w14:val="tx1"/>
                  </w14:solidFill>
                </w14:textFill>
              </w:rPr>
            </w:pPr>
          </w:p>
        </w:tc>
        <w:tc>
          <w:tcPr>
            <w:tcW w:w="930" w:type="dxa"/>
            <w:vAlign w:val="center"/>
          </w:tcPr>
          <w:p w14:paraId="14CB9634">
            <w:pPr>
              <w:rPr>
                <w:color w:val="000000" w:themeColor="text1"/>
                <w:szCs w:val="21"/>
                <w:highlight w:val="none"/>
                <w14:textFill>
                  <w14:solidFill>
                    <w14:schemeClr w14:val="tx1"/>
                  </w14:solidFill>
                </w14:textFill>
              </w:rPr>
            </w:pPr>
          </w:p>
        </w:tc>
      </w:tr>
      <w:tr w14:paraId="4DB76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5" w:type="dxa"/>
            <w:vAlign w:val="center"/>
          </w:tcPr>
          <w:p w14:paraId="4DD7E43C">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w:t>
            </w:r>
          </w:p>
        </w:tc>
        <w:tc>
          <w:tcPr>
            <w:tcW w:w="3222" w:type="dxa"/>
            <w:vAlign w:val="center"/>
          </w:tcPr>
          <w:p w14:paraId="51994C0D">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供应商资质等级及范围：①具备具备专业承包建筑装修装饰工程二级(含)以上资质证书；②供应商具备有效期内的安全生产许可证。</w:t>
            </w:r>
          </w:p>
        </w:tc>
        <w:tc>
          <w:tcPr>
            <w:tcW w:w="3098" w:type="dxa"/>
            <w:vAlign w:val="center"/>
          </w:tcPr>
          <w:p w14:paraId="4AC9E648">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提供证书复印件并加盖公章</w:t>
            </w:r>
          </w:p>
        </w:tc>
        <w:tc>
          <w:tcPr>
            <w:tcW w:w="1005" w:type="dxa"/>
            <w:vAlign w:val="center"/>
          </w:tcPr>
          <w:p w14:paraId="24A5C235">
            <w:pPr>
              <w:rPr>
                <w:color w:val="000000" w:themeColor="text1"/>
                <w:szCs w:val="21"/>
                <w:highlight w:val="none"/>
                <w14:textFill>
                  <w14:solidFill>
                    <w14:schemeClr w14:val="tx1"/>
                  </w14:solidFill>
                </w14:textFill>
              </w:rPr>
            </w:pPr>
          </w:p>
        </w:tc>
        <w:tc>
          <w:tcPr>
            <w:tcW w:w="930" w:type="dxa"/>
            <w:vAlign w:val="center"/>
          </w:tcPr>
          <w:p w14:paraId="3D7260C4">
            <w:pPr>
              <w:rPr>
                <w:color w:val="000000" w:themeColor="text1"/>
                <w:szCs w:val="21"/>
                <w:highlight w:val="none"/>
                <w14:textFill>
                  <w14:solidFill>
                    <w14:schemeClr w14:val="tx1"/>
                  </w14:solidFill>
                </w14:textFill>
              </w:rPr>
            </w:pPr>
          </w:p>
        </w:tc>
        <w:tc>
          <w:tcPr>
            <w:tcW w:w="930" w:type="dxa"/>
            <w:vAlign w:val="center"/>
          </w:tcPr>
          <w:p w14:paraId="633F7A1B">
            <w:pPr>
              <w:rPr>
                <w:color w:val="000000" w:themeColor="text1"/>
                <w:szCs w:val="21"/>
                <w:highlight w:val="none"/>
                <w14:textFill>
                  <w14:solidFill>
                    <w14:schemeClr w14:val="tx1"/>
                  </w14:solidFill>
                </w14:textFill>
              </w:rPr>
            </w:pPr>
          </w:p>
        </w:tc>
      </w:tr>
      <w:tr w14:paraId="61DFD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4" w:hRule="atLeast"/>
          <w:jc w:val="center"/>
        </w:trPr>
        <w:tc>
          <w:tcPr>
            <w:tcW w:w="535" w:type="dxa"/>
            <w:vAlign w:val="center"/>
          </w:tcPr>
          <w:p w14:paraId="6344DB56">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8</w:t>
            </w:r>
          </w:p>
        </w:tc>
        <w:tc>
          <w:tcPr>
            <w:tcW w:w="3222" w:type="dxa"/>
            <w:shd w:val="clear" w:color="auto" w:fill="auto"/>
            <w:vAlign w:val="center"/>
          </w:tcPr>
          <w:p w14:paraId="75027F0A">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项目负责人的资格要求：</w:t>
            </w:r>
          </w:p>
          <w:p w14:paraId="7EAA566C">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取得注册建造师证建筑工程二级(含)以上并取得《安全生产考核合格证书》B 类证书。</w:t>
            </w:r>
          </w:p>
        </w:tc>
        <w:tc>
          <w:tcPr>
            <w:tcW w:w="3098" w:type="dxa"/>
            <w:shd w:val="clear" w:color="auto" w:fill="auto"/>
            <w:vAlign w:val="center"/>
          </w:tcPr>
          <w:p w14:paraId="29C394B1">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提供证书复印件加盖供应商公章编入响应文件中。</w:t>
            </w:r>
          </w:p>
          <w:p w14:paraId="63025806">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根据住房和城乡建设部办公厅关于全面实行一级建造师电子注册证书的通知（建办市〔2021〕40 号）要求，自 2021 年 10 月 15 日起，在全国范围内实行一级建造师电子证书，电子证书式样按照《全国一体化在线政务服务平台电子证照一级建造师注册证书》标准执行。自 2022 年 1 月 1 日起，一级建造师统一使用电子证书，纸质注册证书作废。各投标人须提供一级建造师证书电子注册证书，电子注册证书应当符合相关文件规定，签名图像应当与持证人个人手写签名笔迹一致，证书应当在使用有效期限内。若提供的电子件无法识别有效信息的，视为无效。投标人将自行承担资格审查不通过等相应后果。</w:t>
            </w:r>
          </w:p>
        </w:tc>
        <w:tc>
          <w:tcPr>
            <w:tcW w:w="1005" w:type="dxa"/>
            <w:vAlign w:val="center"/>
          </w:tcPr>
          <w:p w14:paraId="2DA6BDF8">
            <w:pPr>
              <w:rPr>
                <w:color w:val="000000" w:themeColor="text1"/>
                <w:szCs w:val="21"/>
                <w:highlight w:val="none"/>
                <w14:textFill>
                  <w14:solidFill>
                    <w14:schemeClr w14:val="tx1"/>
                  </w14:solidFill>
                </w14:textFill>
              </w:rPr>
            </w:pPr>
          </w:p>
          <w:p w14:paraId="3EB91437">
            <w:pPr>
              <w:rPr>
                <w:color w:val="000000" w:themeColor="text1"/>
                <w:szCs w:val="21"/>
                <w:highlight w:val="none"/>
                <w14:textFill>
                  <w14:solidFill>
                    <w14:schemeClr w14:val="tx1"/>
                  </w14:solidFill>
                </w14:textFill>
              </w:rPr>
            </w:pPr>
          </w:p>
        </w:tc>
        <w:tc>
          <w:tcPr>
            <w:tcW w:w="930" w:type="dxa"/>
            <w:vAlign w:val="center"/>
          </w:tcPr>
          <w:p w14:paraId="22CCD66E">
            <w:pPr>
              <w:rPr>
                <w:color w:val="000000" w:themeColor="text1"/>
                <w:szCs w:val="21"/>
                <w:highlight w:val="none"/>
                <w14:textFill>
                  <w14:solidFill>
                    <w14:schemeClr w14:val="tx1"/>
                  </w14:solidFill>
                </w14:textFill>
              </w:rPr>
            </w:pPr>
          </w:p>
        </w:tc>
        <w:tc>
          <w:tcPr>
            <w:tcW w:w="930" w:type="dxa"/>
            <w:vAlign w:val="center"/>
          </w:tcPr>
          <w:p w14:paraId="64F19809">
            <w:pPr>
              <w:rPr>
                <w:color w:val="000000" w:themeColor="text1"/>
                <w:szCs w:val="21"/>
                <w:highlight w:val="none"/>
                <w14:textFill>
                  <w14:solidFill>
                    <w14:schemeClr w14:val="tx1"/>
                  </w14:solidFill>
                </w14:textFill>
              </w:rPr>
            </w:pPr>
          </w:p>
        </w:tc>
      </w:tr>
      <w:tr w14:paraId="32ADF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762A4FE1">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9</w:t>
            </w:r>
          </w:p>
        </w:tc>
        <w:tc>
          <w:tcPr>
            <w:tcW w:w="3222" w:type="dxa"/>
            <w:shd w:val="clear" w:color="auto" w:fill="auto"/>
          </w:tcPr>
          <w:p w14:paraId="04FCBB8D">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供应商必须提供拟投入本工程项目负责人与供应商签订的有效劳动合同、社保机构出具的近半年内（202</w:t>
            </w:r>
            <w:r>
              <w:rPr>
                <w:rFonts w:hint="eastAsia"/>
                <w:color w:val="000000" w:themeColor="text1"/>
                <w:szCs w:val="21"/>
                <w:highlight w:val="none"/>
                <w:lang w:val="en-US" w:eastAsia="zh-CN"/>
                <w14:textFill>
                  <w14:solidFill>
                    <w14:schemeClr w14:val="tx1"/>
                  </w14:solidFill>
                </w14:textFill>
              </w:rPr>
              <w:t>5</w:t>
            </w:r>
            <w:r>
              <w:rPr>
                <w:rFonts w:hint="eastAsia"/>
                <w:color w:val="000000" w:themeColor="text1"/>
                <w:szCs w:val="21"/>
                <w:highlight w:val="none"/>
                <w14:textFill>
                  <w14:solidFill>
                    <w14:schemeClr w14:val="tx1"/>
                  </w14:solidFill>
                </w14:textFill>
              </w:rPr>
              <w:t>年</w:t>
            </w:r>
            <w:r>
              <w:rPr>
                <w:rFonts w:hint="eastAsia"/>
                <w:color w:val="000000" w:themeColor="text1"/>
                <w:szCs w:val="21"/>
                <w:highlight w:val="none"/>
                <w:lang w:val="en-US" w:eastAsia="zh-CN"/>
                <w14:textFill>
                  <w14:solidFill>
                    <w14:schemeClr w14:val="tx1"/>
                  </w14:solidFill>
                </w14:textFill>
              </w:rPr>
              <w:t>12</w:t>
            </w:r>
            <w:r>
              <w:rPr>
                <w:rFonts w:hint="eastAsia"/>
                <w:color w:val="000000" w:themeColor="text1"/>
                <w:szCs w:val="21"/>
                <w:highlight w:val="none"/>
                <w14:textFill>
                  <w14:solidFill>
                    <w14:schemeClr w14:val="tx1"/>
                  </w14:solidFill>
                </w14:textFill>
              </w:rPr>
              <w:t>月-202</w:t>
            </w:r>
            <w:r>
              <w:rPr>
                <w:rFonts w:hint="eastAsia"/>
                <w:color w:val="000000" w:themeColor="text1"/>
                <w:szCs w:val="21"/>
                <w:highlight w:val="none"/>
                <w:lang w:val="en-US" w:eastAsia="zh-CN"/>
                <w14:textFill>
                  <w14:solidFill>
                    <w14:schemeClr w14:val="tx1"/>
                  </w14:solidFill>
                </w14:textFill>
              </w:rPr>
              <w:t>6</w:t>
            </w:r>
            <w:r>
              <w:rPr>
                <w:rFonts w:hint="eastAsia"/>
                <w:color w:val="000000" w:themeColor="text1"/>
                <w:szCs w:val="21"/>
                <w:highlight w:val="none"/>
                <w14:textFill>
                  <w14:solidFill>
                    <w14:schemeClr w14:val="tx1"/>
                  </w14:solidFill>
                </w14:textFill>
              </w:rPr>
              <w:t>年</w:t>
            </w:r>
            <w:r>
              <w:rPr>
                <w:rFonts w:hint="eastAsia"/>
                <w:color w:val="000000" w:themeColor="text1"/>
                <w:szCs w:val="21"/>
                <w:highlight w:val="none"/>
                <w:lang w:val="en-US" w:eastAsia="zh-CN"/>
                <w14:textFill>
                  <w14:solidFill>
                    <w14:schemeClr w14:val="tx1"/>
                  </w14:solidFill>
                </w14:textFill>
              </w:rPr>
              <w:t>5</w:t>
            </w:r>
            <w:r>
              <w:rPr>
                <w:rFonts w:hint="eastAsia"/>
                <w:color w:val="000000" w:themeColor="text1"/>
                <w:szCs w:val="21"/>
                <w:highlight w:val="none"/>
                <w14:textFill>
                  <w14:solidFill>
                    <w14:schemeClr w14:val="tx1"/>
                  </w14:solidFill>
                </w14:textFill>
              </w:rPr>
              <w:t>月）任意一月供应商为其缴纳的养老保险缴费证明材料并加盖社保中心章或社保中心参保缴费证明电子专用章；若项目负责人属企业退休人员、现役军人等客观原因无法提供养老保险金缴费证明，退休人员必须出具退休证及劳务合同，若事业编制人员需要提供所在单位上级人事主管部门的人事证明材料，否则一律按未提供养老保险金缴费证明材料处理；</w:t>
            </w:r>
          </w:p>
        </w:tc>
        <w:tc>
          <w:tcPr>
            <w:tcW w:w="3098" w:type="dxa"/>
            <w:shd w:val="clear" w:color="auto" w:fill="auto"/>
            <w:vAlign w:val="center"/>
          </w:tcPr>
          <w:p w14:paraId="54789A25">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提供证明材料复印件加盖供应商公章编入响应文件中</w:t>
            </w:r>
          </w:p>
        </w:tc>
        <w:tc>
          <w:tcPr>
            <w:tcW w:w="1005" w:type="dxa"/>
            <w:vAlign w:val="center"/>
          </w:tcPr>
          <w:p w14:paraId="4D6B1497">
            <w:pPr>
              <w:rPr>
                <w:color w:val="000000" w:themeColor="text1"/>
                <w:szCs w:val="21"/>
                <w:highlight w:val="none"/>
                <w14:textFill>
                  <w14:solidFill>
                    <w14:schemeClr w14:val="tx1"/>
                  </w14:solidFill>
                </w14:textFill>
              </w:rPr>
            </w:pPr>
          </w:p>
        </w:tc>
        <w:tc>
          <w:tcPr>
            <w:tcW w:w="930" w:type="dxa"/>
            <w:vAlign w:val="center"/>
          </w:tcPr>
          <w:p w14:paraId="428B3B11">
            <w:pPr>
              <w:rPr>
                <w:color w:val="000000" w:themeColor="text1"/>
                <w:szCs w:val="21"/>
                <w:highlight w:val="none"/>
                <w14:textFill>
                  <w14:solidFill>
                    <w14:schemeClr w14:val="tx1"/>
                  </w14:solidFill>
                </w14:textFill>
              </w:rPr>
            </w:pPr>
          </w:p>
        </w:tc>
        <w:tc>
          <w:tcPr>
            <w:tcW w:w="930" w:type="dxa"/>
            <w:vAlign w:val="center"/>
          </w:tcPr>
          <w:p w14:paraId="64D9BA8E">
            <w:pPr>
              <w:rPr>
                <w:color w:val="000000" w:themeColor="text1"/>
                <w:szCs w:val="21"/>
                <w:highlight w:val="none"/>
                <w14:textFill>
                  <w14:solidFill>
                    <w14:schemeClr w14:val="tx1"/>
                  </w14:solidFill>
                </w14:textFill>
              </w:rPr>
            </w:pPr>
          </w:p>
        </w:tc>
      </w:tr>
      <w:tr w14:paraId="3F935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507B2628">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10</w:t>
            </w:r>
          </w:p>
        </w:tc>
        <w:tc>
          <w:tcPr>
            <w:tcW w:w="3222" w:type="dxa"/>
            <w:shd w:val="clear" w:color="auto" w:fill="auto"/>
            <w:vAlign w:val="center"/>
          </w:tcPr>
          <w:p w14:paraId="74C5CF4E">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拒绝下述供应商参加本次采购活动：</w:t>
            </w:r>
          </w:p>
          <w:p w14:paraId="0FC3C313">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（1）供应商单位负责人为同一人或者存在直接控股、管理关系的不同供应商，不得参加同一合同项下的采购活动。</w:t>
            </w:r>
          </w:p>
          <w:p w14:paraId="70A0844A">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（2）凡为采购项目提供整体设计、规范编制或者项目管理、监理、检测等服务的供应商，不得再参加本项目的采购活动。</w:t>
            </w:r>
          </w:p>
          <w:p w14:paraId="7EB6ED8D">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（3）拒绝列入失信被执行人、重大税收违法失信主体、政府采购严重违法失信行为记录名单中的供应商参加本项目的采购活动。</w:t>
            </w:r>
          </w:p>
        </w:tc>
        <w:tc>
          <w:tcPr>
            <w:tcW w:w="3098" w:type="dxa"/>
            <w:shd w:val="clear" w:color="auto" w:fill="auto"/>
            <w:vAlign w:val="center"/>
          </w:tcPr>
          <w:p w14:paraId="49D27AC7">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提供承诺书加盖供应商公章编入响应文件中；</w:t>
            </w:r>
          </w:p>
          <w:p w14:paraId="7D64C8CD">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采购人或代理机构通过 “信用中国”网站（www.creditchina.gov.cn）、“中国政府采购网”网站（www.ccgp.gov.cn）等渠道查询供应商信用记录并保存。</w:t>
            </w:r>
          </w:p>
        </w:tc>
        <w:tc>
          <w:tcPr>
            <w:tcW w:w="1005" w:type="dxa"/>
            <w:vAlign w:val="center"/>
          </w:tcPr>
          <w:p w14:paraId="7C629014">
            <w:pPr>
              <w:rPr>
                <w:color w:val="000000" w:themeColor="text1"/>
                <w:szCs w:val="21"/>
                <w:highlight w:val="none"/>
                <w14:textFill>
                  <w14:solidFill>
                    <w14:schemeClr w14:val="tx1"/>
                  </w14:solidFill>
                </w14:textFill>
              </w:rPr>
            </w:pPr>
          </w:p>
        </w:tc>
        <w:tc>
          <w:tcPr>
            <w:tcW w:w="930" w:type="dxa"/>
            <w:vAlign w:val="center"/>
          </w:tcPr>
          <w:p w14:paraId="5D3EE793">
            <w:pPr>
              <w:rPr>
                <w:color w:val="000000" w:themeColor="text1"/>
                <w:szCs w:val="21"/>
                <w:highlight w:val="none"/>
                <w14:textFill>
                  <w14:solidFill>
                    <w14:schemeClr w14:val="tx1"/>
                  </w14:solidFill>
                </w14:textFill>
              </w:rPr>
            </w:pPr>
          </w:p>
        </w:tc>
        <w:tc>
          <w:tcPr>
            <w:tcW w:w="930" w:type="dxa"/>
            <w:vAlign w:val="center"/>
          </w:tcPr>
          <w:p w14:paraId="4395A6AD">
            <w:pPr>
              <w:rPr>
                <w:color w:val="000000" w:themeColor="text1"/>
                <w:szCs w:val="21"/>
                <w:highlight w:val="none"/>
                <w14:textFill>
                  <w14:solidFill>
                    <w14:schemeClr w14:val="tx1"/>
                  </w14:solidFill>
                </w14:textFill>
              </w:rPr>
            </w:pPr>
          </w:p>
        </w:tc>
      </w:tr>
      <w:tr w14:paraId="75125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4010DAFD">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11</w:t>
            </w:r>
          </w:p>
        </w:tc>
        <w:tc>
          <w:tcPr>
            <w:tcW w:w="3222" w:type="dxa"/>
            <w:shd w:val="clear" w:color="auto" w:fill="auto"/>
          </w:tcPr>
          <w:p w14:paraId="4DC000FD">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落实政府采购政策需满足的资格要求：本项目为专门面向中小企业采购的项目。</w:t>
            </w:r>
          </w:p>
        </w:tc>
        <w:tc>
          <w:tcPr>
            <w:tcW w:w="3098" w:type="dxa"/>
            <w:shd w:val="clear" w:color="auto" w:fill="auto"/>
            <w:vAlign w:val="center"/>
          </w:tcPr>
          <w:p w14:paraId="1D2A8E38">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须提供中小企业或残疾人福利性企业声明函、监狱单位提供证明文件。非中小型企业参与本项目投标，将做无效标处理。</w:t>
            </w:r>
          </w:p>
        </w:tc>
        <w:tc>
          <w:tcPr>
            <w:tcW w:w="1005" w:type="dxa"/>
            <w:vAlign w:val="center"/>
          </w:tcPr>
          <w:p w14:paraId="6A160DE0">
            <w:pPr>
              <w:rPr>
                <w:color w:val="000000" w:themeColor="text1"/>
                <w:szCs w:val="21"/>
                <w:highlight w:val="none"/>
                <w14:textFill>
                  <w14:solidFill>
                    <w14:schemeClr w14:val="tx1"/>
                  </w14:solidFill>
                </w14:textFill>
              </w:rPr>
            </w:pPr>
          </w:p>
        </w:tc>
        <w:tc>
          <w:tcPr>
            <w:tcW w:w="930" w:type="dxa"/>
            <w:vAlign w:val="center"/>
          </w:tcPr>
          <w:p w14:paraId="726AE593">
            <w:pPr>
              <w:rPr>
                <w:color w:val="000000" w:themeColor="text1"/>
                <w:szCs w:val="21"/>
                <w:highlight w:val="none"/>
                <w14:textFill>
                  <w14:solidFill>
                    <w14:schemeClr w14:val="tx1"/>
                  </w14:solidFill>
                </w14:textFill>
              </w:rPr>
            </w:pPr>
          </w:p>
        </w:tc>
        <w:tc>
          <w:tcPr>
            <w:tcW w:w="930" w:type="dxa"/>
            <w:vAlign w:val="center"/>
          </w:tcPr>
          <w:p w14:paraId="22097495">
            <w:pPr>
              <w:rPr>
                <w:color w:val="000000" w:themeColor="text1"/>
                <w:szCs w:val="21"/>
                <w:highlight w:val="none"/>
                <w14:textFill>
                  <w14:solidFill>
                    <w14:schemeClr w14:val="tx1"/>
                  </w14:solidFill>
                </w14:textFill>
              </w:rPr>
            </w:pPr>
          </w:p>
        </w:tc>
      </w:tr>
      <w:tr w14:paraId="1CF27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6616069E">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12</w:t>
            </w:r>
          </w:p>
        </w:tc>
        <w:tc>
          <w:tcPr>
            <w:tcW w:w="3222" w:type="dxa"/>
            <w:shd w:val="clear" w:color="auto" w:fill="auto"/>
            <w:vAlign w:val="center"/>
          </w:tcPr>
          <w:p w14:paraId="49C30481">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按采购文件规定的数额和办法交纳磋商保证金</w:t>
            </w:r>
          </w:p>
        </w:tc>
        <w:tc>
          <w:tcPr>
            <w:tcW w:w="3098" w:type="dxa"/>
            <w:shd w:val="clear" w:color="auto" w:fill="auto"/>
            <w:vAlign w:val="center"/>
          </w:tcPr>
          <w:p w14:paraId="6CE62CB5">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提供磋商保证金缴纳凭证复印件并编入响应文件中</w:t>
            </w:r>
          </w:p>
        </w:tc>
        <w:tc>
          <w:tcPr>
            <w:tcW w:w="1005" w:type="dxa"/>
            <w:vAlign w:val="center"/>
          </w:tcPr>
          <w:p w14:paraId="2A03F98D">
            <w:pPr>
              <w:rPr>
                <w:color w:val="000000" w:themeColor="text1"/>
                <w:szCs w:val="21"/>
                <w:highlight w:val="none"/>
                <w14:textFill>
                  <w14:solidFill>
                    <w14:schemeClr w14:val="tx1"/>
                  </w14:solidFill>
                </w14:textFill>
              </w:rPr>
            </w:pPr>
          </w:p>
        </w:tc>
        <w:tc>
          <w:tcPr>
            <w:tcW w:w="930" w:type="dxa"/>
            <w:vAlign w:val="center"/>
          </w:tcPr>
          <w:p w14:paraId="2C1778C4">
            <w:pPr>
              <w:rPr>
                <w:color w:val="000000" w:themeColor="text1"/>
                <w:szCs w:val="21"/>
                <w:highlight w:val="none"/>
                <w14:textFill>
                  <w14:solidFill>
                    <w14:schemeClr w14:val="tx1"/>
                  </w14:solidFill>
                </w14:textFill>
              </w:rPr>
            </w:pPr>
          </w:p>
        </w:tc>
        <w:tc>
          <w:tcPr>
            <w:tcW w:w="930" w:type="dxa"/>
            <w:vAlign w:val="center"/>
          </w:tcPr>
          <w:p w14:paraId="07B2A3DA">
            <w:pPr>
              <w:rPr>
                <w:color w:val="000000" w:themeColor="text1"/>
                <w:szCs w:val="21"/>
                <w:highlight w:val="none"/>
                <w14:textFill>
                  <w14:solidFill>
                    <w14:schemeClr w14:val="tx1"/>
                  </w14:solidFill>
                </w14:textFill>
              </w:rPr>
            </w:pPr>
          </w:p>
        </w:tc>
      </w:tr>
      <w:tr w14:paraId="62C22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jc w:val="center"/>
        </w:trPr>
        <w:tc>
          <w:tcPr>
            <w:tcW w:w="6855" w:type="dxa"/>
            <w:gridSpan w:val="3"/>
            <w:vAlign w:val="center"/>
          </w:tcPr>
          <w:p w14:paraId="051CEC62">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资格审查结论</w:t>
            </w:r>
          </w:p>
        </w:tc>
        <w:tc>
          <w:tcPr>
            <w:tcW w:w="1005" w:type="dxa"/>
            <w:vAlign w:val="center"/>
          </w:tcPr>
          <w:p w14:paraId="0624FE67">
            <w:pPr>
              <w:rPr>
                <w:color w:val="000000" w:themeColor="text1"/>
                <w:szCs w:val="21"/>
                <w:highlight w:val="none"/>
                <w14:textFill>
                  <w14:solidFill>
                    <w14:schemeClr w14:val="tx1"/>
                  </w14:solidFill>
                </w14:textFill>
              </w:rPr>
            </w:pPr>
          </w:p>
        </w:tc>
        <w:tc>
          <w:tcPr>
            <w:tcW w:w="930" w:type="dxa"/>
            <w:vAlign w:val="center"/>
          </w:tcPr>
          <w:p w14:paraId="7DD42206">
            <w:pPr>
              <w:rPr>
                <w:color w:val="000000" w:themeColor="text1"/>
                <w:szCs w:val="21"/>
                <w:highlight w:val="none"/>
                <w14:textFill>
                  <w14:solidFill>
                    <w14:schemeClr w14:val="tx1"/>
                  </w14:solidFill>
                </w14:textFill>
              </w:rPr>
            </w:pPr>
          </w:p>
        </w:tc>
        <w:tc>
          <w:tcPr>
            <w:tcW w:w="930" w:type="dxa"/>
            <w:vAlign w:val="center"/>
          </w:tcPr>
          <w:p w14:paraId="614DC6EF">
            <w:pPr>
              <w:rPr>
                <w:color w:val="000000" w:themeColor="text1"/>
                <w:szCs w:val="21"/>
                <w:highlight w:val="none"/>
                <w14:textFill>
                  <w14:solidFill>
                    <w14:schemeClr w14:val="tx1"/>
                  </w14:solidFill>
                </w14:textFill>
              </w:rPr>
            </w:pPr>
          </w:p>
        </w:tc>
      </w:tr>
    </w:tbl>
    <w:p w14:paraId="1F5EAE80">
      <w:pPr>
        <w:pStyle w:val="54"/>
        <w:spacing w:line="360" w:lineRule="auto"/>
        <w:ind w:right="272" w:firstLine="0" w:firstLineChars="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说明：磋商小组对投标人提交的资格证明材料进行审查，并在对应的审查意见一栏记录审查意见：通过资格审查标注为√；未通过资格审查标注为×。</w:t>
      </w:r>
    </w:p>
    <w:p w14:paraId="6AC72F8D">
      <w:pPr>
        <w:pStyle w:val="3"/>
        <w:numPr>
          <w:ilvl w:val="0"/>
          <w:numId w:val="1"/>
        </w:numPr>
        <w:spacing w:line="360" w:lineRule="auto"/>
        <w:outlineLvl w:val="9"/>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符合性审查</w:t>
      </w:r>
    </w:p>
    <w:tbl>
      <w:tblPr>
        <w:tblStyle w:val="28"/>
        <w:tblW w:w="9059" w:type="dxa"/>
        <w:tblInd w:w="1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5"/>
        <w:gridCol w:w="3123"/>
        <w:gridCol w:w="1262"/>
        <w:gridCol w:w="1695"/>
        <w:gridCol w:w="2054"/>
      </w:tblGrid>
      <w:tr w14:paraId="164C7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44D73A02">
            <w:pPr>
              <w:pStyle w:val="53"/>
              <w:spacing w:before="38" w:line="360" w:lineRule="auto"/>
              <w:ind w:left="420" w:right="6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序号</w:t>
            </w:r>
          </w:p>
        </w:tc>
        <w:tc>
          <w:tcPr>
            <w:tcW w:w="3123" w:type="dxa"/>
            <w:vAlign w:val="center"/>
          </w:tcPr>
          <w:p w14:paraId="5D14CC67">
            <w:pPr>
              <w:pStyle w:val="53"/>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项目内容</w:t>
            </w:r>
          </w:p>
        </w:tc>
        <w:tc>
          <w:tcPr>
            <w:tcW w:w="1262" w:type="dxa"/>
            <w:vAlign w:val="center"/>
          </w:tcPr>
          <w:p w14:paraId="3265B76C">
            <w:pPr>
              <w:pStyle w:val="53"/>
              <w:spacing w:before="38" w:line="360" w:lineRule="auto"/>
              <w:ind w:right="311"/>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合格</w:t>
            </w:r>
          </w:p>
        </w:tc>
        <w:tc>
          <w:tcPr>
            <w:tcW w:w="1695" w:type="dxa"/>
            <w:vAlign w:val="center"/>
          </w:tcPr>
          <w:p w14:paraId="436C117C">
            <w:pPr>
              <w:pStyle w:val="53"/>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不合格</w:t>
            </w:r>
          </w:p>
        </w:tc>
        <w:tc>
          <w:tcPr>
            <w:tcW w:w="2054" w:type="dxa"/>
            <w:vAlign w:val="center"/>
          </w:tcPr>
          <w:p w14:paraId="700F02D7">
            <w:pPr>
              <w:pStyle w:val="53"/>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不合格理由</w:t>
            </w:r>
          </w:p>
        </w:tc>
      </w:tr>
      <w:tr w14:paraId="3994B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69D40BE4">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p>
        </w:tc>
        <w:tc>
          <w:tcPr>
            <w:tcW w:w="3123" w:type="dxa"/>
            <w:vAlign w:val="center"/>
          </w:tcPr>
          <w:p w14:paraId="27AF02D6">
            <w:pPr>
              <w:pStyle w:val="53"/>
              <w:spacing w:before="38"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投标文件的有效性</w:t>
            </w:r>
          </w:p>
        </w:tc>
        <w:tc>
          <w:tcPr>
            <w:tcW w:w="1262" w:type="dxa"/>
            <w:vAlign w:val="center"/>
          </w:tcPr>
          <w:p w14:paraId="787B06DB">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3FC80ED7">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71BA17BF">
            <w:pPr>
              <w:pStyle w:val="53"/>
              <w:spacing w:before="38" w:line="360" w:lineRule="auto"/>
              <w:ind w:left="420"/>
              <w:jc w:val="center"/>
              <w:rPr>
                <w:color w:val="000000" w:themeColor="text1"/>
                <w:highlight w:val="none"/>
                <w14:textFill>
                  <w14:solidFill>
                    <w14:schemeClr w14:val="tx1"/>
                  </w14:solidFill>
                </w14:textFill>
              </w:rPr>
            </w:pPr>
          </w:p>
        </w:tc>
      </w:tr>
      <w:tr w14:paraId="4B66C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2" w:hRule="atLeast"/>
        </w:trPr>
        <w:tc>
          <w:tcPr>
            <w:tcW w:w="925" w:type="dxa"/>
            <w:vAlign w:val="center"/>
          </w:tcPr>
          <w:p w14:paraId="7572345C">
            <w:pPr>
              <w:pStyle w:val="53"/>
              <w:spacing w:before="33"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p>
        </w:tc>
        <w:tc>
          <w:tcPr>
            <w:tcW w:w="3123" w:type="dxa"/>
            <w:vAlign w:val="center"/>
          </w:tcPr>
          <w:p w14:paraId="455B8AD6">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投标文件的完整性</w:t>
            </w:r>
          </w:p>
        </w:tc>
        <w:tc>
          <w:tcPr>
            <w:tcW w:w="1262" w:type="dxa"/>
            <w:vAlign w:val="center"/>
          </w:tcPr>
          <w:p w14:paraId="68B94744">
            <w:pPr>
              <w:pStyle w:val="53"/>
              <w:spacing w:before="33" w:line="360" w:lineRule="auto"/>
              <w:ind w:right="311"/>
              <w:jc w:val="center"/>
              <w:rPr>
                <w:color w:val="000000" w:themeColor="text1"/>
                <w:highlight w:val="none"/>
                <w14:textFill>
                  <w14:solidFill>
                    <w14:schemeClr w14:val="tx1"/>
                  </w14:solidFill>
                </w14:textFill>
              </w:rPr>
            </w:pPr>
          </w:p>
        </w:tc>
        <w:tc>
          <w:tcPr>
            <w:tcW w:w="1695" w:type="dxa"/>
            <w:vAlign w:val="center"/>
          </w:tcPr>
          <w:p w14:paraId="1ACC6FA0">
            <w:pPr>
              <w:pStyle w:val="53"/>
              <w:spacing w:before="33" w:line="360" w:lineRule="auto"/>
              <w:ind w:left="420"/>
              <w:jc w:val="center"/>
              <w:rPr>
                <w:color w:val="000000" w:themeColor="text1"/>
                <w:highlight w:val="none"/>
                <w14:textFill>
                  <w14:solidFill>
                    <w14:schemeClr w14:val="tx1"/>
                  </w14:solidFill>
                </w14:textFill>
              </w:rPr>
            </w:pPr>
          </w:p>
        </w:tc>
        <w:tc>
          <w:tcPr>
            <w:tcW w:w="2054" w:type="dxa"/>
            <w:vAlign w:val="center"/>
          </w:tcPr>
          <w:p w14:paraId="5AA8AEC2">
            <w:pPr>
              <w:pStyle w:val="53"/>
              <w:spacing w:before="33" w:line="360" w:lineRule="auto"/>
              <w:ind w:left="420"/>
              <w:jc w:val="center"/>
              <w:rPr>
                <w:color w:val="000000" w:themeColor="text1"/>
                <w:highlight w:val="none"/>
                <w14:textFill>
                  <w14:solidFill>
                    <w14:schemeClr w14:val="tx1"/>
                  </w14:solidFill>
                </w14:textFill>
              </w:rPr>
            </w:pPr>
          </w:p>
        </w:tc>
      </w:tr>
      <w:tr w14:paraId="727FE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0B2DA0C6">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p>
        </w:tc>
        <w:tc>
          <w:tcPr>
            <w:tcW w:w="3123" w:type="dxa"/>
            <w:vAlign w:val="center"/>
          </w:tcPr>
          <w:p w14:paraId="417D8831">
            <w:pPr>
              <w:pStyle w:val="53"/>
              <w:spacing w:before="38"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对招标文件的响应程度</w:t>
            </w:r>
          </w:p>
        </w:tc>
        <w:tc>
          <w:tcPr>
            <w:tcW w:w="1262" w:type="dxa"/>
            <w:vAlign w:val="center"/>
          </w:tcPr>
          <w:p w14:paraId="6E790695">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59FCD8A8">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085A5F41">
            <w:pPr>
              <w:pStyle w:val="53"/>
              <w:spacing w:before="38" w:line="360" w:lineRule="auto"/>
              <w:ind w:left="420"/>
              <w:jc w:val="center"/>
              <w:rPr>
                <w:color w:val="000000" w:themeColor="text1"/>
                <w:highlight w:val="none"/>
                <w14:textFill>
                  <w14:solidFill>
                    <w14:schemeClr w14:val="tx1"/>
                  </w14:solidFill>
                </w14:textFill>
              </w:rPr>
            </w:pPr>
          </w:p>
        </w:tc>
      </w:tr>
      <w:tr w14:paraId="106A9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21FC591A">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w:t>
            </w:r>
          </w:p>
        </w:tc>
        <w:tc>
          <w:tcPr>
            <w:tcW w:w="3123" w:type="dxa"/>
            <w:vAlign w:val="center"/>
          </w:tcPr>
          <w:p w14:paraId="708C5E95">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报价是否超过预算</w:t>
            </w:r>
          </w:p>
        </w:tc>
        <w:tc>
          <w:tcPr>
            <w:tcW w:w="1262" w:type="dxa"/>
            <w:vAlign w:val="center"/>
          </w:tcPr>
          <w:p w14:paraId="1AC00B16">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42C9574A">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130E0467">
            <w:pPr>
              <w:pStyle w:val="53"/>
              <w:spacing w:before="38" w:line="360" w:lineRule="auto"/>
              <w:ind w:left="420"/>
              <w:jc w:val="center"/>
              <w:rPr>
                <w:color w:val="000000" w:themeColor="text1"/>
                <w:highlight w:val="none"/>
                <w14:textFill>
                  <w14:solidFill>
                    <w14:schemeClr w14:val="tx1"/>
                  </w14:solidFill>
                </w14:textFill>
              </w:rPr>
            </w:pPr>
          </w:p>
        </w:tc>
      </w:tr>
      <w:tr w14:paraId="3313F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7" w:hRule="atLeast"/>
        </w:trPr>
        <w:tc>
          <w:tcPr>
            <w:tcW w:w="925" w:type="dxa"/>
            <w:vAlign w:val="center"/>
          </w:tcPr>
          <w:p w14:paraId="25A576B9">
            <w:pPr>
              <w:pStyle w:val="53"/>
              <w:spacing w:before="43"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5</w:t>
            </w:r>
          </w:p>
        </w:tc>
        <w:tc>
          <w:tcPr>
            <w:tcW w:w="3123" w:type="dxa"/>
            <w:vAlign w:val="center"/>
          </w:tcPr>
          <w:p w14:paraId="184C1400">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投标人串通投标情形审查</w:t>
            </w:r>
          </w:p>
        </w:tc>
        <w:tc>
          <w:tcPr>
            <w:tcW w:w="1262" w:type="dxa"/>
            <w:vAlign w:val="center"/>
          </w:tcPr>
          <w:p w14:paraId="62DE98AE">
            <w:pPr>
              <w:pStyle w:val="53"/>
              <w:spacing w:before="43" w:line="360" w:lineRule="auto"/>
              <w:ind w:right="311"/>
              <w:jc w:val="center"/>
              <w:rPr>
                <w:color w:val="000000" w:themeColor="text1"/>
                <w:highlight w:val="none"/>
                <w14:textFill>
                  <w14:solidFill>
                    <w14:schemeClr w14:val="tx1"/>
                  </w14:solidFill>
                </w14:textFill>
              </w:rPr>
            </w:pPr>
          </w:p>
        </w:tc>
        <w:tc>
          <w:tcPr>
            <w:tcW w:w="1695" w:type="dxa"/>
            <w:vAlign w:val="center"/>
          </w:tcPr>
          <w:p w14:paraId="4A3843FE">
            <w:pPr>
              <w:pStyle w:val="53"/>
              <w:spacing w:before="43" w:line="360" w:lineRule="auto"/>
              <w:ind w:left="420"/>
              <w:jc w:val="center"/>
              <w:rPr>
                <w:color w:val="000000" w:themeColor="text1"/>
                <w:highlight w:val="none"/>
                <w14:textFill>
                  <w14:solidFill>
                    <w14:schemeClr w14:val="tx1"/>
                  </w14:solidFill>
                </w14:textFill>
              </w:rPr>
            </w:pPr>
          </w:p>
        </w:tc>
        <w:tc>
          <w:tcPr>
            <w:tcW w:w="2054" w:type="dxa"/>
            <w:vAlign w:val="center"/>
          </w:tcPr>
          <w:p w14:paraId="46F07FFE">
            <w:pPr>
              <w:pStyle w:val="53"/>
              <w:spacing w:before="43" w:line="360" w:lineRule="auto"/>
              <w:ind w:left="420"/>
              <w:jc w:val="center"/>
              <w:rPr>
                <w:color w:val="000000" w:themeColor="text1"/>
                <w:highlight w:val="none"/>
                <w14:textFill>
                  <w14:solidFill>
                    <w14:schemeClr w14:val="tx1"/>
                  </w14:solidFill>
                </w14:textFill>
              </w:rPr>
            </w:pPr>
          </w:p>
        </w:tc>
      </w:tr>
      <w:tr w14:paraId="3082D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7B5EF6A7">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w:t>
            </w:r>
          </w:p>
        </w:tc>
        <w:tc>
          <w:tcPr>
            <w:tcW w:w="3123" w:type="dxa"/>
            <w:vAlign w:val="center"/>
          </w:tcPr>
          <w:p w14:paraId="67BD8B3F">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投标单位廉政承诺书</w:t>
            </w:r>
          </w:p>
        </w:tc>
        <w:tc>
          <w:tcPr>
            <w:tcW w:w="1262" w:type="dxa"/>
            <w:vAlign w:val="center"/>
          </w:tcPr>
          <w:p w14:paraId="36D2594B">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04C85F6A">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4BCDDB5E">
            <w:pPr>
              <w:pStyle w:val="53"/>
              <w:spacing w:before="38" w:line="360" w:lineRule="auto"/>
              <w:ind w:left="420"/>
              <w:jc w:val="center"/>
              <w:rPr>
                <w:color w:val="000000" w:themeColor="text1"/>
                <w:highlight w:val="none"/>
                <w14:textFill>
                  <w14:solidFill>
                    <w14:schemeClr w14:val="tx1"/>
                  </w14:solidFill>
                </w14:textFill>
              </w:rPr>
            </w:pPr>
          </w:p>
        </w:tc>
      </w:tr>
      <w:tr w14:paraId="6510A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39B2698B">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7</w:t>
            </w:r>
          </w:p>
        </w:tc>
        <w:tc>
          <w:tcPr>
            <w:tcW w:w="3123" w:type="dxa"/>
            <w:vAlign w:val="center"/>
          </w:tcPr>
          <w:p w14:paraId="652D43AE">
            <w:pPr>
              <w:pStyle w:val="53"/>
              <w:spacing w:before="38" w:line="360" w:lineRule="auto"/>
              <w:ind w:right="44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其它实质性偏差</w:t>
            </w:r>
          </w:p>
        </w:tc>
        <w:tc>
          <w:tcPr>
            <w:tcW w:w="1262" w:type="dxa"/>
            <w:vAlign w:val="center"/>
          </w:tcPr>
          <w:p w14:paraId="25E9982F">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530CB810">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2946895D">
            <w:pPr>
              <w:pStyle w:val="53"/>
              <w:spacing w:before="38" w:line="360" w:lineRule="auto"/>
              <w:ind w:left="420"/>
              <w:jc w:val="center"/>
              <w:rPr>
                <w:color w:val="000000" w:themeColor="text1"/>
                <w:highlight w:val="none"/>
                <w14:textFill>
                  <w14:solidFill>
                    <w14:schemeClr w14:val="tx1"/>
                  </w14:solidFill>
                </w14:textFill>
              </w:rPr>
            </w:pPr>
          </w:p>
        </w:tc>
      </w:tr>
    </w:tbl>
    <w:p w14:paraId="132052B3">
      <w:pPr>
        <w:spacing w:line="360" w:lineRule="auto"/>
        <w:ind w:firstLine="562" w:firstLineChars="200"/>
        <w:jc w:val="left"/>
        <w:outlineLvl w:val="9"/>
        <w:rPr>
          <w:rFonts w:asci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三、评标方法与定标原则</w:t>
      </w:r>
    </w:p>
    <w:p w14:paraId="1C0D4CC4">
      <w:pPr>
        <w:autoSpaceDE w:val="0"/>
        <w:autoSpaceDN w:val="0"/>
        <w:adjustRightInd w:val="0"/>
        <w:snapToGrid w:val="0"/>
        <w:spacing w:line="259" w:lineRule="auto"/>
        <w:ind w:firstLine="470" w:firstLineChars="196"/>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磋商小组将对确定为实质性响应采购文件要求的响应文件进行评价和比较，评标采用综合评分法。采用综合评分法的，</w:t>
      </w:r>
      <w:r>
        <w:rPr>
          <w:rFonts w:hint="eastAsia" w:ascii="宋体" w:hAnsi="宋体" w:cs="宋体"/>
          <w:color w:val="000000" w:themeColor="text1"/>
          <w:sz w:val="24"/>
          <w:szCs w:val="24"/>
          <w:highlight w:val="none"/>
          <w:lang w:val="zh-CN"/>
          <w14:textFill>
            <w14:solidFill>
              <w14:schemeClr w14:val="tx1"/>
            </w14:solidFill>
          </w14:textFill>
        </w:rPr>
        <w:t>在综合比较与评价后按照得分由高到低顺序对供应商进行排序。磋商小组按综合得分排名推荐3名</w:t>
      </w:r>
      <w:r>
        <w:rPr>
          <w:rFonts w:hint="eastAsia" w:ascii="宋体" w:hAnsi="宋体" w:cs="宋体"/>
          <w:color w:val="000000" w:themeColor="text1"/>
          <w:sz w:val="24"/>
          <w:szCs w:val="24"/>
          <w:highlight w:val="none"/>
          <w14:textFill>
            <w14:solidFill>
              <w14:schemeClr w14:val="tx1"/>
            </w14:solidFill>
          </w14:textFill>
        </w:rPr>
        <w:t>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w:t>
      </w:r>
      <w:r>
        <w:rPr>
          <w:rFonts w:hint="eastAsia" w:ascii="宋体" w:hAnsi="宋体" w:cs="宋体"/>
          <w:color w:val="000000" w:themeColor="text1"/>
          <w:sz w:val="24"/>
          <w:szCs w:val="24"/>
          <w:highlight w:val="none"/>
          <w:lang w:val="zh-CN"/>
          <w14:textFill>
            <w14:solidFill>
              <w14:schemeClr w14:val="tx1"/>
            </w14:solidFill>
          </w14:textFill>
        </w:rPr>
        <w:t>。得分相同的，按投标报价由低到高顺序排列。得分且报价相同的，按技术指标（</w:t>
      </w:r>
      <w:r>
        <w:rPr>
          <w:rFonts w:hint="eastAsia" w:ascii="宋体" w:hAnsi="宋体" w:cs="宋体"/>
          <w:color w:val="000000" w:themeColor="text1"/>
          <w:sz w:val="24"/>
          <w:szCs w:val="24"/>
          <w:highlight w:val="none"/>
          <w14:textFill>
            <w14:solidFill>
              <w14:schemeClr w14:val="tx1"/>
            </w14:solidFill>
          </w14:textFill>
        </w:rPr>
        <w:t>施工组织方案</w:t>
      </w:r>
      <w:r>
        <w:rPr>
          <w:rFonts w:hint="eastAsia" w:ascii="宋体" w:hAnsi="宋体" w:cs="宋体"/>
          <w:color w:val="000000" w:themeColor="text1"/>
          <w:sz w:val="24"/>
          <w:szCs w:val="24"/>
          <w:highlight w:val="none"/>
          <w:lang w:val="zh-CN"/>
          <w14:textFill>
            <w14:solidFill>
              <w14:schemeClr w14:val="tx1"/>
            </w14:solidFill>
          </w14:textFill>
        </w:rPr>
        <w:t>）优劣顺序排列。</w:t>
      </w:r>
      <w:r>
        <w:rPr>
          <w:rFonts w:hint="eastAsia" w:ascii="宋体" w:hAnsi="宋体" w:cs="宋体"/>
          <w:color w:val="000000" w:themeColor="text1"/>
          <w:sz w:val="24"/>
          <w:szCs w:val="24"/>
          <w:highlight w:val="none"/>
          <w14:textFill>
            <w14:solidFill>
              <w14:schemeClr w14:val="tx1"/>
            </w14:solidFill>
          </w14:textFill>
        </w:rPr>
        <w:t>投标文件满足招标文件全部实质性要求，且评审得分最高的投标人为排名第一的成交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供应商、得分次高的投标人为第二成交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供应商，以此类推。</w:t>
      </w:r>
    </w:p>
    <w:p w14:paraId="4C5F7AE5">
      <w:pPr>
        <w:spacing w:line="360" w:lineRule="auto"/>
        <w:ind w:firstLine="562" w:firstLineChars="200"/>
        <w:jc w:val="left"/>
        <w:outlineLvl w:val="9"/>
        <w:rPr>
          <w:rFonts w:asci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四、评标标准</w:t>
      </w:r>
    </w:p>
    <w:p w14:paraId="3C9048FC">
      <w:pPr>
        <w:spacing w:line="360" w:lineRule="auto"/>
        <w:ind w:firstLine="480" w:firstLineChars="200"/>
        <w:jc w:val="left"/>
        <w:rPr>
          <w:rFonts w:asci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本项目采用综合评分法确定成交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供应商。磋商小组将按下列评分办法和标准进行评分，总分值为</w:t>
      </w:r>
      <w:r>
        <w:rPr>
          <w:rFonts w:ascii="宋体" w:hAnsi="宋体" w:cs="宋体"/>
          <w:color w:val="000000" w:themeColor="text1"/>
          <w:sz w:val="24"/>
          <w:szCs w:val="24"/>
          <w:highlight w:val="none"/>
          <w14:textFill>
            <w14:solidFill>
              <w14:schemeClr w14:val="tx1"/>
            </w14:solidFill>
          </w14:textFill>
        </w:rPr>
        <w:t>100</w:t>
      </w:r>
      <w:r>
        <w:rPr>
          <w:rFonts w:hint="eastAsia" w:ascii="宋体" w:hAnsi="宋体" w:cs="宋体"/>
          <w:color w:val="000000" w:themeColor="text1"/>
          <w:sz w:val="24"/>
          <w:szCs w:val="24"/>
          <w:highlight w:val="none"/>
          <w14:textFill>
            <w14:solidFill>
              <w14:schemeClr w14:val="tx1"/>
            </w14:solidFill>
          </w14:textFill>
        </w:rPr>
        <w:t>分。</w:t>
      </w:r>
    </w:p>
    <w:p w14:paraId="21B93B43">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p>
    <w:p w14:paraId="5B81932D">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p>
    <w:p w14:paraId="39640567">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p>
    <w:p w14:paraId="11716FA6">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p>
    <w:p w14:paraId="6CBA86FC">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p>
    <w:p w14:paraId="6B939BFE">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p>
    <w:p w14:paraId="33A7C5DC">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评标办法</w:t>
      </w:r>
    </w:p>
    <w:tbl>
      <w:tblPr>
        <w:tblStyle w:val="2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7"/>
        <w:gridCol w:w="973"/>
        <w:gridCol w:w="6657"/>
        <w:gridCol w:w="969"/>
      </w:tblGrid>
      <w:tr w14:paraId="6048A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7" w:type="dxa"/>
            <w:vAlign w:val="center"/>
          </w:tcPr>
          <w:p w14:paraId="55EB532F">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序号</w:t>
            </w:r>
          </w:p>
        </w:tc>
        <w:tc>
          <w:tcPr>
            <w:tcW w:w="973" w:type="dxa"/>
            <w:vAlign w:val="center"/>
          </w:tcPr>
          <w:p w14:paraId="5E844A54">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评审项目</w:t>
            </w:r>
          </w:p>
        </w:tc>
        <w:tc>
          <w:tcPr>
            <w:tcW w:w="6657" w:type="dxa"/>
            <w:vAlign w:val="center"/>
          </w:tcPr>
          <w:p w14:paraId="1A5BB097">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评审标准</w:t>
            </w:r>
          </w:p>
        </w:tc>
        <w:tc>
          <w:tcPr>
            <w:tcW w:w="969" w:type="dxa"/>
            <w:vAlign w:val="center"/>
          </w:tcPr>
          <w:p w14:paraId="01FEC120">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分值</w:t>
            </w:r>
          </w:p>
        </w:tc>
      </w:tr>
      <w:tr w14:paraId="76CFD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vAlign w:val="center"/>
          </w:tcPr>
          <w:p w14:paraId="76475361">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w:t>
            </w:r>
          </w:p>
        </w:tc>
        <w:tc>
          <w:tcPr>
            <w:tcW w:w="973" w:type="dxa"/>
            <w:vAlign w:val="center"/>
          </w:tcPr>
          <w:p w14:paraId="5B548CAB">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投标报价</w:t>
            </w:r>
          </w:p>
          <w:p w14:paraId="584CA51C">
            <w:pPr>
              <w:spacing w:line="360" w:lineRule="auto"/>
              <w:jc w:val="center"/>
              <w:rPr>
                <w:rFonts w:ascii="宋体" w:hAnsi="宋体" w:cs="宋体"/>
                <w:bCs/>
                <w:color w:val="000000" w:themeColor="text1"/>
                <w:szCs w:val="21"/>
                <w:highlight w:val="none"/>
                <w14:textFill>
                  <w14:solidFill>
                    <w14:schemeClr w14:val="tx1"/>
                  </w14:solidFill>
                </w14:textFill>
              </w:rPr>
            </w:pPr>
          </w:p>
        </w:tc>
        <w:tc>
          <w:tcPr>
            <w:tcW w:w="6657" w:type="dxa"/>
            <w:tcBorders>
              <w:bottom w:val="single" w:color="auto" w:sz="4" w:space="0"/>
            </w:tcBorders>
          </w:tcPr>
          <w:p w14:paraId="08E7ADB8">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价格分采用低价优先法计算，即满足磋商文件要求且报价最低的供应商报价为评标基准价，其价格分为满分30分，其它供应商的价格分统一按照以下公式计算：投标报价得分=(评标基准价/该供应商的投标报价)*30。</w:t>
            </w:r>
          </w:p>
          <w:p w14:paraId="689B6AF5">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注：1、本项目采购方式为竞争性磋商，供应商须进行多（二）轮磋商报价，最后一轮磋商报价为评审报价。</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、如果磋商文件和磋商情况未发生实质性变动，磋商最终报价不得高于首轮报价。</w:t>
            </w:r>
          </w:p>
        </w:tc>
        <w:tc>
          <w:tcPr>
            <w:tcW w:w="969" w:type="dxa"/>
            <w:tcBorders>
              <w:bottom w:val="single" w:color="auto" w:sz="4" w:space="0"/>
            </w:tcBorders>
            <w:vAlign w:val="center"/>
          </w:tcPr>
          <w:p w14:paraId="3B2D7703">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30分</w:t>
            </w:r>
          </w:p>
        </w:tc>
      </w:tr>
      <w:tr w14:paraId="2970D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tcBorders>
              <w:top w:val="single" w:color="auto" w:sz="4" w:space="0"/>
            </w:tcBorders>
            <w:vAlign w:val="center"/>
          </w:tcPr>
          <w:p w14:paraId="2A6C0E01">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w:t>
            </w:r>
          </w:p>
        </w:tc>
        <w:tc>
          <w:tcPr>
            <w:tcW w:w="973" w:type="dxa"/>
            <w:tcBorders>
              <w:top w:val="single" w:color="auto" w:sz="4" w:space="0"/>
            </w:tcBorders>
            <w:vAlign w:val="center"/>
          </w:tcPr>
          <w:p w14:paraId="3F2419FC">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企业业绩</w:t>
            </w:r>
          </w:p>
        </w:tc>
        <w:tc>
          <w:tcPr>
            <w:tcW w:w="6657" w:type="dxa"/>
            <w:tcBorders>
              <w:top w:val="single" w:color="auto" w:sz="4" w:space="0"/>
              <w:bottom w:val="single" w:color="auto" w:sz="4" w:space="0"/>
            </w:tcBorders>
            <w:vAlign w:val="center"/>
          </w:tcPr>
          <w:p w14:paraId="064012F3">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供应商自202</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月1日（含）以来承担过类似项目业绩的得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分/个，最多得</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分。（须提供中标通知书（直接发包项目可不提供中标通知书，但须提供加盖行业主管部门签章的直接发包登记表或发包人出具的加盖单位公章的直接发包证明）、合同、竣工验收证明的复印件加盖供应商公章编入响应文件中，三者缺一不可，时间以竣工验收证明材料中的竣工验收时间为准；提供的证明材料必须反映出相关数据和内容，否则视为未提供。</w:t>
            </w:r>
            <w:r>
              <w:rPr>
                <w:rFonts w:hint="eastAsia" w:ascii="宋体" w:hAnsi="宋体" w:eastAsia="宋体" w:cs="宋体"/>
                <w:color w:val="000000" w:themeColor="text1"/>
                <w:szCs w:val="21"/>
                <w:highlight w:val="none"/>
                <w:lang w:eastAsia="zh-CN"/>
                <w14:textFill>
                  <w14:solidFill>
                    <w14:schemeClr w14:val="tx1"/>
                  </w14:solidFill>
                </w14:textFill>
              </w:rPr>
              <w:t>同一业绩，</w:t>
            </w:r>
            <w:r>
              <w:rPr>
                <w:rFonts w:hint="eastAsia" w:ascii="宋体" w:hAnsi="宋体" w:eastAsia="宋体" w:cs="宋体"/>
                <w:color w:val="000000" w:themeColor="text1"/>
                <w:szCs w:val="21"/>
                <w:highlight w:val="none"/>
                <w14:textFill>
                  <w14:solidFill>
                    <w14:schemeClr w14:val="tx1"/>
                  </w14:solidFill>
                </w14:textFill>
              </w:rPr>
              <w:t>企业业绩与项目负责人业绩不能兼得</w:t>
            </w:r>
            <w:r>
              <w:rPr>
                <w:rFonts w:hint="eastAsia" w:ascii="宋体" w:hAnsi="宋体" w:cs="宋体"/>
                <w:color w:val="000000" w:themeColor="text1"/>
                <w:szCs w:val="21"/>
                <w:highlight w:val="none"/>
                <w14:textFill>
                  <w14:solidFill>
                    <w14:schemeClr w14:val="tx1"/>
                  </w14:solidFill>
                </w14:textFill>
              </w:rPr>
              <w:t>）</w:t>
            </w:r>
          </w:p>
        </w:tc>
        <w:tc>
          <w:tcPr>
            <w:tcW w:w="969" w:type="dxa"/>
            <w:tcBorders>
              <w:top w:val="single" w:color="auto" w:sz="4" w:space="0"/>
              <w:bottom w:val="single" w:color="auto" w:sz="4" w:space="0"/>
            </w:tcBorders>
            <w:vAlign w:val="center"/>
          </w:tcPr>
          <w:p w14:paraId="62ED46D8">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6</w:t>
            </w:r>
            <w:r>
              <w:rPr>
                <w:rFonts w:hint="eastAsia" w:ascii="宋体" w:hAnsi="宋体" w:cs="宋体"/>
                <w:bCs/>
                <w:color w:val="000000" w:themeColor="text1"/>
                <w:szCs w:val="21"/>
                <w:highlight w:val="none"/>
                <w14:textFill>
                  <w14:solidFill>
                    <w14:schemeClr w14:val="tx1"/>
                  </w14:solidFill>
                </w14:textFill>
              </w:rPr>
              <w:t>分</w:t>
            </w:r>
          </w:p>
        </w:tc>
      </w:tr>
      <w:tr w14:paraId="71625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tcBorders>
              <w:top w:val="single" w:color="auto" w:sz="4" w:space="0"/>
            </w:tcBorders>
            <w:vAlign w:val="center"/>
          </w:tcPr>
          <w:p w14:paraId="7CC2A952">
            <w:pPr>
              <w:spacing w:line="360" w:lineRule="auto"/>
              <w:jc w:val="center"/>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3</w:t>
            </w:r>
          </w:p>
        </w:tc>
        <w:tc>
          <w:tcPr>
            <w:tcW w:w="973" w:type="dxa"/>
            <w:tcBorders>
              <w:top w:val="single" w:color="auto" w:sz="4" w:space="0"/>
            </w:tcBorders>
            <w:vAlign w:val="center"/>
          </w:tcPr>
          <w:p w14:paraId="74EC03B3">
            <w:pPr>
              <w:spacing w:line="360" w:lineRule="auto"/>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项目负责人</w:t>
            </w:r>
            <w:r>
              <w:rPr>
                <w:rFonts w:hint="eastAsia" w:ascii="宋体" w:hAnsi="宋体" w:cs="宋体"/>
                <w:color w:val="000000" w:themeColor="text1"/>
                <w:szCs w:val="21"/>
                <w:highlight w:val="none"/>
                <w:lang w:val="en-US" w:eastAsia="zh-CN"/>
                <w14:textFill>
                  <w14:solidFill>
                    <w14:schemeClr w14:val="tx1"/>
                  </w14:solidFill>
                </w14:textFill>
              </w:rPr>
              <w:t>业绩</w:t>
            </w:r>
          </w:p>
        </w:tc>
        <w:tc>
          <w:tcPr>
            <w:tcW w:w="6657" w:type="dxa"/>
            <w:tcBorders>
              <w:top w:val="single" w:color="auto" w:sz="4" w:space="0"/>
              <w:bottom w:val="single" w:color="auto" w:sz="4" w:space="0"/>
            </w:tcBorders>
            <w:vAlign w:val="center"/>
          </w:tcPr>
          <w:p w14:paraId="5CF0B2EB">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供应商拟派</w:t>
            </w:r>
            <w:r>
              <w:rPr>
                <w:rFonts w:hint="eastAsia" w:ascii="宋体" w:hAnsi="宋体" w:eastAsia="宋体" w:cs="宋体"/>
                <w:color w:val="000000" w:themeColor="text1"/>
                <w:szCs w:val="21"/>
                <w:highlight w:val="none"/>
                <w:lang w:val="en-US" w:eastAsia="zh-CN"/>
                <w14:textFill>
                  <w14:solidFill>
                    <w14:schemeClr w14:val="tx1"/>
                  </w14:solidFill>
                </w14:textFill>
              </w:rPr>
              <w:t>项目负责人自</w:t>
            </w:r>
            <w:r>
              <w:rPr>
                <w:rFonts w:hint="eastAsia" w:ascii="宋体" w:hAnsi="宋体" w:eastAsia="宋体" w:cs="宋体"/>
                <w:color w:val="000000" w:themeColor="text1"/>
                <w:szCs w:val="21"/>
                <w:highlight w:val="none"/>
                <w14:textFill>
                  <w14:solidFill>
                    <w14:schemeClr w14:val="tx1"/>
                  </w14:solidFill>
                </w14:textFill>
              </w:rPr>
              <w:t>202</w:t>
            </w:r>
            <w:r>
              <w:rPr>
                <w:rFonts w:hint="eastAsia" w:ascii="宋体" w:hAnsi="宋体" w:eastAsia="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eastAsia="宋体" w:cs="宋体"/>
                <w:color w:val="000000" w:themeColor="text1"/>
                <w:szCs w:val="21"/>
                <w:highlight w:val="none"/>
                <w14:textFill>
                  <w14:solidFill>
                    <w14:schemeClr w14:val="tx1"/>
                  </w14:solidFill>
                </w14:textFill>
              </w:rPr>
              <w:t>月1日（含）以来</w:t>
            </w:r>
            <w:r>
              <w:rPr>
                <w:rFonts w:hint="eastAsia" w:ascii="宋体" w:hAnsi="宋体" w:cs="宋体"/>
                <w:color w:val="000000" w:themeColor="text1"/>
                <w:szCs w:val="21"/>
                <w:highlight w:val="none"/>
                <w:lang w:eastAsia="zh-CN"/>
                <w14:textFill>
                  <w14:solidFill>
                    <w14:schemeClr w14:val="tx1"/>
                  </w14:solidFill>
                </w14:textFill>
              </w:rPr>
              <w:t>在供应商公司</w:t>
            </w:r>
            <w:r>
              <w:rPr>
                <w:rFonts w:hint="eastAsia" w:ascii="宋体" w:hAnsi="宋体" w:eastAsia="宋体" w:cs="宋体"/>
                <w:color w:val="000000" w:themeColor="text1"/>
                <w:szCs w:val="21"/>
                <w:highlight w:val="none"/>
                <w14:textFill>
                  <w14:solidFill>
                    <w14:schemeClr w14:val="tx1"/>
                  </w14:solidFill>
                </w14:textFill>
              </w:rPr>
              <w:t>承担过类似项目业绩的得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分</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最多得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分。（须提供中标通知书（直接发包项目可不提供中标通知书，但须提供加盖行业主管部门签章的直接发包登记表或发包人出具的加盖单位公章的直接发包证明）、合同、竣工验收证明的复印件加盖供应商公章编入响应文件中，三者缺一不可，时间以竣工验收证明材料中的竣工验收时间为准；提供的证明材料必须反映出相关数据和内容，否则视为未提供。</w:t>
            </w:r>
            <w:r>
              <w:rPr>
                <w:rFonts w:hint="eastAsia" w:ascii="宋体" w:hAnsi="宋体" w:eastAsia="宋体" w:cs="宋体"/>
                <w:color w:val="000000" w:themeColor="text1"/>
                <w:szCs w:val="21"/>
                <w:highlight w:val="none"/>
                <w:lang w:eastAsia="zh-CN"/>
                <w14:textFill>
                  <w14:solidFill>
                    <w14:schemeClr w14:val="tx1"/>
                  </w14:solidFill>
                </w14:textFill>
              </w:rPr>
              <w:t>同一业绩，</w:t>
            </w:r>
            <w:r>
              <w:rPr>
                <w:rFonts w:hint="eastAsia" w:ascii="宋体" w:hAnsi="宋体" w:eastAsia="宋体" w:cs="宋体"/>
                <w:color w:val="000000" w:themeColor="text1"/>
                <w:szCs w:val="21"/>
                <w:highlight w:val="none"/>
                <w14:textFill>
                  <w14:solidFill>
                    <w14:schemeClr w14:val="tx1"/>
                  </w14:solidFill>
                </w14:textFill>
              </w:rPr>
              <w:t>企业业绩与项目负责人业绩不能兼得）</w:t>
            </w:r>
          </w:p>
        </w:tc>
        <w:tc>
          <w:tcPr>
            <w:tcW w:w="969" w:type="dxa"/>
            <w:tcBorders>
              <w:top w:val="single" w:color="auto" w:sz="4" w:space="0"/>
              <w:bottom w:val="single" w:color="auto" w:sz="4" w:space="0"/>
            </w:tcBorders>
            <w:vAlign w:val="center"/>
          </w:tcPr>
          <w:p w14:paraId="182A3D20">
            <w:pPr>
              <w:spacing w:line="360" w:lineRule="auto"/>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3</w:t>
            </w:r>
            <w:r>
              <w:rPr>
                <w:rFonts w:hint="eastAsia" w:ascii="宋体" w:hAnsi="宋体" w:cs="宋体"/>
                <w:bCs/>
                <w:color w:val="000000" w:themeColor="text1"/>
                <w:szCs w:val="21"/>
                <w:highlight w:val="none"/>
                <w14:textFill>
                  <w14:solidFill>
                    <w14:schemeClr w14:val="tx1"/>
                  </w14:solidFill>
                </w14:textFill>
              </w:rPr>
              <w:t>分</w:t>
            </w:r>
          </w:p>
        </w:tc>
      </w:tr>
      <w:tr w14:paraId="3DCBC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vMerge w:val="restart"/>
            <w:tcBorders>
              <w:top w:val="single" w:color="auto" w:sz="4" w:space="0"/>
            </w:tcBorders>
            <w:vAlign w:val="center"/>
          </w:tcPr>
          <w:p w14:paraId="69204ED8">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w:t>
            </w:r>
          </w:p>
        </w:tc>
        <w:tc>
          <w:tcPr>
            <w:tcW w:w="973" w:type="dxa"/>
            <w:vMerge w:val="restart"/>
            <w:tcBorders>
              <w:top w:val="single" w:color="auto" w:sz="4" w:space="0"/>
            </w:tcBorders>
            <w:vAlign w:val="center"/>
          </w:tcPr>
          <w:p w14:paraId="3934FAFE">
            <w:pPr>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项目组成员</w:t>
            </w:r>
          </w:p>
        </w:tc>
        <w:tc>
          <w:tcPr>
            <w:tcW w:w="6657" w:type="dxa"/>
            <w:tcBorders>
              <w:top w:val="single" w:color="auto" w:sz="4" w:space="0"/>
              <w:bottom w:val="single" w:color="auto" w:sz="4" w:space="0"/>
            </w:tcBorders>
            <w:vAlign w:val="center"/>
          </w:tcPr>
          <w:p w14:paraId="61FAF193">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1、除项目负责人外，项目组成员中具有注册建造师证建筑工程二级(含)以上得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分/人，满分6分。</w:t>
            </w:r>
          </w:p>
          <w:p w14:paraId="4EAF1C68">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供应商必须提供社保机构出具投标供应商近半年</w:t>
            </w:r>
            <w:r>
              <w:rPr>
                <w:rFonts w:hint="eastAsia" w:ascii="宋体" w:hAnsi="宋体" w:cs="宋体"/>
                <w:color w:val="000000" w:themeColor="text1"/>
                <w:szCs w:val="21"/>
                <w:highlight w:val="none"/>
                <w:lang w:val="en-US"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202</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12</w:t>
            </w:r>
            <w:r>
              <w:rPr>
                <w:rFonts w:hint="eastAsia" w:ascii="宋体" w:hAnsi="宋体" w:cs="宋体"/>
                <w:color w:val="000000" w:themeColor="text1"/>
                <w:szCs w:val="21"/>
                <w:highlight w:val="none"/>
                <w14:textFill>
                  <w14:solidFill>
                    <w14:schemeClr w14:val="tx1"/>
                  </w14:solidFill>
                </w14:textFill>
              </w:rPr>
              <w:t>月-202</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val="en-US"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任意一月供应商为其缴纳的养老保险缴费证明材料并加盖社保中心章或社保中心参保缴费证明电子专用章；若属企业退休人员、现役军人等客观原因无法提供养老保险金缴费证明，退休人员必须出具退休证及劳务合同，若事业编制人员需要提供所在单位上级人事主管部门的人事证明材料，否则一律按未提供社保证明材料处理。提供注册证书复印件及社保缴纳证明复印件加盖投标供应商公章。</w:t>
            </w:r>
          </w:p>
        </w:tc>
        <w:tc>
          <w:tcPr>
            <w:tcW w:w="969" w:type="dxa"/>
            <w:tcBorders>
              <w:top w:val="single" w:color="auto" w:sz="4" w:space="0"/>
            </w:tcBorders>
            <w:vAlign w:val="center"/>
          </w:tcPr>
          <w:p w14:paraId="330519B9">
            <w:pPr>
              <w:ind w:firstLine="210" w:firstLineChars="100"/>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r>
              <w:rPr>
                <w:rFonts w:hint="eastAsia" w:ascii="宋体" w:hAnsi="宋体" w:cs="宋体"/>
                <w:bCs/>
                <w:color w:val="000000" w:themeColor="text1"/>
                <w:szCs w:val="21"/>
                <w:highlight w:val="none"/>
                <w14:textFill>
                  <w14:solidFill>
                    <w14:schemeClr w14:val="tx1"/>
                  </w14:solidFill>
                </w14:textFill>
              </w:rPr>
              <w:t>分</w:t>
            </w:r>
          </w:p>
        </w:tc>
      </w:tr>
      <w:tr w14:paraId="775A4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3" w:hRule="atLeast"/>
          <w:jc w:val="center"/>
        </w:trPr>
        <w:tc>
          <w:tcPr>
            <w:tcW w:w="687" w:type="dxa"/>
            <w:vMerge w:val="continue"/>
            <w:vAlign w:val="center"/>
          </w:tcPr>
          <w:p w14:paraId="7DF17499">
            <w:pPr>
              <w:pStyle w:val="15"/>
              <w:rPr>
                <w:rFonts w:hAnsi="宋体" w:eastAsia="宋体" w:cs="宋体"/>
                <w:color w:val="000000" w:themeColor="text1"/>
                <w:highlight w:val="none"/>
                <w14:textFill>
                  <w14:solidFill>
                    <w14:schemeClr w14:val="tx1"/>
                  </w14:solidFill>
                </w14:textFill>
              </w:rPr>
            </w:pPr>
          </w:p>
        </w:tc>
        <w:tc>
          <w:tcPr>
            <w:tcW w:w="973" w:type="dxa"/>
            <w:vMerge w:val="continue"/>
            <w:vAlign w:val="center"/>
          </w:tcPr>
          <w:p w14:paraId="76358FFA">
            <w:pPr>
              <w:pStyle w:val="15"/>
              <w:rPr>
                <w:rFonts w:hAnsi="宋体" w:eastAsia="宋体" w:cs="宋体"/>
                <w:color w:val="000000" w:themeColor="text1"/>
                <w:highlight w:val="none"/>
                <w14:textFill>
                  <w14:solidFill>
                    <w14:schemeClr w14:val="tx1"/>
                  </w14:solidFill>
                </w14:textFill>
              </w:rPr>
            </w:pPr>
          </w:p>
        </w:tc>
        <w:tc>
          <w:tcPr>
            <w:tcW w:w="6657" w:type="dxa"/>
            <w:tcBorders>
              <w:top w:val="single" w:color="auto" w:sz="4" w:space="0"/>
              <w:bottom w:val="single" w:color="auto" w:sz="4" w:space="0"/>
            </w:tcBorders>
            <w:vAlign w:val="center"/>
          </w:tcPr>
          <w:p w14:paraId="737C97AE">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、项目组成员中(含项目负责人）具有工程建设类工程师（含）及以上职称的得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分/人，满分</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分。</w:t>
            </w:r>
          </w:p>
          <w:p w14:paraId="3E3019CB">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供应商必须提供社保机构出具投标供应商近半年</w:t>
            </w:r>
            <w:r>
              <w:rPr>
                <w:rFonts w:hint="eastAsia" w:ascii="宋体" w:hAnsi="宋体" w:cs="宋体"/>
                <w:color w:val="000000" w:themeColor="text1"/>
                <w:szCs w:val="21"/>
                <w:highlight w:val="none"/>
                <w:lang w:val="en-US"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202</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12</w:t>
            </w:r>
            <w:r>
              <w:rPr>
                <w:rFonts w:hint="eastAsia" w:ascii="宋体" w:hAnsi="宋体" w:cs="宋体"/>
                <w:color w:val="000000" w:themeColor="text1"/>
                <w:szCs w:val="21"/>
                <w:highlight w:val="none"/>
                <w14:textFill>
                  <w14:solidFill>
                    <w14:schemeClr w14:val="tx1"/>
                  </w14:solidFill>
                </w14:textFill>
              </w:rPr>
              <w:t>月-202</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val="en-US"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任意一月供应商为其缴纳的养老保险缴费证明材料并加盖社保中心章或社保中心参保缴费证明电子专用章；若属企业退休人员、现役军人等客观原因无法提供养老保险金缴费证明，退休人员必须出具退休证及劳务合同，若事业编制人员需要提供所在单位上级人事主管部门的人事证明材料，否则一律按未提供社保证明材料处理。提供</w:t>
            </w:r>
            <w:r>
              <w:rPr>
                <w:rFonts w:hint="eastAsia" w:ascii="宋体" w:hAnsi="宋体" w:cs="宋体"/>
                <w:color w:val="000000" w:themeColor="text1"/>
                <w:szCs w:val="21"/>
                <w:highlight w:val="none"/>
                <w:lang w:val="en-US" w:eastAsia="zh-CN"/>
                <w14:textFill>
                  <w14:solidFill>
                    <w14:schemeClr w14:val="tx1"/>
                  </w14:solidFill>
                </w14:textFill>
              </w:rPr>
              <w:t>职称</w:t>
            </w:r>
            <w:r>
              <w:rPr>
                <w:rFonts w:hint="eastAsia" w:ascii="宋体" w:hAnsi="宋体" w:cs="宋体"/>
                <w:color w:val="000000" w:themeColor="text1"/>
                <w:szCs w:val="21"/>
                <w:highlight w:val="none"/>
                <w14:textFill>
                  <w14:solidFill>
                    <w14:schemeClr w14:val="tx1"/>
                  </w14:solidFill>
                </w14:textFill>
              </w:rPr>
              <w:t>证书复印件及社保缴纳证明复印件加盖投标供应商公章。</w:t>
            </w:r>
          </w:p>
        </w:tc>
        <w:tc>
          <w:tcPr>
            <w:tcW w:w="969" w:type="dxa"/>
            <w:vAlign w:val="center"/>
          </w:tcPr>
          <w:p w14:paraId="5A7931CB">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分</w:t>
            </w:r>
          </w:p>
        </w:tc>
      </w:tr>
      <w:tr w14:paraId="2D57A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vAlign w:val="center"/>
          </w:tcPr>
          <w:p w14:paraId="30E1EAE4">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w:t>
            </w:r>
          </w:p>
        </w:tc>
        <w:tc>
          <w:tcPr>
            <w:tcW w:w="8599" w:type="dxa"/>
            <w:gridSpan w:val="3"/>
            <w:vAlign w:val="center"/>
          </w:tcPr>
          <w:p w14:paraId="60DC4076">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施工组织方案</w:t>
            </w:r>
          </w:p>
        </w:tc>
      </w:tr>
      <w:tr w14:paraId="3AF35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87" w:type="dxa"/>
            <w:shd w:val="clear" w:color="auto" w:fill="auto"/>
            <w:vAlign w:val="center"/>
          </w:tcPr>
          <w:p w14:paraId="0ADA2AA8">
            <w:pPr>
              <w:spacing w:line="360" w:lineRule="auto"/>
              <w:jc w:val="center"/>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w:t>
            </w:r>
            <w:r>
              <w:rPr>
                <w:rFonts w:hint="eastAsia" w:ascii="宋体" w:hAnsi="宋体" w:cs="宋体"/>
                <w:b/>
                <w:color w:val="000000" w:themeColor="text1"/>
                <w:szCs w:val="21"/>
                <w:highlight w:val="none"/>
                <w:lang w:val="en-US" w:eastAsia="zh-CN"/>
                <w14:textFill>
                  <w14:solidFill>
                    <w14:schemeClr w14:val="tx1"/>
                  </w14:solidFill>
                </w14:textFill>
              </w:rPr>
              <w:t>1</w:t>
            </w:r>
          </w:p>
        </w:tc>
        <w:tc>
          <w:tcPr>
            <w:tcW w:w="973" w:type="dxa"/>
            <w:shd w:val="clear" w:color="auto" w:fill="auto"/>
            <w:vAlign w:val="center"/>
          </w:tcPr>
          <w:p w14:paraId="2B8036B3">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施工组织总体方案与技术措施</w:t>
            </w:r>
          </w:p>
        </w:tc>
        <w:tc>
          <w:tcPr>
            <w:tcW w:w="6657" w:type="dxa"/>
            <w:tcBorders>
              <w:top w:val="single" w:color="auto" w:sz="4" w:space="0"/>
              <w:bottom w:val="single" w:color="auto" w:sz="4" w:space="0"/>
            </w:tcBorders>
            <w:shd w:val="clear" w:color="auto" w:fill="auto"/>
            <w:vAlign w:val="center"/>
          </w:tcPr>
          <w:p w14:paraId="726983CF">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磋商小组根据投标人提供的施工组织总体设想、方案针对性及施工阶段划分合理性、施工方案与技术措施进行综合评审：方案措施组织科学严密、具有前瞻性、考虑周全，先进可行，得</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分；方案措施完整，思路清晰、可实施性尚可，得</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分；方案措施缺乏逻辑，简单粗糙、勉强可行，得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分；相关措施方案无针对性不可行或未提供不得分。</w:t>
            </w:r>
          </w:p>
        </w:tc>
        <w:tc>
          <w:tcPr>
            <w:tcW w:w="969" w:type="dxa"/>
            <w:tcBorders>
              <w:top w:val="single" w:color="auto" w:sz="4" w:space="0"/>
              <w:bottom w:val="single" w:color="auto" w:sz="4" w:space="0"/>
            </w:tcBorders>
            <w:shd w:val="clear" w:color="auto" w:fill="auto"/>
            <w:vAlign w:val="center"/>
          </w:tcPr>
          <w:p w14:paraId="18A70669">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9</w:t>
            </w:r>
            <w:r>
              <w:rPr>
                <w:rFonts w:hint="eastAsia" w:ascii="宋体" w:hAnsi="宋体" w:cs="宋体"/>
                <w:bCs/>
                <w:color w:val="000000" w:themeColor="text1"/>
                <w:szCs w:val="21"/>
                <w:highlight w:val="none"/>
                <w14:textFill>
                  <w14:solidFill>
                    <w14:schemeClr w14:val="tx1"/>
                  </w14:solidFill>
                </w14:textFill>
              </w:rPr>
              <w:t>分</w:t>
            </w:r>
          </w:p>
        </w:tc>
      </w:tr>
      <w:tr w14:paraId="7AFE8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87" w:type="dxa"/>
            <w:shd w:val="clear" w:color="auto" w:fill="auto"/>
            <w:vAlign w:val="center"/>
          </w:tcPr>
          <w:p w14:paraId="1EAA5E38">
            <w:pPr>
              <w:spacing w:line="360" w:lineRule="auto"/>
              <w:jc w:val="center"/>
              <w:rPr>
                <w:rFonts w:hint="default"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5.2</w:t>
            </w:r>
          </w:p>
        </w:tc>
        <w:tc>
          <w:tcPr>
            <w:tcW w:w="973" w:type="dxa"/>
            <w:shd w:val="clear" w:color="auto" w:fill="auto"/>
            <w:vAlign w:val="center"/>
          </w:tcPr>
          <w:p w14:paraId="0DEE42E4">
            <w:pPr>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施工现场平面布置和临时设施、临时道路布置</w:t>
            </w:r>
            <w:r>
              <w:rPr>
                <w:rFonts w:hint="eastAsia" w:ascii="宋体" w:hAnsi="宋体" w:eastAsia="宋体" w:cs="宋体"/>
                <w:color w:val="000000" w:themeColor="text1"/>
                <w:szCs w:val="21"/>
                <w:highlight w:val="none"/>
                <w:lang w:eastAsia="zh-CN"/>
                <w14:textFill>
                  <w14:solidFill>
                    <w14:schemeClr w14:val="tx1"/>
                  </w14:solidFill>
                </w14:textFill>
              </w:rPr>
              <w:t>方案</w:t>
            </w:r>
          </w:p>
        </w:tc>
        <w:tc>
          <w:tcPr>
            <w:tcW w:w="6657" w:type="dxa"/>
            <w:tcBorders>
              <w:top w:val="single" w:color="auto" w:sz="4" w:space="0"/>
              <w:bottom w:val="single" w:color="auto" w:sz="4" w:space="0"/>
            </w:tcBorders>
            <w:shd w:val="clear" w:color="auto" w:fill="auto"/>
            <w:vAlign w:val="center"/>
          </w:tcPr>
          <w:p w14:paraId="616C8557">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磋商小组将根据投</w:t>
            </w:r>
            <w:r>
              <w:rPr>
                <w:rFonts w:hint="eastAsia" w:ascii="宋体" w:hAnsi="宋体" w:eastAsia="宋体" w:cs="宋体"/>
                <w:color w:val="000000" w:themeColor="text1"/>
                <w:szCs w:val="21"/>
                <w:highlight w:val="none"/>
                <w14:textFill>
                  <w14:solidFill>
                    <w14:schemeClr w14:val="tx1"/>
                  </w14:solidFill>
                </w14:textFill>
              </w:rPr>
              <w:t>标人提供的施工现场平面布置和临时设施、临时道路布置</w:t>
            </w:r>
            <w:r>
              <w:rPr>
                <w:rFonts w:hint="eastAsia" w:ascii="宋体" w:hAnsi="宋体" w:eastAsia="宋体" w:cs="宋体"/>
                <w:color w:val="000000" w:themeColor="text1"/>
                <w:szCs w:val="21"/>
                <w:highlight w:val="none"/>
                <w:lang w:eastAsia="zh-CN"/>
                <w14:textFill>
                  <w14:solidFill>
                    <w14:schemeClr w14:val="tx1"/>
                  </w14:solidFill>
                </w14:textFill>
              </w:rPr>
              <w:t>方案</w:t>
            </w:r>
            <w:r>
              <w:rPr>
                <w:rFonts w:hint="eastAsia" w:ascii="宋体" w:hAnsi="宋体" w:eastAsia="宋体" w:cs="宋体"/>
                <w:color w:val="000000" w:themeColor="text1"/>
                <w:szCs w:val="21"/>
                <w:highlight w:val="none"/>
                <w14:textFill>
                  <w14:solidFill>
                    <w14:schemeClr w14:val="tx1"/>
                  </w14:solidFill>
                </w14:textFill>
              </w:rPr>
              <w:t>（包括但不限于材料堆放与仓储布置</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加工场地布置</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临时仓库</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交通组织等）进行综合评审：</w:t>
            </w:r>
            <w:r>
              <w:rPr>
                <w:rFonts w:hint="eastAsia" w:ascii="宋体" w:hAnsi="宋体" w:cs="宋体"/>
                <w:color w:val="000000" w:themeColor="text1"/>
                <w:szCs w:val="21"/>
                <w:highlight w:val="none"/>
                <w14:textFill>
                  <w14:solidFill>
                    <w14:schemeClr w14:val="tx1"/>
                  </w14:solidFill>
                </w14:textFill>
              </w:rPr>
              <w:t>方案措施组织科学严密、具有前瞻性、考虑周全，先进可行，得</w:t>
            </w:r>
            <w:r>
              <w:rPr>
                <w:rFonts w:hint="eastAsia" w:ascii="宋体" w:hAnsi="宋体" w:cs="宋体"/>
                <w:color w:val="000000" w:themeColor="text1"/>
                <w:szCs w:val="21"/>
                <w:highlight w:val="none"/>
                <w:lang w:val="en-US" w:eastAsia="zh-CN"/>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分；方案措施完整，思路清晰、可实施性尚可，得</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分；方案措施缺乏逻辑，简单粗糙、勉强可行，得</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分；相关措施方案无针对性不可行或未提供不得分。</w:t>
            </w:r>
          </w:p>
        </w:tc>
        <w:tc>
          <w:tcPr>
            <w:tcW w:w="969" w:type="dxa"/>
            <w:tcBorders>
              <w:top w:val="single" w:color="auto" w:sz="4" w:space="0"/>
              <w:bottom w:val="single" w:color="auto" w:sz="4" w:space="0"/>
            </w:tcBorders>
            <w:shd w:val="clear" w:color="auto" w:fill="auto"/>
            <w:vAlign w:val="center"/>
          </w:tcPr>
          <w:p w14:paraId="3CBA6827">
            <w:pPr>
              <w:spacing w:line="360" w:lineRule="auto"/>
              <w:jc w:val="center"/>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8分</w:t>
            </w:r>
          </w:p>
        </w:tc>
      </w:tr>
      <w:tr w14:paraId="698C7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87" w:type="dxa"/>
            <w:vAlign w:val="center"/>
          </w:tcPr>
          <w:p w14:paraId="5D6B874E">
            <w:pPr>
              <w:spacing w:line="360" w:lineRule="auto"/>
              <w:jc w:val="center"/>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w:t>
            </w:r>
            <w:r>
              <w:rPr>
                <w:rFonts w:hint="eastAsia" w:ascii="宋体" w:hAnsi="宋体" w:cs="宋体"/>
                <w:b/>
                <w:color w:val="000000" w:themeColor="text1"/>
                <w:szCs w:val="21"/>
                <w:highlight w:val="none"/>
                <w:lang w:val="en-US" w:eastAsia="zh-CN"/>
                <w14:textFill>
                  <w14:solidFill>
                    <w14:schemeClr w14:val="tx1"/>
                  </w14:solidFill>
                </w14:textFill>
              </w:rPr>
              <w:t>3</w:t>
            </w:r>
          </w:p>
        </w:tc>
        <w:tc>
          <w:tcPr>
            <w:tcW w:w="973" w:type="dxa"/>
            <w:vAlign w:val="center"/>
          </w:tcPr>
          <w:p w14:paraId="2DD6D640">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施工进度计划</w:t>
            </w:r>
            <w:r>
              <w:rPr>
                <w:rFonts w:hint="eastAsia" w:ascii="宋体" w:hAnsi="宋体" w:cs="宋体"/>
                <w:bCs/>
                <w:color w:val="000000" w:themeColor="text1"/>
                <w:szCs w:val="21"/>
                <w:highlight w:val="none"/>
                <w:lang w:eastAsia="zh-CN"/>
                <w14:textFill>
                  <w14:solidFill>
                    <w14:schemeClr w14:val="tx1"/>
                  </w14:solidFill>
                </w14:textFill>
              </w:rPr>
              <w:t>及</w:t>
            </w:r>
            <w:r>
              <w:rPr>
                <w:rFonts w:hint="eastAsia" w:ascii="宋体" w:hAnsi="宋体" w:cs="宋体"/>
                <w:bCs/>
                <w:color w:val="000000" w:themeColor="text1"/>
                <w:szCs w:val="21"/>
                <w:highlight w:val="none"/>
                <w14:textFill>
                  <w14:solidFill>
                    <w14:schemeClr w14:val="tx1"/>
                  </w14:solidFill>
                </w14:textFill>
              </w:rPr>
              <w:t>质量保障措施</w:t>
            </w:r>
          </w:p>
        </w:tc>
        <w:tc>
          <w:tcPr>
            <w:tcW w:w="6657" w:type="dxa"/>
            <w:tcBorders>
              <w:top w:val="single" w:color="auto" w:sz="4" w:space="0"/>
              <w:bottom w:val="single" w:color="auto" w:sz="4" w:space="0"/>
            </w:tcBorders>
            <w:vAlign w:val="center"/>
          </w:tcPr>
          <w:p w14:paraId="44D4B834">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磋商小组将根据投标人提供的施工进度计划保障措施（包括但不限于进度节点规划、供货安装方案等）</w:t>
            </w:r>
            <w:r>
              <w:rPr>
                <w:rFonts w:hint="eastAsia" w:ascii="宋体" w:hAnsi="宋体" w:cs="宋体"/>
                <w:color w:val="000000" w:themeColor="text1"/>
                <w:szCs w:val="21"/>
                <w:highlight w:val="none"/>
                <w:lang w:eastAsia="zh-CN"/>
                <w14:textFill>
                  <w14:solidFill>
                    <w14:schemeClr w14:val="tx1"/>
                  </w14:solidFill>
                </w14:textFill>
              </w:rPr>
              <w:t>及</w:t>
            </w:r>
            <w:r>
              <w:rPr>
                <w:rFonts w:hint="eastAsia" w:ascii="宋体" w:hAnsi="宋体" w:cs="宋体"/>
                <w:color w:val="000000" w:themeColor="text1"/>
                <w:szCs w:val="21"/>
                <w:highlight w:val="none"/>
                <w14:textFill>
                  <w14:solidFill>
                    <w14:schemeClr w14:val="tx1"/>
                  </w14:solidFill>
                </w14:textFill>
              </w:rPr>
              <w:t>各阶段进度的质量保证措施进行综合评审：进度计划节点把控精准，组织严密科学，得</w:t>
            </w:r>
            <w:r>
              <w:rPr>
                <w:rFonts w:hint="eastAsia" w:ascii="宋体" w:hAnsi="宋体" w:cs="宋体"/>
                <w:color w:val="000000" w:themeColor="text1"/>
                <w:szCs w:val="21"/>
                <w:highlight w:val="none"/>
                <w:lang w:val="en-US" w:eastAsia="zh-CN"/>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分；进度计划合理，基本满足项目工期要求，得</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分；进度计划存在瑕疵，勉强满足项目需求，得</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分；相关措施不满足工程需要或未提供不得分。</w:t>
            </w:r>
          </w:p>
        </w:tc>
        <w:tc>
          <w:tcPr>
            <w:tcW w:w="969" w:type="dxa"/>
            <w:tcBorders>
              <w:top w:val="single" w:color="auto" w:sz="4" w:space="0"/>
              <w:bottom w:val="single" w:color="auto" w:sz="4" w:space="0"/>
            </w:tcBorders>
            <w:vAlign w:val="center"/>
          </w:tcPr>
          <w:p w14:paraId="2D85039E">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8</w:t>
            </w:r>
            <w:r>
              <w:rPr>
                <w:rFonts w:hint="eastAsia" w:ascii="宋体" w:hAnsi="宋体" w:cs="宋体"/>
                <w:bCs/>
                <w:color w:val="000000" w:themeColor="text1"/>
                <w:szCs w:val="21"/>
                <w:highlight w:val="none"/>
                <w14:textFill>
                  <w14:solidFill>
                    <w14:schemeClr w14:val="tx1"/>
                  </w14:solidFill>
                </w14:textFill>
              </w:rPr>
              <w:t>分</w:t>
            </w:r>
          </w:p>
        </w:tc>
      </w:tr>
      <w:tr w14:paraId="712C1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87" w:type="dxa"/>
            <w:vAlign w:val="center"/>
          </w:tcPr>
          <w:p w14:paraId="61993CCB">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5.4</w:t>
            </w:r>
          </w:p>
        </w:tc>
        <w:tc>
          <w:tcPr>
            <w:tcW w:w="973" w:type="dxa"/>
            <w:vAlign w:val="center"/>
          </w:tcPr>
          <w:p w14:paraId="0974EBD9">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安全文明施工及环境保护措施</w:t>
            </w:r>
          </w:p>
        </w:tc>
        <w:tc>
          <w:tcPr>
            <w:tcW w:w="6657" w:type="dxa"/>
            <w:tcBorders>
              <w:top w:val="single" w:color="auto" w:sz="4" w:space="0"/>
              <w:bottom w:val="single" w:color="auto" w:sz="4" w:space="0"/>
            </w:tcBorders>
            <w:vAlign w:val="center"/>
          </w:tcPr>
          <w:p w14:paraId="239300F1">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磋商小组将根据投标人提供的安全文明施工及环境保护措施进行综合评审：保证措施中安全文明及环保意识强，措施完善，可行有力，得</w:t>
            </w:r>
            <w:r>
              <w:rPr>
                <w:rFonts w:hint="eastAsia" w:ascii="宋体" w:hAnsi="宋体" w:cs="宋体"/>
                <w:color w:val="000000" w:themeColor="text1"/>
                <w:szCs w:val="21"/>
                <w:highlight w:val="none"/>
                <w:lang w:val="en-US" w:eastAsia="zh-CN"/>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分；保证措施完整但缺乏针对性，基本满足项目需求，得</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分；保障措施有所疏漏，勉强满足项目</w:t>
            </w:r>
            <w:r>
              <w:rPr>
                <w:rFonts w:hint="eastAsia" w:ascii="宋体" w:hAnsi="宋体" w:cs="宋体"/>
                <w:color w:val="000000" w:themeColor="text1"/>
                <w:szCs w:val="21"/>
                <w:highlight w:val="none"/>
                <w:lang w:eastAsia="zh-CN"/>
                <w14:textFill>
                  <w14:solidFill>
                    <w14:schemeClr w14:val="tx1"/>
                  </w14:solidFill>
                </w14:textFill>
              </w:rPr>
              <w:t>需</w:t>
            </w:r>
            <w:r>
              <w:rPr>
                <w:rFonts w:hint="eastAsia" w:ascii="宋体" w:hAnsi="宋体" w:cs="宋体"/>
                <w:color w:val="000000" w:themeColor="text1"/>
                <w:szCs w:val="21"/>
                <w:highlight w:val="none"/>
                <w14:textFill>
                  <w14:solidFill>
                    <w14:schemeClr w14:val="tx1"/>
                  </w14:solidFill>
                </w14:textFill>
              </w:rPr>
              <w:t>求，得</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分；相关措施不满足工程需要或未提供不得分。</w:t>
            </w:r>
          </w:p>
        </w:tc>
        <w:tc>
          <w:tcPr>
            <w:tcW w:w="969" w:type="dxa"/>
            <w:tcBorders>
              <w:top w:val="single" w:color="auto" w:sz="4" w:space="0"/>
              <w:bottom w:val="single" w:color="auto" w:sz="4" w:space="0"/>
            </w:tcBorders>
            <w:vAlign w:val="center"/>
          </w:tcPr>
          <w:p w14:paraId="35FFFE83">
            <w:pPr>
              <w:tabs>
                <w:tab w:val="left" w:pos="420"/>
              </w:tabs>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8</w:t>
            </w:r>
            <w:r>
              <w:rPr>
                <w:rFonts w:hint="eastAsia" w:ascii="宋体" w:hAnsi="宋体" w:cs="宋体"/>
                <w:bCs/>
                <w:color w:val="000000" w:themeColor="text1"/>
                <w:szCs w:val="21"/>
                <w:highlight w:val="none"/>
                <w14:textFill>
                  <w14:solidFill>
                    <w14:schemeClr w14:val="tx1"/>
                  </w14:solidFill>
                </w14:textFill>
              </w:rPr>
              <w:t>分</w:t>
            </w:r>
          </w:p>
        </w:tc>
      </w:tr>
      <w:tr w14:paraId="7289F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8" w:hRule="atLeast"/>
          <w:jc w:val="center"/>
        </w:trPr>
        <w:tc>
          <w:tcPr>
            <w:tcW w:w="687" w:type="dxa"/>
            <w:vAlign w:val="center"/>
          </w:tcPr>
          <w:p w14:paraId="1C5DD231">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5.5</w:t>
            </w:r>
          </w:p>
        </w:tc>
        <w:tc>
          <w:tcPr>
            <w:tcW w:w="973" w:type="dxa"/>
            <w:vAlign w:val="center"/>
          </w:tcPr>
          <w:p w14:paraId="45432BF5">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劳动力、机械设备和材料投入计划</w:t>
            </w:r>
          </w:p>
        </w:tc>
        <w:tc>
          <w:tcPr>
            <w:tcW w:w="6657" w:type="dxa"/>
            <w:tcBorders>
              <w:top w:val="single" w:color="auto" w:sz="4" w:space="0"/>
              <w:bottom w:val="single" w:color="auto" w:sz="4" w:space="0"/>
            </w:tcBorders>
            <w:vAlign w:val="center"/>
          </w:tcPr>
          <w:p w14:paraId="26A0B902">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磋商小组根据投标人提供的劳动力、机械设备和材料投入计划进行综合评审：劳动力、机械种类丰富齐全，数量充足，材料投入计划科学严谨，循序渐进，得</w:t>
            </w:r>
            <w:r>
              <w:rPr>
                <w:rFonts w:hint="eastAsia" w:ascii="宋体" w:hAnsi="宋体" w:cs="宋体"/>
                <w:color w:val="000000" w:themeColor="text1"/>
                <w:szCs w:val="21"/>
                <w:highlight w:val="none"/>
                <w:lang w:val="en-US" w:eastAsia="zh-CN"/>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分；劳动力、机械种类全，数量尚可，材料投入计划完整，得</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分；劳动力、机械种类存在不足，数量少，材料投入计划不完整，顺序混乱，勉强满足项目需求得</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分；相关措施不满足工程需要或未提供不得分。</w:t>
            </w:r>
          </w:p>
        </w:tc>
        <w:tc>
          <w:tcPr>
            <w:tcW w:w="969" w:type="dxa"/>
            <w:tcBorders>
              <w:top w:val="single" w:color="auto" w:sz="4" w:space="0"/>
              <w:bottom w:val="single" w:color="auto" w:sz="4" w:space="0"/>
            </w:tcBorders>
            <w:vAlign w:val="center"/>
          </w:tcPr>
          <w:p w14:paraId="06A20CC3">
            <w:pPr>
              <w:tabs>
                <w:tab w:val="left" w:pos="420"/>
              </w:tabs>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8</w:t>
            </w:r>
            <w:r>
              <w:rPr>
                <w:rFonts w:hint="eastAsia" w:ascii="宋体" w:hAnsi="宋体" w:cs="宋体"/>
                <w:bCs/>
                <w:color w:val="000000" w:themeColor="text1"/>
                <w:szCs w:val="21"/>
                <w:highlight w:val="none"/>
                <w14:textFill>
                  <w14:solidFill>
                    <w14:schemeClr w14:val="tx1"/>
                  </w14:solidFill>
                </w14:textFill>
              </w:rPr>
              <w:t>分</w:t>
            </w:r>
          </w:p>
        </w:tc>
      </w:tr>
      <w:tr w14:paraId="0944D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87" w:type="dxa"/>
            <w:vAlign w:val="center"/>
          </w:tcPr>
          <w:p w14:paraId="7B56039D">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5.6</w:t>
            </w:r>
          </w:p>
        </w:tc>
        <w:tc>
          <w:tcPr>
            <w:tcW w:w="973" w:type="dxa"/>
            <w:vAlign w:val="center"/>
          </w:tcPr>
          <w:p w14:paraId="57A7C3D6">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项目实施的重点、难点和解决方案</w:t>
            </w:r>
          </w:p>
        </w:tc>
        <w:tc>
          <w:tcPr>
            <w:tcW w:w="6657" w:type="dxa"/>
            <w:tcBorders>
              <w:top w:val="single" w:color="auto" w:sz="4" w:space="0"/>
              <w:bottom w:val="single" w:color="auto" w:sz="4" w:space="0"/>
            </w:tcBorders>
            <w:vAlign w:val="center"/>
          </w:tcPr>
          <w:p w14:paraId="03231298">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磋商小组根据投标人提供的关键施工技术、工艺及工程项目实施的重点、难点和解决方案进行综合评审：重难点及关键点把握十分精准，配备解决方案科学可行，得</w:t>
            </w:r>
            <w:r>
              <w:rPr>
                <w:rFonts w:hint="eastAsia" w:ascii="宋体" w:hAnsi="宋体" w:cs="宋体"/>
                <w:color w:val="000000" w:themeColor="text1"/>
                <w:szCs w:val="21"/>
                <w:highlight w:val="none"/>
                <w:lang w:val="en-US" w:eastAsia="zh-CN"/>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分；重难点及关键点把握一般，解决方案基本符合项目需求，得</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分；重难点及关键点与项目实际存在偏离，解决方案勉强符合项目需求，得</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分；未提供相关描述或不符合招标要求的不得分。</w:t>
            </w:r>
          </w:p>
        </w:tc>
        <w:tc>
          <w:tcPr>
            <w:tcW w:w="969" w:type="dxa"/>
            <w:tcBorders>
              <w:top w:val="single" w:color="auto" w:sz="4" w:space="0"/>
              <w:bottom w:val="single" w:color="auto" w:sz="4" w:space="0"/>
            </w:tcBorders>
            <w:vAlign w:val="center"/>
          </w:tcPr>
          <w:p w14:paraId="1F231EDD">
            <w:pPr>
              <w:tabs>
                <w:tab w:val="left" w:pos="420"/>
              </w:tabs>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8</w:t>
            </w:r>
            <w:r>
              <w:rPr>
                <w:rFonts w:hint="eastAsia" w:ascii="宋体" w:hAnsi="宋体" w:cs="宋体"/>
                <w:bCs/>
                <w:color w:val="000000" w:themeColor="text1"/>
                <w:szCs w:val="21"/>
                <w:highlight w:val="none"/>
                <w14:textFill>
                  <w14:solidFill>
                    <w14:schemeClr w14:val="tx1"/>
                  </w14:solidFill>
                </w14:textFill>
              </w:rPr>
              <w:t>分</w:t>
            </w:r>
          </w:p>
        </w:tc>
      </w:tr>
    </w:tbl>
    <w:p w14:paraId="114FAC92">
      <w:pPr>
        <w:spacing w:line="320" w:lineRule="exact"/>
        <w:ind w:firstLine="361" w:firstLineChars="150"/>
        <w:rPr>
          <w:rFonts w:ascii="宋体" w:hAnsi="宋体"/>
          <w:b/>
          <w:bCs/>
          <w:color w:val="000000" w:themeColor="text1"/>
          <w:sz w:val="24"/>
          <w:szCs w:val="24"/>
          <w:highlight w:val="none"/>
          <w14:textFill>
            <w14:solidFill>
              <w14:schemeClr w14:val="tx1"/>
            </w14:solidFill>
          </w14:textFill>
        </w:rPr>
      </w:pPr>
    </w:p>
    <w:p w14:paraId="75F5E2AF">
      <w:pP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说明：</w:t>
      </w:r>
    </w:p>
    <w:p w14:paraId="53F4307C">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一、小微企业的价格扣除</w:t>
      </w:r>
    </w:p>
    <w:p w14:paraId="64B9822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对于未预留份额专门面向中小企业采购的采购项目或预留份额项目中的非预留部分采购包，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5%的价格扣除。</w:t>
      </w:r>
    </w:p>
    <w:p w14:paraId="5E5C9B3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2.价格扣除比例或者价格分加分比例对小型企业和微型企业同等对待，不作区分。</w:t>
      </w:r>
    </w:p>
    <w:p w14:paraId="23B87842">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二、监狱和戒毒企业的价格扣除</w:t>
      </w:r>
    </w:p>
    <w:p w14:paraId="5E23A692">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1.本项目对监狱和戒毒企业（简称监狱企业）视同小型、微型企业，享受相同的价格扣除优惠政策。</w:t>
      </w:r>
    </w:p>
    <w:p w14:paraId="65EBE52C">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2.监狱企业需提供由省级以上监狱管理局、戒毒管理局（含新疆生产建设兵团）出具的属于监狱企业的证明文件。</w:t>
      </w:r>
    </w:p>
    <w:p w14:paraId="3D6BFE0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3.监狱企业标准请参照《关于政府采购支持监狱企业发展有关问题的通知》（财库〔2014〕68号）。</w:t>
      </w:r>
    </w:p>
    <w:p w14:paraId="098D36FF">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三、残疾人福利性单位的价格扣除</w:t>
      </w:r>
    </w:p>
    <w:p w14:paraId="5A91759A">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1.本项目对残疾人福利性单位视同小型、微型企业，享受相同的价格扣除优惠政策。</w:t>
      </w:r>
    </w:p>
    <w:p w14:paraId="775668E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2.残疾人福利性单位需按照采购文件的要求提供《残疾人福利性单位声明函》。</w:t>
      </w:r>
    </w:p>
    <w:p w14:paraId="6B7433E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3.残疾人福利性单位标准请参照《关于促进残疾人就业政府采购政策的通知》（财库〔2017〕141号）。</w:t>
      </w:r>
    </w:p>
    <w:p w14:paraId="1ABA2B06">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四、监狱企业、残疾人福利性单位属于小型、微型企业的，不重复享受政策。</w:t>
      </w:r>
    </w:p>
    <w:p w14:paraId="191875CF">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五、除评分标准中另有说明外，所有认证、证明和业绩均以有效的证明文件的复印件为依据。</w:t>
      </w:r>
    </w:p>
    <w:p w14:paraId="3F8D633F">
      <w:pPr>
        <w:tabs>
          <w:tab w:val="left" w:pos="1050"/>
        </w:tabs>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zh-CN"/>
          <w14:textFill>
            <w14:solidFill>
              <w14:schemeClr w14:val="tx1"/>
            </w14:solidFill>
          </w14:textFill>
        </w:rPr>
        <w:br w:type="page"/>
      </w:r>
      <w:bookmarkStart w:id="33" w:name="_Toc515310945"/>
    </w:p>
    <w:p w14:paraId="30E967C8">
      <w:pPr>
        <w:numPr>
          <w:ilvl w:val="0"/>
          <w:numId w:val="2"/>
        </w:numPr>
        <w:spacing w:line="360" w:lineRule="auto"/>
        <w:jc w:val="center"/>
        <w:outlineLvl w:val="0"/>
        <w:rPr>
          <w:rFonts w:hint="eastAsia" w:ascii="宋体" w:hAnsi="宋体" w:cs="宋体"/>
          <w:b/>
          <w:color w:val="000000" w:themeColor="text1"/>
          <w:sz w:val="36"/>
          <w:szCs w:val="36"/>
          <w:highlight w:val="none"/>
          <w14:textFill>
            <w14:solidFill>
              <w14:schemeClr w14:val="tx1"/>
            </w14:solidFill>
          </w14:textFill>
        </w:rPr>
      </w:pPr>
      <w:bookmarkStart w:id="34" w:name="_Toc17825"/>
      <w:r>
        <w:rPr>
          <w:rFonts w:hint="eastAsia" w:ascii="宋体" w:hAnsi="宋体" w:cs="宋体"/>
          <w:b/>
          <w:color w:val="000000" w:themeColor="text1"/>
          <w:sz w:val="36"/>
          <w:szCs w:val="36"/>
          <w:highlight w:val="none"/>
          <w14:textFill>
            <w14:solidFill>
              <w14:schemeClr w14:val="tx1"/>
            </w14:solidFill>
          </w14:textFill>
        </w:rPr>
        <w:t>采购项目的技术规格</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b/>
          <w:color w:val="000000" w:themeColor="text1"/>
          <w:sz w:val="36"/>
          <w:szCs w:val="36"/>
          <w:highlight w:val="none"/>
          <w14:textFill>
            <w14:solidFill>
              <w14:schemeClr w14:val="tx1"/>
            </w14:solidFill>
          </w14:textFill>
        </w:rPr>
        <w:t>要求和数量等</w:t>
      </w:r>
      <w:bookmarkEnd w:id="34"/>
    </w:p>
    <w:p w14:paraId="411EC7A1">
      <w:pPr>
        <w:numPr>
          <w:ilvl w:val="0"/>
          <w:numId w:val="0"/>
        </w:numPr>
        <w:spacing w:line="360" w:lineRule="auto"/>
        <w:ind w:left="0" w:leftChars="0" w:firstLine="361" w:firstLineChars="100"/>
        <w:jc w:val="center"/>
        <w:outlineLvl w:val="0"/>
        <w:rPr>
          <w:rFonts w:hint="eastAsia" w:ascii="宋体" w:hAnsi="宋体" w:cs="宋体"/>
          <w:b/>
          <w:color w:val="000000" w:themeColor="text1"/>
          <w:sz w:val="36"/>
          <w:szCs w:val="36"/>
          <w:highlight w:val="none"/>
          <w:lang w:val="zh-CN"/>
          <w14:textFill>
            <w14:solidFill>
              <w14:schemeClr w14:val="tx1"/>
            </w14:solidFill>
          </w14:textFill>
        </w:rPr>
      </w:pPr>
      <w:bookmarkStart w:id="35" w:name="_Toc26064"/>
      <w:r>
        <w:rPr>
          <w:rFonts w:hint="eastAsia" w:ascii="宋体" w:hAnsi="宋体" w:cs="宋体"/>
          <w:b/>
          <w:color w:val="000000" w:themeColor="text1"/>
          <w:sz w:val="36"/>
          <w:szCs w:val="36"/>
          <w:highlight w:val="none"/>
          <w:lang w:val="zh-CN"/>
          <w14:textFill>
            <w14:solidFill>
              <w14:schemeClr w14:val="tx1"/>
            </w14:solidFill>
          </w14:textFill>
        </w:rPr>
        <w:t>（第一部分：技术部分）</w:t>
      </w:r>
      <w:bookmarkEnd w:id="35"/>
    </w:p>
    <w:p w14:paraId="102E1077">
      <w:pPr>
        <w:spacing w:line="360" w:lineRule="auto"/>
        <w:ind w:firstLine="482"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eastAsia="zh-CN"/>
          <w14:textFill>
            <w14:solidFill>
              <w14:schemeClr w14:val="tx1"/>
            </w14:solidFill>
          </w14:textFill>
        </w:rPr>
        <w:t>一</w:t>
      </w:r>
      <w:r>
        <w:rPr>
          <w:rFonts w:hint="eastAsia" w:ascii="宋体" w:hAnsi="宋体"/>
          <w:b/>
          <w:color w:val="000000" w:themeColor="text1"/>
          <w:sz w:val="24"/>
          <w:szCs w:val="24"/>
          <w:highlight w:val="none"/>
          <w14:textFill>
            <w14:solidFill>
              <w14:schemeClr w14:val="tx1"/>
            </w14:solidFill>
          </w14:textFill>
        </w:rPr>
        <w:t>、招标范围：</w:t>
      </w:r>
      <w:r>
        <w:rPr>
          <w:rFonts w:hint="eastAsia" w:ascii="宋体" w:hAnsi="宋体" w:cs="宋体"/>
          <w:color w:val="000000" w:themeColor="text1"/>
          <w:sz w:val="24"/>
          <w:szCs w:val="24"/>
          <w:highlight w:val="none"/>
          <w14:textFill>
            <w14:solidFill>
              <w14:schemeClr w14:val="tx1"/>
            </w14:solidFill>
          </w14:textFill>
        </w:rPr>
        <w:t>江宁校区一食堂三层包间2、3、5、6、7、8、9、10、11、12共十个包间以及走道、烹饪间和后场卫生间以及更衣室的装修项目，主要内容包括地面、墙面、顶面的装饰装修以及桌子、座椅、消毒柜、灯具、门牌等设备设施的更换，门的出新等，具体详见采购需求、招标工程量清单及图纸</w:t>
      </w:r>
    </w:p>
    <w:p w14:paraId="5480EB30">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工程量清单、说明及图纸另附。</w:t>
      </w:r>
    </w:p>
    <w:p w14:paraId="0E79C53C">
      <w:pPr>
        <w:widowControl/>
        <w:spacing w:line="360" w:lineRule="auto"/>
        <w:ind w:firstLine="482" w:firstLineChars="200"/>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eastAsia="zh-CN"/>
          <w14:textFill>
            <w14:solidFill>
              <w14:schemeClr w14:val="tx1"/>
            </w14:solidFill>
          </w14:textFill>
        </w:rPr>
        <w:t>二</w:t>
      </w:r>
      <w:r>
        <w:rPr>
          <w:rFonts w:hint="eastAsia" w:ascii="宋体" w:hAnsi="宋体"/>
          <w:b/>
          <w:color w:val="000000" w:themeColor="text1"/>
          <w:sz w:val="24"/>
          <w:szCs w:val="24"/>
          <w:highlight w:val="none"/>
          <w14:textFill>
            <w14:solidFill>
              <w14:schemeClr w14:val="tx1"/>
            </w14:solidFill>
          </w14:textFill>
        </w:rPr>
        <w:t>、施工地点：</w:t>
      </w:r>
      <w:r>
        <w:rPr>
          <w:rFonts w:hint="eastAsia" w:ascii="宋体" w:hAnsi="宋体"/>
          <w:bCs/>
          <w:color w:val="000000" w:themeColor="text1"/>
          <w:sz w:val="24"/>
          <w:szCs w:val="24"/>
          <w:highlight w:val="none"/>
          <w14:textFill>
            <w14:solidFill>
              <w14:schemeClr w14:val="tx1"/>
            </w14:solidFill>
          </w14:textFill>
        </w:rPr>
        <w:t>中国药科大学江宁校区</w:t>
      </w:r>
    </w:p>
    <w:p w14:paraId="5EBB2592">
      <w:pPr>
        <w:spacing w:line="360" w:lineRule="auto"/>
        <w:ind w:firstLine="482"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eastAsia="zh-CN"/>
          <w14:textFill>
            <w14:solidFill>
              <w14:schemeClr w14:val="tx1"/>
            </w14:solidFill>
          </w14:textFill>
        </w:rPr>
        <w:t>三</w:t>
      </w:r>
      <w:r>
        <w:rPr>
          <w:rFonts w:hint="eastAsia" w:ascii="宋体" w:hAnsi="宋体"/>
          <w:b/>
          <w:color w:val="000000" w:themeColor="text1"/>
          <w:sz w:val="24"/>
          <w:szCs w:val="24"/>
          <w:highlight w:val="none"/>
          <w14:textFill>
            <w14:solidFill>
              <w14:schemeClr w14:val="tx1"/>
            </w14:solidFill>
          </w14:textFill>
        </w:rPr>
        <w:t>、工程质量：</w:t>
      </w:r>
      <w:r>
        <w:rPr>
          <w:rFonts w:hint="eastAsia" w:ascii="宋体" w:hAnsi="宋体" w:cs="宋体"/>
          <w:color w:val="000000" w:themeColor="text1"/>
          <w:sz w:val="24"/>
          <w:szCs w:val="24"/>
          <w:highlight w:val="none"/>
          <w14:textFill>
            <w14:solidFill>
              <w14:schemeClr w14:val="tx1"/>
            </w14:solidFill>
          </w14:textFill>
        </w:rPr>
        <w:t>符合国家现行质量验收标准及采购</w:t>
      </w:r>
      <w:r>
        <w:rPr>
          <w:rFonts w:ascii="宋体" w:hAnsi="宋体" w:cs="宋体"/>
          <w:color w:val="000000" w:themeColor="text1"/>
          <w:sz w:val="24"/>
          <w:szCs w:val="24"/>
          <w:highlight w:val="none"/>
          <w14:textFill>
            <w14:solidFill>
              <w14:schemeClr w14:val="tx1"/>
            </w14:solidFill>
          </w14:textFill>
        </w:rPr>
        <w:t>人要求</w:t>
      </w:r>
      <w:r>
        <w:rPr>
          <w:rFonts w:hint="eastAsia" w:ascii="宋体" w:hAnsi="宋体" w:cs="宋体"/>
          <w:color w:val="000000" w:themeColor="text1"/>
          <w:sz w:val="24"/>
          <w:szCs w:val="24"/>
          <w:highlight w:val="none"/>
          <w14:textFill>
            <w14:solidFill>
              <w14:schemeClr w14:val="tx1"/>
            </w14:solidFill>
          </w14:textFill>
        </w:rPr>
        <w:t>。</w:t>
      </w:r>
    </w:p>
    <w:p w14:paraId="766C4E1C">
      <w:pPr>
        <w:spacing w:line="360" w:lineRule="auto"/>
        <w:ind w:firstLine="482" w:firstLineChars="200"/>
        <w:jc w:val="left"/>
        <w:rPr>
          <w:rFonts w:ascii="宋体" w:hAnsi="宋体" w:cs="宋体"/>
          <w:b/>
          <w:bCs/>
          <w:color w:val="000000" w:themeColor="text1"/>
          <w:sz w:val="24"/>
          <w:szCs w:val="22"/>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eastAsia="zh-CN"/>
          <w14:textFill>
            <w14:solidFill>
              <w14:schemeClr w14:val="tx1"/>
            </w14:solidFill>
          </w14:textFill>
        </w:rPr>
        <w:t>四</w:t>
      </w:r>
      <w:r>
        <w:rPr>
          <w:rFonts w:hint="eastAsia" w:ascii="宋体" w:hAnsi="宋体" w:cs="宋体"/>
          <w:b/>
          <w:bCs/>
          <w:color w:val="000000" w:themeColor="text1"/>
          <w:sz w:val="24"/>
          <w:szCs w:val="22"/>
          <w:highlight w:val="none"/>
          <w14:textFill>
            <w14:solidFill>
              <w14:schemeClr w14:val="tx1"/>
            </w14:solidFill>
          </w14:textFill>
        </w:rPr>
        <w:t>、相关要求：</w:t>
      </w:r>
    </w:p>
    <w:p w14:paraId="329E680C">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（一）招标文件是合同不可分割的一部分，参与投标即视为对本招标文件全部要求的接受；</w:t>
      </w:r>
    </w:p>
    <w:p w14:paraId="5AD62D95">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（二）供应商务必认真阅读本招标文件，严格遵照招标文件内容投标；</w:t>
      </w:r>
    </w:p>
    <w:p w14:paraId="27E6A7E6">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（三）供应商应确保投标文件中提供的所有材料真实、合法；</w:t>
      </w:r>
    </w:p>
    <w:p w14:paraId="4178F814">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（四）供应商应加强施工人员的安全教育与管理，施工期内发生安全问题，所有责任由供应商承担；</w:t>
      </w:r>
    </w:p>
    <w:bookmarkEnd w:id="33"/>
    <w:p w14:paraId="51AFFA0F">
      <w:pPr>
        <w:spacing w:line="360" w:lineRule="auto"/>
        <w:ind w:firstLine="482"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eastAsia="zh-CN"/>
          <w14:textFill>
            <w14:solidFill>
              <w14:schemeClr w14:val="tx1"/>
            </w14:solidFill>
          </w14:textFill>
        </w:rPr>
        <w:t>五</w:t>
      </w:r>
      <w:r>
        <w:rPr>
          <w:rFonts w:hint="eastAsia" w:ascii="宋体" w:hAnsi="宋体" w:cs="宋体"/>
          <w:b/>
          <w:bCs/>
          <w:color w:val="000000" w:themeColor="text1"/>
          <w:kern w:val="0"/>
          <w:sz w:val="24"/>
          <w:szCs w:val="24"/>
          <w:highlight w:val="none"/>
          <w14:textFill>
            <w14:solidFill>
              <w14:schemeClr w14:val="tx1"/>
            </w14:solidFill>
          </w14:textFill>
        </w:rPr>
        <w:t>、安装调试要求和验收要求：</w:t>
      </w:r>
      <w:r>
        <w:rPr>
          <w:rFonts w:hint="eastAsia" w:ascii="宋体" w:hAnsi="宋体" w:cs="宋体"/>
          <w:color w:val="000000" w:themeColor="text1"/>
          <w:kern w:val="0"/>
          <w:sz w:val="24"/>
          <w:szCs w:val="24"/>
          <w:highlight w:val="none"/>
          <w14:textFill>
            <w14:solidFill>
              <w14:schemeClr w14:val="tx1"/>
            </w14:solidFill>
          </w14:textFill>
        </w:rPr>
        <w:t>要求无污染，做好施工安全保护，不破坏下水道及周边设施，做好保护，如破坏需免费按标准更新，验收符合国家相关验收标准和规定。</w:t>
      </w:r>
    </w:p>
    <w:p w14:paraId="2BD33AA2">
      <w:pPr>
        <w:widowControl/>
        <w:spacing w:line="360" w:lineRule="auto"/>
        <w:ind w:firstLine="482" w:firstLineChars="200"/>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eastAsia="zh-CN"/>
          <w14:textFill>
            <w14:solidFill>
              <w14:schemeClr w14:val="tx1"/>
            </w14:solidFill>
          </w14:textFill>
        </w:rPr>
        <w:t>六</w:t>
      </w:r>
      <w:r>
        <w:rPr>
          <w:rFonts w:hint="eastAsia" w:ascii="宋体" w:hAnsi="宋体"/>
          <w:b/>
          <w:color w:val="000000" w:themeColor="text1"/>
          <w:sz w:val="24"/>
          <w:szCs w:val="24"/>
          <w:highlight w:val="none"/>
          <w14:textFill>
            <w14:solidFill>
              <w14:schemeClr w14:val="tx1"/>
            </w14:solidFill>
          </w14:textFill>
        </w:rPr>
        <w:t>、主要设备、材料参考品牌</w:t>
      </w:r>
    </w:p>
    <w:p w14:paraId="5FF32B63">
      <w:pPr>
        <w:spacing w:line="360" w:lineRule="auto"/>
        <w:ind w:right="-109" w:rightChars="-52" w:firstLine="480" w:firstLineChars="200"/>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在报价时所用主材应不低于或相当于下表中所列的品牌，并在投标时明确。如响应文件中未按要求填报，采购人有权在施工过程中要求供应商使用下表中的任一品牌，供应商不得拒绝。工程中所用材料必须符合国家质量验收标准</w:t>
      </w:r>
      <w:r>
        <w:rPr>
          <w:rFonts w:hint="eastAsia" w:ascii="宋体" w:hAnsi="宋体" w:cs="宋体"/>
          <w:color w:val="000000" w:themeColor="text1"/>
          <w:sz w:val="24"/>
          <w:szCs w:val="24"/>
          <w:highlight w:val="none"/>
          <w14:textFill>
            <w14:solidFill>
              <w14:schemeClr w14:val="tx1"/>
            </w14:solidFill>
          </w14:textFill>
        </w:rPr>
        <w:t>。</w:t>
      </w:r>
    </w:p>
    <w:tbl>
      <w:tblPr>
        <w:tblStyle w:val="28"/>
        <w:tblW w:w="48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
        <w:gridCol w:w="1969"/>
        <w:gridCol w:w="2387"/>
        <w:gridCol w:w="2815"/>
        <w:gridCol w:w="875"/>
      </w:tblGrid>
      <w:tr w14:paraId="2CB80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5000" w:type="pct"/>
            <w:gridSpan w:val="5"/>
            <w:noWrap/>
            <w:vAlign w:val="center"/>
          </w:tcPr>
          <w:p w14:paraId="74F22440">
            <w:pPr>
              <w:ind w:left="420"/>
              <w:jc w:val="center"/>
              <w:rPr>
                <w:rFonts w:hint="eastAsia" w:ascii="仿宋" w:hAnsi="仿宋" w:eastAsia="仿宋" w:cs="宋体"/>
                <w:color w:val="000000" w:themeColor="text1"/>
                <w:szCs w:val="21"/>
                <w14:textFill>
                  <w14:solidFill>
                    <w14:schemeClr w14:val="tx1"/>
                  </w14:solidFill>
                </w14:textFill>
              </w:rPr>
            </w:pPr>
            <w:r>
              <w:rPr>
                <w:rFonts w:hint="eastAsia" w:ascii="仿宋" w:hAnsi="仿宋" w:eastAsia="仿宋" w:cs="宋体"/>
                <w:b/>
                <w:bCs/>
                <w:color w:val="000000"/>
                <w:sz w:val="28"/>
                <w:szCs w:val="28"/>
              </w:rPr>
              <w:t>主要材料推荐品牌表</w:t>
            </w:r>
          </w:p>
        </w:tc>
      </w:tr>
      <w:tr w14:paraId="31FC5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5000" w:type="pct"/>
            <w:gridSpan w:val="5"/>
            <w:noWrap/>
            <w:vAlign w:val="center"/>
          </w:tcPr>
          <w:p w14:paraId="0C3FF2FF">
            <w:pPr>
              <w:ind w:left="420"/>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给排水（消防）工程</w:t>
            </w:r>
          </w:p>
        </w:tc>
      </w:tr>
      <w:tr w14:paraId="68F40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vAlign w:val="center"/>
          </w:tcPr>
          <w:p w14:paraId="16D2A814">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vAlign w:val="center"/>
          </w:tcPr>
          <w:p w14:paraId="1E5C45CF">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水龙头及</w:t>
            </w:r>
            <w:r>
              <w:rPr>
                <w:rFonts w:hint="eastAsia" w:ascii="仿宋" w:hAnsi="仿宋" w:eastAsia="仿宋" w:cs="宋体"/>
                <w:color w:val="000000" w:themeColor="text1"/>
                <w:szCs w:val="21"/>
                <w:lang w:eastAsia="zh-CN"/>
                <w14:textFill>
                  <w14:solidFill>
                    <w14:schemeClr w14:val="tx1"/>
                  </w14:solidFill>
                </w14:textFill>
              </w:rPr>
              <w:t>洁具</w:t>
            </w:r>
          </w:p>
        </w:tc>
        <w:tc>
          <w:tcPr>
            <w:tcW w:w="1337" w:type="pct"/>
            <w:noWrap/>
            <w:vAlign w:val="center"/>
          </w:tcPr>
          <w:p w14:paraId="53C304D3">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vAlign w:val="center"/>
          </w:tcPr>
          <w:p w14:paraId="682425F4">
            <w:pPr>
              <w:jc w:val="both"/>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箭牌、恒洁、九牧或同档</w:t>
            </w:r>
          </w:p>
        </w:tc>
        <w:tc>
          <w:tcPr>
            <w:tcW w:w="490" w:type="pct"/>
            <w:noWrap/>
            <w:vAlign w:val="center"/>
          </w:tcPr>
          <w:p w14:paraId="70B741FE">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成套，含感应器</w:t>
            </w:r>
          </w:p>
        </w:tc>
      </w:tr>
      <w:tr w14:paraId="164AF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vAlign w:val="center"/>
          </w:tcPr>
          <w:p w14:paraId="6D2C14F2">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vAlign w:val="center"/>
          </w:tcPr>
          <w:p w14:paraId="00A1AD8C">
            <w:pPr>
              <w:widowControl/>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镀锌钢管</w:t>
            </w:r>
          </w:p>
        </w:tc>
        <w:tc>
          <w:tcPr>
            <w:tcW w:w="1337" w:type="pct"/>
            <w:noWrap/>
            <w:vAlign w:val="center"/>
          </w:tcPr>
          <w:p w14:paraId="40EB30BF">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vAlign w:val="center"/>
          </w:tcPr>
          <w:p w14:paraId="15609336">
            <w:pPr>
              <w:widowControl/>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友发、湖光、金州或同档</w:t>
            </w:r>
          </w:p>
        </w:tc>
        <w:tc>
          <w:tcPr>
            <w:tcW w:w="490" w:type="pct"/>
            <w:noWrap/>
            <w:vAlign w:val="center"/>
          </w:tcPr>
          <w:p w14:paraId="0AF02CAC">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2C1DC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vAlign w:val="center"/>
          </w:tcPr>
          <w:p w14:paraId="7888975C">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vAlign w:val="center"/>
          </w:tcPr>
          <w:p w14:paraId="02350D71">
            <w:pPr>
              <w:widowControl/>
              <w:ind w:firstLine="480"/>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阀门</w:t>
            </w:r>
          </w:p>
        </w:tc>
        <w:tc>
          <w:tcPr>
            <w:tcW w:w="1337" w:type="pct"/>
            <w:noWrap/>
            <w:vAlign w:val="center"/>
          </w:tcPr>
          <w:p w14:paraId="085B9139">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vAlign w:val="center"/>
          </w:tcPr>
          <w:p w14:paraId="7DDCDF0B">
            <w:pPr>
              <w:widowControl/>
              <w:jc w:val="both"/>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塘沽、艺创、花山、沪工、连城或同档</w:t>
            </w:r>
          </w:p>
        </w:tc>
        <w:tc>
          <w:tcPr>
            <w:tcW w:w="490" w:type="pct"/>
            <w:noWrap/>
            <w:vAlign w:val="center"/>
          </w:tcPr>
          <w:p w14:paraId="3EB90528">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29347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vAlign w:val="center"/>
          </w:tcPr>
          <w:p w14:paraId="3EA95B53">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vAlign w:val="center"/>
          </w:tcPr>
          <w:p w14:paraId="707DEB16">
            <w:pPr>
              <w:widowControl/>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UPVC 塑料管</w:t>
            </w:r>
          </w:p>
          <w:p w14:paraId="23CF81CD">
            <w:pPr>
              <w:jc w:val="center"/>
              <w:rPr>
                <w:rFonts w:ascii="仿宋" w:hAnsi="仿宋" w:eastAsia="仿宋" w:cs="宋体"/>
                <w:color w:val="000000" w:themeColor="text1"/>
                <w:szCs w:val="21"/>
                <w14:textFill>
                  <w14:solidFill>
                    <w14:schemeClr w14:val="tx1"/>
                  </w14:solidFill>
                </w14:textFill>
              </w:rPr>
            </w:pPr>
          </w:p>
        </w:tc>
        <w:tc>
          <w:tcPr>
            <w:tcW w:w="1337" w:type="pct"/>
            <w:noWrap/>
            <w:vAlign w:val="center"/>
          </w:tcPr>
          <w:p w14:paraId="6ABF6E8B">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vAlign w:val="center"/>
          </w:tcPr>
          <w:p w14:paraId="42AA27D2">
            <w:pPr>
              <w:widowControl/>
              <w:jc w:val="both"/>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联塑、伟星、中财、金牛、公元或同档</w:t>
            </w:r>
          </w:p>
        </w:tc>
        <w:tc>
          <w:tcPr>
            <w:tcW w:w="490" w:type="pct"/>
            <w:noWrap/>
            <w:vAlign w:val="center"/>
          </w:tcPr>
          <w:p w14:paraId="6091FCBF">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04332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vAlign w:val="center"/>
          </w:tcPr>
          <w:p w14:paraId="1B25C6BA">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vAlign w:val="center"/>
          </w:tcPr>
          <w:p w14:paraId="5B66980B">
            <w:pPr>
              <w:widowControl/>
              <w:ind w:firstLine="480"/>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PPR 管</w:t>
            </w:r>
          </w:p>
        </w:tc>
        <w:tc>
          <w:tcPr>
            <w:tcW w:w="1337" w:type="pct"/>
            <w:noWrap/>
            <w:vAlign w:val="center"/>
          </w:tcPr>
          <w:p w14:paraId="543C9B4C">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vAlign w:val="center"/>
          </w:tcPr>
          <w:p w14:paraId="39E63E29">
            <w:pPr>
              <w:widowControl/>
              <w:jc w:val="both"/>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联塑、伟星、中财、金牛、公元或同档</w:t>
            </w:r>
          </w:p>
        </w:tc>
        <w:tc>
          <w:tcPr>
            <w:tcW w:w="490" w:type="pct"/>
            <w:noWrap/>
            <w:vAlign w:val="center"/>
          </w:tcPr>
          <w:p w14:paraId="5A422118">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21565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5000" w:type="pct"/>
            <w:gridSpan w:val="5"/>
            <w:noWrap/>
            <w:vAlign w:val="center"/>
          </w:tcPr>
          <w:p w14:paraId="3F509D39">
            <w:pPr>
              <w:ind w:left="420"/>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土建</w:t>
            </w:r>
          </w:p>
        </w:tc>
      </w:tr>
      <w:tr w14:paraId="32BD8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tcPr>
          <w:p w14:paraId="575788DE">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tcPr>
          <w:p w14:paraId="278D94E1">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钢质门</w:t>
            </w:r>
          </w:p>
        </w:tc>
        <w:tc>
          <w:tcPr>
            <w:tcW w:w="1337" w:type="pct"/>
            <w:noWrap/>
            <w:vAlign w:val="center"/>
          </w:tcPr>
          <w:p w14:paraId="25A97340">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tcPr>
          <w:p w14:paraId="5CFA0575">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美心、富新、新多、盼盼或同档</w:t>
            </w:r>
          </w:p>
        </w:tc>
        <w:tc>
          <w:tcPr>
            <w:tcW w:w="490" w:type="pct"/>
            <w:noWrap/>
          </w:tcPr>
          <w:p w14:paraId="40B704F6">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14B60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tcPr>
          <w:p w14:paraId="31E9DF82">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tcPr>
          <w:p w14:paraId="6858CCFA">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木夹板门</w:t>
            </w:r>
          </w:p>
        </w:tc>
        <w:tc>
          <w:tcPr>
            <w:tcW w:w="1337" w:type="pct"/>
            <w:noWrap/>
            <w:vAlign w:val="center"/>
          </w:tcPr>
          <w:p w14:paraId="7BBF610F">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tcPr>
          <w:p w14:paraId="3F84DD88">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美心、富新、戴胜、新多、盼盼或同档</w:t>
            </w:r>
          </w:p>
        </w:tc>
        <w:tc>
          <w:tcPr>
            <w:tcW w:w="490" w:type="pct"/>
            <w:noWrap/>
          </w:tcPr>
          <w:p w14:paraId="557A40DF">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071EC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tcPr>
          <w:p w14:paraId="621F80FA">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tcPr>
          <w:p w14:paraId="1FC405DD">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铝合金门窗（型材）</w:t>
            </w:r>
          </w:p>
        </w:tc>
        <w:tc>
          <w:tcPr>
            <w:tcW w:w="1337" w:type="pct"/>
            <w:noWrap/>
            <w:vAlign w:val="center"/>
          </w:tcPr>
          <w:p w14:paraId="643E42C5">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tcPr>
          <w:p w14:paraId="008586E1">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坚美、亚铝、凤铝或同档</w:t>
            </w:r>
          </w:p>
        </w:tc>
        <w:tc>
          <w:tcPr>
            <w:tcW w:w="490" w:type="pct"/>
            <w:noWrap/>
          </w:tcPr>
          <w:p w14:paraId="5F3E3862">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5FE76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tcPr>
          <w:p w14:paraId="616E2F21">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tcPr>
          <w:p w14:paraId="2AD3CDFA">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门窗五金配件</w:t>
            </w:r>
          </w:p>
        </w:tc>
        <w:tc>
          <w:tcPr>
            <w:tcW w:w="1337" w:type="pct"/>
            <w:noWrap/>
            <w:vAlign w:val="center"/>
          </w:tcPr>
          <w:p w14:paraId="496C9AC6">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tcPr>
          <w:p w14:paraId="3784D6D0">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坚朗、立兴、国强或同档</w:t>
            </w:r>
          </w:p>
        </w:tc>
        <w:tc>
          <w:tcPr>
            <w:tcW w:w="490" w:type="pct"/>
            <w:noWrap/>
          </w:tcPr>
          <w:p w14:paraId="74ADDC4B">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66041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tcPr>
          <w:p w14:paraId="3DE8EE6A">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tcPr>
          <w:p w14:paraId="08C78A3C">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玻璃原片</w:t>
            </w:r>
          </w:p>
        </w:tc>
        <w:tc>
          <w:tcPr>
            <w:tcW w:w="1337" w:type="pct"/>
            <w:noWrap/>
            <w:vAlign w:val="center"/>
          </w:tcPr>
          <w:p w14:paraId="1A49C3B4">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tcPr>
          <w:p w14:paraId="6FCF3B23">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南玻、耀皮、金晶或同档</w:t>
            </w:r>
          </w:p>
        </w:tc>
        <w:tc>
          <w:tcPr>
            <w:tcW w:w="490" w:type="pct"/>
            <w:noWrap/>
          </w:tcPr>
          <w:p w14:paraId="768C6F27">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56952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tcPr>
          <w:p w14:paraId="56FED458">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tcPr>
          <w:p w14:paraId="34F845AA">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玻璃深加工</w:t>
            </w:r>
          </w:p>
        </w:tc>
        <w:tc>
          <w:tcPr>
            <w:tcW w:w="1337" w:type="pct"/>
            <w:noWrap/>
            <w:vAlign w:val="center"/>
          </w:tcPr>
          <w:p w14:paraId="1E612DCF">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tcPr>
          <w:p w14:paraId="36C544FD">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南京新宁耀、上海耀皮、吴江南玻或同档</w:t>
            </w:r>
          </w:p>
        </w:tc>
        <w:tc>
          <w:tcPr>
            <w:tcW w:w="490" w:type="pct"/>
            <w:noWrap/>
          </w:tcPr>
          <w:p w14:paraId="64E001EB">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3C3E4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tcPr>
          <w:p w14:paraId="619ADBC3">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tcPr>
          <w:p w14:paraId="17ED33A7">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PBC-328非固化改性沥青防水涂料、聚合物水泥基复合防水涂料、聚氨酯防水涂膜</w:t>
            </w:r>
          </w:p>
        </w:tc>
        <w:tc>
          <w:tcPr>
            <w:tcW w:w="1337" w:type="pct"/>
            <w:noWrap/>
            <w:vAlign w:val="center"/>
          </w:tcPr>
          <w:p w14:paraId="5939DA32">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tcPr>
          <w:p w14:paraId="70C7C2C4">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东方雨虹、禹王、科顺或同档</w:t>
            </w:r>
          </w:p>
        </w:tc>
        <w:tc>
          <w:tcPr>
            <w:tcW w:w="490" w:type="pct"/>
            <w:noWrap/>
          </w:tcPr>
          <w:p w14:paraId="751332CB">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3EC40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tcPr>
          <w:p w14:paraId="24A02DB0">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tcPr>
          <w:p w14:paraId="562CD882">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防滑彩色通体砖、防滑彩色釉面砖、墙面砖</w:t>
            </w:r>
          </w:p>
        </w:tc>
        <w:tc>
          <w:tcPr>
            <w:tcW w:w="1337" w:type="pct"/>
            <w:noWrap/>
            <w:vAlign w:val="center"/>
          </w:tcPr>
          <w:p w14:paraId="5BCF7A36">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tcPr>
          <w:p w14:paraId="1A792836">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诺贝尔、萨米特、蒙娜丽莎或同档</w:t>
            </w:r>
          </w:p>
        </w:tc>
        <w:tc>
          <w:tcPr>
            <w:tcW w:w="490" w:type="pct"/>
            <w:noWrap/>
          </w:tcPr>
          <w:p w14:paraId="483F07F5">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38E07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tcPr>
          <w:p w14:paraId="05B8F513">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tcPr>
          <w:p w14:paraId="27ADA937">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复合地板</w:t>
            </w:r>
          </w:p>
        </w:tc>
        <w:tc>
          <w:tcPr>
            <w:tcW w:w="1337" w:type="pct"/>
            <w:noWrap/>
            <w:vAlign w:val="center"/>
          </w:tcPr>
          <w:p w14:paraId="287664BF">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tcPr>
          <w:p w14:paraId="2AC9A6BA">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圣象、大自然、安心或同档</w:t>
            </w:r>
          </w:p>
        </w:tc>
        <w:tc>
          <w:tcPr>
            <w:tcW w:w="490" w:type="pct"/>
            <w:noWrap/>
          </w:tcPr>
          <w:p w14:paraId="0A54E8C0">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544D8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tcPr>
          <w:p w14:paraId="35A9DA8D">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tcPr>
          <w:p w14:paraId="03B1F901">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白色防霉无机涂料、白色</w:t>
            </w:r>
            <w:r>
              <w:rPr>
                <w:rFonts w:hint="eastAsia" w:ascii="仿宋" w:hAnsi="仿宋" w:eastAsia="仿宋" w:cs="宋体"/>
                <w:color w:val="000000" w:themeColor="text1"/>
                <w:szCs w:val="21"/>
                <w:lang w:eastAsia="zh-CN"/>
                <w14:textFill>
                  <w14:solidFill>
                    <w14:schemeClr w14:val="tx1"/>
                  </w14:solidFill>
                </w14:textFill>
              </w:rPr>
              <w:t>哑</w:t>
            </w:r>
            <w:r>
              <w:rPr>
                <w:rFonts w:hint="eastAsia" w:ascii="仿宋" w:hAnsi="仿宋" w:eastAsia="仿宋" w:cs="宋体"/>
                <w:color w:val="000000" w:themeColor="text1"/>
                <w:szCs w:val="21"/>
                <w14:textFill>
                  <w14:solidFill>
                    <w14:schemeClr w14:val="tx1"/>
                  </w14:solidFill>
                </w14:textFill>
              </w:rPr>
              <w:t>光无机涂料、米黄色高级丙烯酸涂料</w:t>
            </w:r>
          </w:p>
        </w:tc>
        <w:tc>
          <w:tcPr>
            <w:tcW w:w="1337" w:type="pct"/>
            <w:noWrap/>
            <w:vAlign w:val="center"/>
          </w:tcPr>
          <w:p w14:paraId="1620F02F">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tcPr>
          <w:p w14:paraId="72BB5161">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多乐士、立邦、华润或同档</w:t>
            </w:r>
          </w:p>
        </w:tc>
        <w:tc>
          <w:tcPr>
            <w:tcW w:w="490" w:type="pct"/>
            <w:noWrap/>
          </w:tcPr>
          <w:p w14:paraId="79AB570D">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37F28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tcPr>
          <w:p w14:paraId="11677449">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tcPr>
          <w:p w14:paraId="31DD87B3">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9.5厚防潮纸面石膏板</w:t>
            </w:r>
          </w:p>
        </w:tc>
        <w:tc>
          <w:tcPr>
            <w:tcW w:w="1337" w:type="pct"/>
            <w:noWrap/>
            <w:vAlign w:val="center"/>
          </w:tcPr>
          <w:p w14:paraId="306A3CE7">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tcPr>
          <w:p w14:paraId="299D3746">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龙牌、星牌、阿姆斯壮或同档</w:t>
            </w:r>
          </w:p>
        </w:tc>
        <w:tc>
          <w:tcPr>
            <w:tcW w:w="490" w:type="pct"/>
            <w:noWrap/>
          </w:tcPr>
          <w:p w14:paraId="0B3161CB">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53476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tcPr>
          <w:p w14:paraId="5EB0C14E">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tcPr>
          <w:p w14:paraId="77BA624B">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浅灰白色涂料</w:t>
            </w:r>
          </w:p>
        </w:tc>
        <w:tc>
          <w:tcPr>
            <w:tcW w:w="1337" w:type="pct"/>
            <w:noWrap/>
            <w:vAlign w:val="center"/>
          </w:tcPr>
          <w:p w14:paraId="1E0B79BF">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tcPr>
          <w:p w14:paraId="2F2537F9">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多乐士、立邦、华润或同档</w:t>
            </w:r>
          </w:p>
        </w:tc>
        <w:tc>
          <w:tcPr>
            <w:tcW w:w="490" w:type="pct"/>
            <w:noWrap/>
          </w:tcPr>
          <w:p w14:paraId="5C750470">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00D1B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tcPr>
          <w:p w14:paraId="674460FE">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tcPr>
          <w:p w14:paraId="6CA7A814">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铝合金方板</w:t>
            </w:r>
          </w:p>
        </w:tc>
        <w:tc>
          <w:tcPr>
            <w:tcW w:w="1337" w:type="pct"/>
            <w:noWrap/>
            <w:vAlign w:val="center"/>
          </w:tcPr>
          <w:p w14:paraId="55C5F123">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tcPr>
          <w:p w14:paraId="0D092C16">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汇隆、欧斯宝、欧思龙或同档</w:t>
            </w:r>
          </w:p>
        </w:tc>
        <w:tc>
          <w:tcPr>
            <w:tcW w:w="490" w:type="pct"/>
            <w:noWrap/>
          </w:tcPr>
          <w:p w14:paraId="4BFAF8F7">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732E3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tcPr>
          <w:p w14:paraId="6AB939AA">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tcPr>
          <w:p w14:paraId="4DE52AE1">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石膏板、耐火石膏板</w:t>
            </w:r>
          </w:p>
        </w:tc>
        <w:tc>
          <w:tcPr>
            <w:tcW w:w="1337" w:type="pct"/>
            <w:noWrap/>
            <w:vAlign w:val="center"/>
          </w:tcPr>
          <w:p w14:paraId="2665D17F">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tcPr>
          <w:p w14:paraId="30B24E72">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龙牌、星牌、阿姆斯壮或同档</w:t>
            </w:r>
          </w:p>
        </w:tc>
        <w:tc>
          <w:tcPr>
            <w:tcW w:w="490" w:type="pct"/>
            <w:noWrap/>
          </w:tcPr>
          <w:p w14:paraId="29FBA017">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7B905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tcPr>
          <w:p w14:paraId="3F4AF364">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tcPr>
          <w:p w14:paraId="77A31112">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卫生间隔断（抗倍特）</w:t>
            </w:r>
          </w:p>
        </w:tc>
        <w:tc>
          <w:tcPr>
            <w:tcW w:w="1337" w:type="pct"/>
            <w:noWrap/>
            <w:vAlign w:val="center"/>
          </w:tcPr>
          <w:p w14:paraId="30D6BB13">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tcPr>
          <w:p w14:paraId="78D36B10">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佳事达、雅美家、普丽或同档</w:t>
            </w:r>
          </w:p>
        </w:tc>
        <w:tc>
          <w:tcPr>
            <w:tcW w:w="490" w:type="pct"/>
            <w:noWrap/>
          </w:tcPr>
          <w:p w14:paraId="609211A5">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53A67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tcPr>
          <w:p w14:paraId="1307677F">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tcPr>
          <w:p w14:paraId="7F13CCAA">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钢筋</w:t>
            </w:r>
          </w:p>
        </w:tc>
        <w:tc>
          <w:tcPr>
            <w:tcW w:w="1337" w:type="pct"/>
            <w:noWrap/>
            <w:vAlign w:val="center"/>
          </w:tcPr>
          <w:p w14:paraId="1322BDDE">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tcPr>
          <w:p w14:paraId="27BDEF57">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马钢、南钢、沙钢、永钢或同档</w:t>
            </w:r>
          </w:p>
        </w:tc>
        <w:tc>
          <w:tcPr>
            <w:tcW w:w="490" w:type="pct"/>
            <w:noWrap/>
          </w:tcPr>
          <w:p w14:paraId="03FB4525">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08996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tcPr>
          <w:p w14:paraId="2841AFFF">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tcPr>
          <w:p w14:paraId="3066F7D1">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型钢</w:t>
            </w:r>
          </w:p>
        </w:tc>
        <w:tc>
          <w:tcPr>
            <w:tcW w:w="1337" w:type="pct"/>
            <w:noWrap/>
            <w:vAlign w:val="center"/>
          </w:tcPr>
          <w:p w14:paraId="5B0DE330">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tcPr>
          <w:p w14:paraId="37C58B62">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马钢、南钢、沙钢、永钢或同档</w:t>
            </w:r>
          </w:p>
        </w:tc>
        <w:tc>
          <w:tcPr>
            <w:tcW w:w="490" w:type="pct"/>
            <w:noWrap/>
          </w:tcPr>
          <w:p w14:paraId="0C68C464">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63490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tcPr>
          <w:p w14:paraId="39414BDD">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tcPr>
          <w:p w14:paraId="6E9761E7">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水泥</w:t>
            </w:r>
          </w:p>
        </w:tc>
        <w:tc>
          <w:tcPr>
            <w:tcW w:w="1337" w:type="pct"/>
            <w:noWrap/>
            <w:vAlign w:val="center"/>
          </w:tcPr>
          <w:p w14:paraId="3F214913">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tcPr>
          <w:p w14:paraId="2595DE8B">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双猴、海螺、三龙、盘固或同档</w:t>
            </w:r>
          </w:p>
        </w:tc>
        <w:tc>
          <w:tcPr>
            <w:tcW w:w="490" w:type="pct"/>
            <w:noWrap/>
          </w:tcPr>
          <w:p w14:paraId="5E7A9C78">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4944B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tcPr>
          <w:p w14:paraId="67D83812">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tcPr>
          <w:p w14:paraId="79621D07">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板材</w:t>
            </w:r>
          </w:p>
        </w:tc>
        <w:tc>
          <w:tcPr>
            <w:tcW w:w="1337" w:type="pct"/>
            <w:noWrap/>
            <w:vAlign w:val="center"/>
          </w:tcPr>
          <w:p w14:paraId="1D4A7C9E">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tcPr>
          <w:p w14:paraId="4E828A7C">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兔宝宝、莫干山、伟业或同档</w:t>
            </w:r>
          </w:p>
        </w:tc>
        <w:tc>
          <w:tcPr>
            <w:tcW w:w="490" w:type="pct"/>
            <w:noWrap/>
          </w:tcPr>
          <w:p w14:paraId="661E08A2">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13D73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tcPr>
          <w:p w14:paraId="39BDC695">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tcPr>
          <w:p w14:paraId="663564EA">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结构胶、密封胶</w:t>
            </w:r>
          </w:p>
        </w:tc>
        <w:tc>
          <w:tcPr>
            <w:tcW w:w="1337" w:type="pct"/>
            <w:noWrap/>
            <w:vAlign w:val="center"/>
          </w:tcPr>
          <w:p w14:paraId="005183D0">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tcPr>
          <w:p w14:paraId="61E784FD">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广州白云、杭州之江、上海道康宁或同档</w:t>
            </w:r>
          </w:p>
        </w:tc>
        <w:tc>
          <w:tcPr>
            <w:tcW w:w="490" w:type="pct"/>
            <w:noWrap/>
          </w:tcPr>
          <w:p w14:paraId="2274A5B3">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4D949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tcPr>
          <w:p w14:paraId="0A270C1F">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tcPr>
          <w:p w14:paraId="690F3470">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集成吊顶</w:t>
            </w:r>
          </w:p>
        </w:tc>
        <w:tc>
          <w:tcPr>
            <w:tcW w:w="1337" w:type="pct"/>
            <w:noWrap/>
            <w:vAlign w:val="center"/>
          </w:tcPr>
          <w:p w14:paraId="4E2EB866">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tcPr>
          <w:p w14:paraId="276175A6">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浦菲尔、普洛斯、聆听或同档</w:t>
            </w:r>
          </w:p>
        </w:tc>
        <w:tc>
          <w:tcPr>
            <w:tcW w:w="490" w:type="pct"/>
            <w:noWrap/>
          </w:tcPr>
          <w:p w14:paraId="1487953D">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17947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5000" w:type="pct"/>
            <w:gridSpan w:val="5"/>
            <w:noWrap/>
            <w:vAlign w:val="center"/>
          </w:tcPr>
          <w:p w14:paraId="008D3603">
            <w:pPr>
              <w:ind w:left="420"/>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电气工程</w:t>
            </w:r>
          </w:p>
        </w:tc>
      </w:tr>
      <w:tr w14:paraId="5FE60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vAlign w:val="center"/>
          </w:tcPr>
          <w:p w14:paraId="0F299CF9">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vAlign w:val="center"/>
          </w:tcPr>
          <w:p w14:paraId="7712ECB5">
            <w:pPr>
              <w:jc w:val="left"/>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配电箱、配电柜</w:t>
            </w:r>
            <w:r>
              <w:rPr>
                <w:rFonts w:hint="eastAsia" w:ascii="仿宋" w:hAnsi="仿宋" w:eastAsia="仿宋" w:cs="宋体"/>
                <w:color w:val="000000" w:themeColor="text1"/>
                <w:szCs w:val="21"/>
                <w:lang w:eastAsia="zh-CN"/>
                <w14:textFill>
                  <w14:solidFill>
                    <w14:schemeClr w14:val="tx1"/>
                  </w14:solidFill>
                </w14:textFill>
              </w:rPr>
              <w:t>（</w:t>
            </w:r>
            <w:r>
              <w:rPr>
                <w:rFonts w:hint="eastAsia" w:ascii="仿宋" w:hAnsi="仿宋" w:eastAsia="仿宋" w:cs="宋体"/>
                <w:color w:val="000000" w:themeColor="text1"/>
                <w:szCs w:val="21"/>
                <w14:textFill>
                  <w14:solidFill>
                    <w14:schemeClr w14:val="tx1"/>
                  </w14:solidFill>
                </w14:textFill>
              </w:rPr>
              <w:t>仅指箱体</w:t>
            </w:r>
            <w:r>
              <w:rPr>
                <w:rFonts w:hint="eastAsia" w:ascii="仿宋" w:hAnsi="仿宋" w:eastAsia="仿宋" w:cs="宋体"/>
                <w:color w:val="000000" w:themeColor="text1"/>
                <w:szCs w:val="21"/>
                <w:lang w:eastAsia="zh-CN"/>
                <w14:textFill>
                  <w14:solidFill>
                    <w14:schemeClr w14:val="tx1"/>
                  </w14:solidFill>
                </w14:textFill>
              </w:rPr>
              <w:t>）</w:t>
            </w:r>
          </w:p>
        </w:tc>
        <w:tc>
          <w:tcPr>
            <w:tcW w:w="1337" w:type="pct"/>
            <w:noWrap/>
          </w:tcPr>
          <w:p w14:paraId="5C7257E2">
            <w:pP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vAlign w:val="center"/>
          </w:tcPr>
          <w:p w14:paraId="3B8BCB0D">
            <w:pPr>
              <w:jc w:val="left"/>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施耐德、ABB、西门子或同档</w:t>
            </w:r>
          </w:p>
        </w:tc>
        <w:tc>
          <w:tcPr>
            <w:tcW w:w="490" w:type="pct"/>
            <w:noWrap/>
            <w:vAlign w:val="center"/>
          </w:tcPr>
          <w:p w14:paraId="5C18273E">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4B1FD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vAlign w:val="center"/>
          </w:tcPr>
          <w:p w14:paraId="56306263">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vAlign w:val="center"/>
          </w:tcPr>
          <w:p w14:paraId="47CB97B8">
            <w:pPr>
              <w:jc w:val="left"/>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微型断路器</w:t>
            </w:r>
          </w:p>
        </w:tc>
        <w:tc>
          <w:tcPr>
            <w:tcW w:w="1337" w:type="pct"/>
            <w:noWrap/>
          </w:tcPr>
          <w:p w14:paraId="0CEFF87B">
            <w:pP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vAlign w:val="center"/>
          </w:tcPr>
          <w:p w14:paraId="23B4F309">
            <w:pPr>
              <w:jc w:val="left"/>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ABB S200、施耐德A9-S、西门子5SY6或同档</w:t>
            </w:r>
          </w:p>
        </w:tc>
        <w:tc>
          <w:tcPr>
            <w:tcW w:w="490" w:type="pct"/>
            <w:noWrap/>
            <w:vAlign w:val="center"/>
          </w:tcPr>
          <w:p w14:paraId="7B2F7C72">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4FD7C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vAlign w:val="center"/>
          </w:tcPr>
          <w:p w14:paraId="0112C54D">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vAlign w:val="center"/>
          </w:tcPr>
          <w:p w14:paraId="31504ED0">
            <w:pPr>
              <w:jc w:val="left"/>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塑壳断路器</w:t>
            </w:r>
          </w:p>
        </w:tc>
        <w:tc>
          <w:tcPr>
            <w:tcW w:w="1337" w:type="pct"/>
            <w:noWrap/>
          </w:tcPr>
          <w:p w14:paraId="231E453A">
            <w:pP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vAlign w:val="center"/>
          </w:tcPr>
          <w:p w14:paraId="55A2E426">
            <w:pPr>
              <w:jc w:val="left"/>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ABB XTmax系列、施耐德NSX系列、西门子3VA系列或同档</w:t>
            </w:r>
          </w:p>
        </w:tc>
        <w:tc>
          <w:tcPr>
            <w:tcW w:w="490" w:type="pct"/>
            <w:noWrap/>
            <w:vAlign w:val="center"/>
          </w:tcPr>
          <w:p w14:paraId="1C670591">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51142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vAlign w:val="center"/>
          </w:tcPr>
          <w:p w14:paraId="11CC941A">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vAlign w:val="center"/>
          </w:tcPr>
          <w:p w14:paraId="18EE6E85">
            <w:pPr>
              <w:jc w:val="left"/>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隔离开关</w:t>
            </w:r>
          </w:p>
        </w:tc>
        <w:tc>
          <w:tcPr>
            <w:tcW w:w="1337" w:type="pct"/>
            <w:noWrap/>
          </w:tcPr>
          <w:p w14:paraId="55EC50D9">
            <w:pP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vAlign w:val="center"/>
          </w:tcPr>
          <w:p w14:paraId="2D2773A4">
            <w:pPr>
              <w:jc w:val="left"/>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施耐德，ABB，西门子</w:t>
            </w:r>
          </w:p>
        </w:tc>
        <w:tc>
          <w:tcPr>
            <w:tcW w:w="490" w:type="pct"/>
            <w:noWrap/>
            <w:vAlign w:val="center"/>
          </w:tcPr>
          <w:p w14:paraId="667DB641">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3751D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vAlign w:val="center"/>
          </w:tcPr>
          <w:p w14:paraId="7B94537C">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vAlign w:val="center"/>
          </w:tcPr>
          <w:p w14:paraId="72A15AA5">
            <w:pPr>
              <w:jc w:val="left"/>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开关插座</w:t>
            </w:r>
          </w:p>
        </w:tc>
        <w:tc>
          <w:tcPr>
            <w:tcW w:w="1337" w:type="pct"/>
            <w:noWrap/>
          </w:tcPr>
          <w:p w14:paraId="79579FEB">
            <w:pP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vAlign w:val="center"/>
          </w:tcPr>
          <w:p w14:paraId="1E7085D2">
            <w:pPr>
              <w:jc w:val="left"/>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飞利浦、施耐德、西门子、ABB或同档</w:t>
            </w:r>
          </w:p>
        </w:tc>
        <w:tc>
          <w:tcPr>
            <w:tcW w:w="490" w:type="pct"/>
            <w:noWrap/>
            <w:vAlign w:val="center"/>
          </w:tcPr>
          <w:p w14:paraId="5D62E34C">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4D61F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vAlign w:val="center"/>
          </w:tcPr>
          <w:p w14:paraId="3D1958F4">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vAlign w:val="center"/>
          </w:tcPr>
          <w:p w14:paraId="208B466B">
            <w:pPr>
              <w:jc w:val="left"/>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灯具</w:t>
            </w:r>
          </w:p>
        </w:tc>
        <w:tc>
          <w:tcPr>
            <w:tcW w:w="1337" w:type="pct"/>
            <w:noWrap/>
          </w:tcPr>
          <w:p w14:paraId="6EF610D5">
            <w:pP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vAlign w:val="center"/>
          </w:tcPr>
          <w:p w14:paraId="08896C1B">
            <w:pPr>
              <w:jc w:val="left"/>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飞利浦、三雄极光、松下、欧普或同档</w:t>
            </w:r>
          </w:p>
        </w:tc>
        <w:tc>
          <w:tcPr>
            <w:tcW w:w="490" w:type="pct"/>
            <w:noWrap/>
            <w:vAlign w:val="center"/>
          </w:tcPr>
          <w:p w14:paraId="68FEC609">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r w14:paraId="2ECE1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3" w:type="pct"/>
            <w:noWrap/>
            <w:vAlign w:val="center"/>
          </w:tcPr>
          <w:p w14:paraId="1D3CCCCC">
            <w:pPr>
              <w:numPr>
                <w:ilvl w:val="0"/>
                <w:numId w:val="3"/>
              </w:numPr>
              <w:jc w:val="center"/>
              <w:rPr>
                <w:rFonts w:ascii="仿宋" w:hAnsi="仿宋" w:eastAsia="仿宋" w:cs="宋体"/>
                <w:color w:val="000000" w:themeColor="text1"/>
                <w:szCs w:val="21"/>
                <w14:textFill>
                  <w14:solidFill>
                    <w14:schemeClr w14:val="tx1"/>
                  </w14:solidFill>
                </w14:textFill>
              </w:rPr>
            </w:pPr>
          </w:p>
        </w:tc>
        <w:tc>
          <w:tcPr>
            <w:tcW w:w="1103" w:type="pct"/>
            <w:noWrap/>
            <w:vAlign w:val="center"/>
          </w:tcPr>
          <w:p w14:paraId="78A4C7EF">
            <w:pPr>
              <w:jc w:val="left"/>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铜芯电缆、电线</w:t>
            </w:r>
          </w:p>
        </w:tc>
        <w:tc>
          <w:tcPr>
            <w:tcW w:w="1337" w:type="pct"/>
            <w:noWrap/>
          </w:tcPr>
          <w:p w14:paraId="32E03D15">
            <w:pP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满足国家相关规范、质量标准</w:t>
            </w:r>
          </w:p>
        </w:tc>
        <w:tc>
          <w:tcPr>
            <w:tcW w:w="1576" w:type="pct"/>
            <w:noWrap/>
            <w:vAlign w:val="center"/>
          </w:tcPr>
          <w:p w14:paraId="74401A0E">
            <w:pPr>
              <w:jc w:val="left"/>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lang w:eastAsia="zh-CN"/>
                <w14:textFill>
                  <w14:solidFill>
                    <w14:schemeClr w14:val="tx1"/>
                  </w14:solidFill>
                </w14:textFill>
              </w:rPr>
              <w:t>参照或相当于：</w:t>
            </w:r>
            <w:r>
              <w:rPr>
                <w:rFonts w:hint="eastAsia" w:ascii="仿宋" w:hAnsi="仿宋" w:eastAsia="仿宋" w:cs="宋体"/>
                <w:color w:val="000000" w:themeColor="text1"/>
                <w:szCs w:val="21"/>
                <w14:textFill>
                  <w14:solidFill>
                    <w14:schemeClr w14:val="tx1"/>
                  </w14:solidFill>
                </w14:textFill>
              </w:rPr>
              <w:t>上上、宝胜、江南或同档</w:t>
            </w:r>
          </w:p>
        </w:tc>
        <w:tc>
          <w:tcPr>
            <w:tcW w:w="490" w:type="pct"/>
            <w:noWrap/>
            <w:vAlign w:val="center"/>
          </w:tcPr>
          <w:p w14:paraId="4245459A">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优等品</w:t>
            </w:r>
          </w:p>
        </w:tc>
      </w:tr>
    </w:tbl>
    <w:p w14:paraId="218D1B79">
      <w:pPr>
        <w:spacing w:line="360" w:lineRule="auto"/>
        <w:ind w:right="-109" w:rightChars="-52" w:firstLine="480" w:firstLineChars="200"/>
        <w:rPr>
          <w:rFonts w:hint="eastAsia" w:ascii="宋体" w:hAnsi="宋体" w:cs="宋体"/>
          <w:color w:val="000000" w:themeColor="text1"/>
          <w:sz w:val="24"/>
          <w:szCs w:val="24"/>
          <w:highlight w:val="none"/>
          <w14:textFill>
            <w14:solidFill>
              <w14:schemeClr w14:val="tx1"/>
            </w14:solidFill>
          </w14:textFill>
        </w:rPr>
      </w:pPr>
    </w:p>
    <w:p w14:paraId="22A2B32B">
      <w:pPr>
        <w:spacing w:line="360" w:lineRule="auto"/>
        <w:jc w:val="center"/>
        <w:rPr>
          <w:color w:val="000000" w:themeColor="text1"/>
          <w:highlight w:val="none"/>
          <w14:textFill>
            <w14:solidFill>
              <w14:schemeClr w14:val="tx1"/>
            </w14:solidFill>
          </w14:textFill>
        </w:rPr>
      </w:pPr>
    </w:p>
    <w:p w14:paraId="289DB745">
      <w:pPr>
        <w:numPr>
          <w:ilvl w:val="0"/>
          <w:numId w:val="0"/>
        </w:numPr>
        <w:spacing w:line="360" w:lineRule="auto"/>
        <w:ind w:firstLine="361" w:firstLineChars="100"/>
        <w:jc w:val="center"/>
        <w:rPr>
          <w:rFonts w:hint="eastAsia" w:ascii="宋体" w:hAnsi="宋体" w:cs="宋体"/>
          <w:b/>
          <w:color w:val="000000" w:themeColor="text1"/>
          <w:sz w:val="36"/>
          <w:szCs w:val="36"/>
          <w:highlight w:val="none"/>
          <w:lang w:val="zh-CN"/>
          <w14:textFill>
            <w14:solidFill>
              <w14:schemeClr w14:val="tx1"/>
            </w14:solidFill>
          </w14:textFill>
        </w:rPr>
      </w:pPr>
      <w:r>
        <w:rPr>
          <w:rFonts w:hint="eastAsia" w:ascii="宋体" w:hAnsi="宋体" w:cs="宋体"/>
          <w:b/>
          <w:color w:val="000000" w:themeColor="text1"/>
          <w:sz w:val="36"/>
          <w:szCs w:val="36"/>
          <w:highlight w:val="none"/>
          <w:lang w:val="zh-CN"/>
          <w14:textFill>
            <w14:solidFill>
              <w14:schemeClr w14:val="tx1"/>
            </w14:solidFill>
          </w14:textFill>
        </w:rPr>
        <w:t>（第二部分：商务部分）</w:t>
      </w:r>
    </w:p>
    <w:p w14:paraId="4E6C7627">
      <w:pPr>
        <w:spacing w:line="360" w:lineRule="auto"/>
        <w:ind w:firstLine="42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eastAsia="zh-CN"/>
          <w14:textFill>
            <w14:solidFill>
              <w14:schemeClr w14:val="tx1"/>
            </w14:solidFill>
          </w14:textFill>
        </w:rPr>
        <w:t>七</w:t>
      </w:r>
      <w:r>
        <w:rPr>
          <w:rFonts w:hint="eastAsia" w:ascii="宋体" w:hAnsi="宋体"/>
          <w:b/>
          <w:color w:val="000000" w:themeColor="text1"/>
          <w:sz w:val="24"/>
          <w:szCs w:val="24"/>
          <w:highlight w:val="none"/>
          <w14:textFill>
            <w14:solidFill>
              <w14:schemeClr w14:val="tx1"/>
            </w14:solidFill>
          </w14:textFill>
        </w:rPr>
        <w:t>、工期：</w:t>
      </w:r>
      <w:r>
        <w:rPr>
          <w:rFonts w:hint="eastAsia" w:ascii="宋体" w:hAnsi="宋体" w:cs="宋体"/>
          <w:color w:val="000000" w:themeColor="text1"/>
          <w:sz w:val="24"/>
          <w:szCs w:val="24"/>
          <w:highlight w:val="none"/>
          <w:lang w:val="en-US" w:eastAsia="zh-CN"/>
          <w14:textFill>
            <w14:solidFill>
              <w14:schemeClr w14:val="tx1"/>
            </w14:solidFill>
          </w14:textFill>
        </w:rPr>
        <w:t>45</w:t>
      </w:r>
      <w:r>
        <w:rPr>
          <w:rFonts w:hint="eastAsia" w:ascii="宋体" w:hAnsi="宋体" w:cs="宋体"/>
          <w:color w:val="000000" w:themeColor="text1"/>
          <w:sz w:val="24"/>
          <w:szCs w:val="24"/>
          <w:highlight w:val="none"/>
          <w:lang w:eastAsia="zh-CN"/>
          <w14:textFill>
            <w14:solidFill>
              <w14:schemeClr w14:val="tx1"/>
            </w14:solidFill>
          </w14:textFill>
        </w:rPr>
        <w:t>日历日</w:t>
      </w:r>
    </w:p>
    <w:p w14:paraId="626A2659">
      <w:pPr>
        <w:widowControl/>
        <w:adjustRightInd w:val="0"/>
        <w:snapToGrid w:val="0"/>
        <w:spacing w:line="360" w:lineRule="auto"/>
        <w:ind w:firstLine="482" w:firstLineChars="20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2"/>
          <w:highlight w:val="none"/>
          <w:lang w:eastAsia="zh-CN"/>
          <w14:textFill>
            <w14:solidFill>
              <w14:schemeClr w14:val="tx1"/>
            </w14:solidFill>
          </w14:textFill>
        </w:rPr>
        <w:t>八</w:t>
      </w:r>
      <w:r>
        <w:rPr>
          <w:rFonts w:hint="eastAsia" w:ascii="宋体" w:hAnsi="宋体" w:cs="宋体"/>
          <w:b/>
          <w:bCs/>
          <w:color w:val="000000" w:themeColor="text1"/>
          <w:sz w:val="24"/>
          <w:szCs w:val="22"/>
          <w:highlight w:val="none"/>
          <w14:textFill>
            <w14:solidFill>
              <w14:schemeClr w14:val="tx1"/>
            </w14:solidFill>
          </w14:textFill>
        </w:rPr>
        <w:t>、质保期：</w:t>
      </w:r>
      <w:r>
        <w:rPr>
          <w:rFonts w:hint="eastAsia" w:ascii="宋体" w:hAnsi="宋体" w:eastAsia="宋体" w:cs="宋体"/>
          <w:color w:val="000000" w:themeColor="text1"/>
          <w:kern w:val="0"/>
          <w:sz w:val="24"/>
          <w:szCs w:val="24"/>
          <w:highlight w:val="none"/>
          <w:lang w:eastAsia="zh-CN"/>
          <w14:textFill>
            <w14:solidFill>
              <w14:schemeClr w14:val="tx1"/>
            </w14:solidFill>
          </w14:textFill>
        </w:rPr>
        <w:t>符合国家相关规范标准</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B85CFC8">
      <w:pPr>
        <w:widowControl/>
        <w:adjustRightInd w:val="0"/>
        <w:snapToGrid w:val="0"/>
        <w:spacing w:line="360" w:lineRule="auto"/>
        <w:ind w:firstLine="482" w:firstLineChars="200"/>
        <w:jc w:val="left"/>
        <w:rPr>
          <w:rFonts w:hint="eastAsia" w:ascii="宋体" w:hAnsi="宋体" w:cs="宋体"/>
          <w:b/>
          <w:bCs/>
          <w:color w:val="000000" w:themeColor="text1"/>
          <w:sz w:val="24"/>
          <w:szCs w:val="22"/>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2"/>
          <w:highlight w:val="none"/>
          <w:lang w:eastAsia="zh-CN"/>
          <w14:textFill>
            <w14:solidFill>
              <w14:schemeClr w14:val="tx1"/>
            </w14:solidFill>
          </w14:textFill>
        </w:rPr>
        <w:t>九、</w:t>
      </w:r>
      <w:r>
        <w:rPr>
          <w:rFonts w:hint="eastAsia" w:ascii="宋体" w:hAnsi="宋体" w:cs="宋体"/>
          <w:b/>
          <w:bCs/>
          <w:color w:val="000000" w:themeColor="text1"/>
          <w:sz w:val="24"/>
          <w:szCs w:val="22"/>
          <w:highlight w:val="none"/>
          <w14:textFill>
            <w14:solidFill>
              <w14:schemeClr w14:val="tx1"/>
            </w14:solidFill>
          </w14:textFill>
        </w:rPr>
        <w:t>付款方式：</w:t>
      </w:r>
    </w:p>
    <w:p w14:paraId="08B95226">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A、合同生效成交供应商递交付款申请及预付款担保后，采购人支付合同价的30%作为工程预付款（含安全文明施工费用总额的60%）。</w:t>
      </w:r>
    </w:p>
    <w:p w14:paraId="3ADAF488">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B、工程竣工验收合格后，采购人30个工作日内支付至合同总价（扣除暂列金额）的</w:t>
      </w:r>
      <w:r>
        <w:rPr>
          <w:rFonts w:hint="eastAsia" w:ascii="宋体" w:hAnsi="宋体" w:cs="宋体"/>
          <w:color w:val="000000" w:themeColor="text1"/>
          <w:kern w:val="0"/>
          <w:sz w:val="24"/>
          <w:szCs w:val="24"/>
          <w:highlight w:val="none"/>
          <w:lang w:val="en-US" w:eastAsia="zh-CN"/>
          <w14:textFill>
            <w14:solidFill>
              <w14:schemeClr w14:val="tx1"/>
            </w14:solidFill>
          </w14:textFill>
        </w:rPr>
        <w:t>7</w:t>
      </w:r>
      <w:r>
        <w:rPr>
          <w:rFonts w:hint="eastAsia" w:ascii="宋体" w:hAnsi="宋体" w:cs="宋体"/>
          <w:color w:val="000000" w:themeColor="text1"/>
          <w:kern w:val="0"/>
          <w:sz w:val="24"/>
          <w:szCs w:val="24"/>
          <w:highlight w:val="none"/>
          <w14:textFill>
            <w14:solidFill>
              <w14:schemeClr w14:val="tx1"/>
            </w14:solidFill>
          </w14:textFill>
        </w:rPr>
        <w:t>0%；</w:t>
      </w:r>
    </w:p>
    <w:p w14:paraId="4894EE4A">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C、竣工结算经审计部门审计结束，成交供应商分别提交水电费、违约金（如有）、质量保证金（结算审定价的3%）至采购人账户，并按照要求提交所有竣工资料后，付至工程结算审定价款的100%；</w:t>
      </w:r>
    </w:p>
    <w:p w14:paraId="22E44191">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D</w:t>
      </w:r>
      <w:r>
        <w:rPr>
          <w:rFonts w:hint="eastAsia" w:ascii="宋体" w:hAnsi="宋体" w:cs="宋体"/>
          <w:color w:val="000000" w:themeColor="text1"/>
          <w:kern w:val="0"/>
          <w:sz w:val="24"/>
          <w:szCs w:val="24"/>
          <w:highlight w:val="none"/>
          <w14:textFill>
            <w14:solidFill>
              <w14:schemeClr w14:val="tx1"/>
            </w14:solidFill>
          </w14:textFill>
        </w:rPr>
        <w:t>、所有合同外增加的工作内容施工项目，一律不得作为进度款支付的计算基数，待竣工结算审计后方可进行价款结算。</w:t>
      </w:r>
    </w:p>
    <w:p w14:paraId="3FCD0CA4">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注：水电费按工程审定额的千分之一点五计取。水电费在审定价款支付前，由成交供应商直接支付至采购人指定账户。</w:t>
      </w:r>
    </w:p>
    <w:p w14:paraId="2F7BA97A">
      <w:pPr>
        <w:widowControl/>
        <w:adjustRightInd w:val="0"/>
        <w:snapToGrid w:val="0"/>
        <w:spacing w:line="360" w:lineRule="auto"/>
        <w:ind w:firstLine="482" w:firstLineChars="200"/>
        <w:jc w:val="left"/>
        <w:rPr>
          <w:rFonts w:ascii="宋体" w:hAnsi="宋体" w:cs="宋体"/>
          <w:b/>
          <w:bCs/>
          <w:color w:val="000000" w:themeColor="text1"/>
          <w:sz w:val="24"/>
          <w:szCs w:val="22"/>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2"/>
          <w:highlight w:val="none"/>
          <w:lang w:eastAsia="zh-CN"/>
          <w14:textFill>
            <w14:solidFill>
              <w14:schemeClr w14:val="tx1"/>
            </w14:solidFill>
          </w14:textFill>
        </w:rPr>
        <w:t>十</w:t>
      </w:r>
      <w:r>
        <w:rPr>
          <w:rFonts w:hint="eastAsia" w:ascii="宋体" w:hAnsi="宋体" w:cs="宋体"/>
          <w:b/>
          <w:bCs/>
          <w:color w:val="000000" w:themeColor="text1"/>
          <w:sz w:val="24"/>
          <w:szCs w:val="22"/>
          <w:highlight w:val="none"/>
          <w14:textFill>
            <w14:solidFill>
              <w14:schemeClr w14:val="tx1"/>
            </w14:solidFill>
          </w14:textFill>
        </w:rPr>
        <w:t>、售后服务：</w:t>
      </w:r>
    </w:p>
    <w:p w14:paraId="105E60DD">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在质保期内，供应商在接采购人通知后，2小时内响应，省内的在24小时内，省外的在48小时内，赶到采购人现场，免费予以排除故障、修复或更换零部件,还应支付因更换所发生的运输、保险、安装、检测等有关的全部费用。</w:t>
      </w:r>
    </w:p>
    <w:p w14:paraId="6AE62D37">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2、质保期满后，如出现问题，供应商在接采购人通知后，仍应在上述时间内响应、派人赶到现场，帮助排除故障、修复或更换，需购买零部件时，酌情收取成本费。</w:t>
      </w:r>
    </w:p>
    <w:p w14:paraId="7AE8A745">
      <w:pPr>
        <w:spacing w:line="360" w:lineRule="auto"/>
        <w:ind w:firstLine="482"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kern w:val="0"/>
          <w:sz w:val="24"/>
          <w:szCs w:val="24"/>
          <w:highlight w:val="none"/>
          <w14:textFill>
            <w14:solidFill>
              <w14:schemeClr w14:val="tx1"/>
            </w14:solidFill>
          </w14:textFill>
        </w:rPr>
        <w:t>十</w:t>
      </w:r>
      <w:r>
        <w:rPr>
          <w:rFonts w:hint="eastAsia" w:ascii="宋体" w:hAnsi="宋体" w:cs="宋体"/>
          <w:b/>
          <w:bCs/>
          <w:color w:val="000000" w:themeColor="text1"/>
          <w:kern w:val="0"/>
          <w:sz w:val="24"/>
          <w:szCs w:val="24"/>
          <w:highlight w:val="none"/>
          <w:lang w:eastAsia="zh-CN"/>
          <w14:textFill>
            <w14:solidFill>
              <w14:schemeClr w14:val="tx1"/>
            </w14:solidFill>
          </w14:textFill>
        </w:rPr>
        <w:t>一</w:t>
      </w:r>
      <w:r>
        <w:rPr>
          <w:rFonts w:hint="eastAsia" w:ascii="宋体" w:hAnsi="宋体" w:cs="宋体"/>
          <w:b/>
          <w:bCs/>
          <w:color w:val="000000" w:themeColor="text1"/>
          <w:kern w:val="0"/>
          <w:sz w:val="24"/>
          <w:szCs w:val="24"/>
          <w:highlight w:val="none"/>
          <w14:textFill>
            <w14:solidFill>
              <w14:schemeClr w14:val="tx1"/>
            </w14:solidFill>
          </w14:textFill>
        </w:rPr>
        <w:t>、</w:t>
      </w:r>
      <w:r>
        <w:rPr>
          <w:rFonts w:hint="eastAsia" w:ascii="宋体" w:hAnsi="宋体" w:cs="宋体"/>
          <w:b/>
          <w:bCs/>
          <w:color w:val="000000" w:themeColor="text1"/>
          <w:kern w:val="0"/>
          <w:sz w:val="24"/>
          <w:szCs w:val="24"/>
          <w:highlight w:val="none"/>
          <w:lang w:val="zh-CN"/>
          <w14:textFill>
            <w14:solidFill>
              <w14:schemeClr w14:val="tx1"/>
            </w14:solidFill>
          </w14:textFill>
        </w:rPr>
        <w:t>履约保证金：</w:t>
      </w:r>
      <w:r>
        <w:rPr>
          <w:rFonts w:hint="eastAsia" w:ascii="宋体" w:hAnsi="宋体" w:cs="宋体"/>
          <w:color w:val="000000" w:themeColor="text1"/>
          <w:kern w:val="0"/>
          <w:sz w:val="24"/>
          <w:szCs w:val="24"/>
          <w:highlight w:val="none"/>
          <w:lang w:val="zh-CN"/>
          <w14:textFill>
            <w14:solidFill>
              <w14:schemeClr w14:val="tx1"/>
            </w14:solidFill>
          </w14:textFill>
        </w:rPr>
        <w:t>本工程</w:t>
      </w:r>
      <w:r>
        <w:rPr>
          <w:rFonts w:hint="eastAsia" w:ascii="宋体" w:hAnsi="宋体" w:cs="宋体"/>
          <w:color w:val="000000" w:themeColor="text1"/>
          <w:kern w:val="0"/>
          <w:sz w:val="24"/>
          <w:szCs w:val="24"/>
          <w:highlight w:val="none"/>
          <w14:textFill>
            <w14:solidFill>
              <w14:schemeClr w14:val="tx1"/>
            </w14:solidFill>
          </w14:textFill>
        </w:rPr>
        <w:t>成交供应商</w:t>
      </w:r>
      <w:r>
        <w:rPr>
          <w:rFonts w:hint="eastAsia" w:ascii="宋体" w:hAnsi="宋体" w:cs="宋体"/>
          <w:color w:val="000000" w:themeColor="text1"/>
          <w:kern w:val="0"/>
          <w:sz w:val="24"/>
          <w:szCs w:val="24"/>
          <w:highlight w:val="none"/>
          <w:lang w:val="zh-CN"/>
          <w14:textFill>
            <w14:solidFill>
              <w14:schemeClr w14:val="tx1"/>
            </w14:solidFill>
          </w14:textFill>
        </w:rPr>
        <w:t>在签订合同前需按合同金额的</w:t>
      </w:r>
      <w:r>
        <w:rPr>
          <w:rFonts w:hint="eastAsia" w:ascii="宋体" w:hAnsi="宋体" w:cs="宋体"/>
          <w:color w:val="000000" w:themeColor="text1"/>
          <w:kern w:val="0"/>
          <w:sz w:val="24"/>
          <w:szCs w:val="24"/>
          <w:highlight w:val="none"/>
          <w14:textFill>
            <w14:solidFill>
              <w14:schemeClr w14:val="tx1"/>
            </w14:solidFill>
          </w14:textFill>
        </w:rPr>
        <w:t>5</w:t>
      </w:r>
      <w:r>
        <w:rPr>
          <w:rFonts w:hint="eastAsia" w:ascii="宋体" w:hAnsi="宋体" w:cs="宋体"/>
          <w:color w:val="000000" w:themeColor="text1"/>
          <w:kern w:val="0"/>
          <w:sz w:val="24"/>
          <w:szCs w:val="24"/>
          <w:highlight w:val="none"/>
          <w:lang w:val="zh-CN"/>
          <w14:textFill>
            <w14:solidFill>
              <w14:schemeClr w14:val="tx1"/>
            </w14:solidFill>
          </w14:textFill>
        </w:rPr>
        <w:t>%以现金、银行保函、银行本票、汇票、支票或电子汇款等形式缴纳履约保证金作为履约担保，履约保证金在合同履行期限（工期）满且工程结算审计完成后无息退还。</w:t>
      </w:r>
    </w:p>
    <w:p w14:paraId="211A10FD">
      <w:pPr>
        <w:spacing w:line="360" w:lineRule="auto"/>
        <w:ind w:firstLine="482" w:firstLineChars="200"/>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kern w:val="0"/>
          <w:sz w:val="24"/>
          <w:szCs w:val="24"/>
          <w:highlight w:val="none"/>
          <w14:textFill>
            <w14:solidFill>
              <w14:schemeClr w14:val="tx1"/>
            </w14:solidFill>
          </w14:textFill>
        </w:rPr>
        <w:t>十</w:t>
      </w:r>
      <w:r>
        <w:rPr>
          <w:rFonts w:hint="eastAsia" w:ascii="宋体" w:hAnsi="宋体" w:cs="宋体"/>
          <w:b/>
          <w:bCs/>
          <w:color w:val="000000" w:themeColor="text1"/>
          <w:kern w:val="0"/>
          <w:sz w:val="24"/>
          <w:szCs w:val="24"/>
          <w:highlight w:val="none"/>
          <w:lang w:eastAsia="zh-CN"/>
          <w14:textFill>
            <w14:solidFill>
              <w14:schemeClr w14:val="tx1"/>
            </w14:solidFill>
          </w14:textFill>
        </w:rPr>
        <w:t>二</w:t>
      </w:r>
      <w:r>
        <w:rPr>
          <w:rFonts w:hint="eastAsia" w:ascii="宋体" w:hAnsi="宋体" w:cs="宋体"/>
          <w:b/>
          <w:bCs/>
          <w:color w:val="000000" w:themeColor="text1"/>
          <w:kern w:val="0"/>
          <w:sz w:val="24"/>
          <w:szCs w:val="24"/>
          <w:highlight w:val="none"/>
          <w14:textFill>
            <w14:solidFill>
              <w14:schemeClr w14:val="tx1"/>
            </w14:solidFill>
          </w14:textFill>
        </w:rPr>
        <w:t>、投标报价说明：</w:t>
      </w:r>
    </w:p>
    <w:p w14:paraId="3464E77B">
      <w:pPr>
        <w:widowControl/>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投标报价包括采购清单和图纸范围内所有工程量、物资材料的采购等一切费用，具体内容详见技术要求、清单及图纸，有不一致处以高标准为准。若清单中未说明或与上述招标范围说明不符的，均应在本次投标报价中考虑，投标报价视为完成图纸和清单所有工程内容的总价，供应商提出的工程清单漏项或者工程量有误均不作为调整合同价款的依据。工程范围包含清单和图纸所列所有内容以及为事先设计使用功能明列和隐含的工程项目。供应商应综合考虑该项目涉及到安装、材料的运输保管、材料装卸、其他项目措施费、规费、税金等费用，工程结算时不作调整。本项目按工程量清单计价模式进行计价。供应商按照采购文件附件《工程量清单》要求报价。</w:t>
      </w:r>
    </w:p>
    <w:p w14:paraId="22CB4C33">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2.结算综合单价={（最后投标报价-暂列金额-专业工程暂估价）/（首轮投标报价-暂列金额-专业工程暂估价）}*首轮报价中的综合单价。</w:t>
      </w:r>
    </w:p>
    <w:p w14:paraId="7B5662E7">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3.本工程现场不安排临时设施等用地，在校外安排生活设施等费用供应商自行报价（该费用已由供应商在投标时综合考虑并已考虑到投标报价中）；</w:t>
      </w:r>
    </w:p>
    <w:p w14:paraId="3E414D41">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4.成交供应商需做好现场及成品保护工作（包含原有设备、建筑物、道路、绿化等，该费用由供应商在投标时综合考虑并已考虑到投标报价中）；</w:t>
      </w:r>
    </w:p>
    <w:p w14:paraId="6159447B">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5.拆除项目中垃圾和余土要求装袋、外运及无害化处理，供应商自行考虑报价，校园内不允许堆放任何垃圾（清单项目特征中不再重复描述），如有残值的材料必须经采购人确认后，供应商自行处理。</w:t>
      </w:r>
    </w:p>
    <w:p w14:paraId="0BAFCB1D">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lang w:val="zh-CN"/>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w:t>
      </w:r>
      <w:r>
        <w:rPr>
          <w:rFonts w:hint="eastAsia" w:ascii="宋体" w:hAnsi="宋体" w:cs="宋体"/>
          <w:color w:val="000000" w:themeColor="text1"/>
          <w:kern w:val="0"/>
          <w:sz w:val="24"/>
          <w:szCs w:val="24"/>
          <w:highlight w:val="none"/>
          <w:lang w:val="zh-CN"/>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施工期间，学校不提供食宿，自行解决。</w:t>
      </w:r>
    </w:p>
    <w:p w14:paraId="75CE4F62">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7.对因不可抗力导致工期延误，合理顺延合同工期，对于停工期间或工期延误增加的费用供应商应考虑到投标报价中，结算时将不再调整。</w:t>
      </w:r>
    </w:p>
    <w:p w14:paraId="637094E8">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8.现场满足环保及政府相关要求。</w:t>
      </w:r>
    </w:p>
    <w:p w14:paraId="591FD66C">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9.供应商应充分熟悉图纸，并在合同签订后</w:t>
      </w:r>
      <w:r>
        <w:rPr>
          <w:rFonts w:hint="eastAsia" w:ascii="宋体" w:hAnsi="宋体" w:cs="宋体"/>
          <w:color w:val="000000" w:themeColor="text1"/>
          <w:kern w:val="0"/>
          <w:sz w:val="24"/>
          <w:szCs w:val="24"/>
          <w:highlight w:val="none"/>
          <w:lang w:val="en-US" w:eastAsia="zh-CN"/>
          <w14:textFill>
            <w14:solidFill>
              <w14:schemeClr w14:val="tx1"/>
            </w14:solidFill>
          </w14:textFill>
        </w:rPr>
        <w:t>5</w:t>
      </w:r>
      <w:r>
        <w:rPr>
          <w:rFonts w:hint="eastAsia" w:ascii="宋体" w:hAnsi="宋体" w:cs="宋体"/>
          <w:color w:val="000000" w:themeColor="text1"/>
          <w:kern w:val="0"/>
          <w:sz w:val="24"/>
          <w:szCs w:val="24"/>
          <w:highlight w:val="none"/>
          <w14:textFill>
            <w14:solidFill>
              <w14:schemeClr w14:val="tx1"/>
            </w14:solidFill>
          </w14:textFill>
        </w:rPr>
        <w:t>天内提供工程量清单复核报告，未能及时提供的每延误一天处以1000元违约金，工程量清单复核报告中未能提出工程量清单偏差的项目，结算时按不利于供应商的原则处理。</w:t>
      </w:r>
    </w:p>
    <w:p w14:paraId="12C2B86D">
      <w:pPr>
        <w:widowControl/>
        <w:spacing w:line="360" w:lineRule="auto"/>
        <w:ind w:firstLine="482" w:firstLineChars="200"/>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w:t>
      </w:r>
      <w:r>
        <w:rPr>
          <w:rFonts w:hint="eastAsia" w:ascii="宋体" w:hAnsi="宋体"/>
          <w:b/>
          <w:color w:val="000000" w:themeColor="text1"/>
          <w:sz w:val="24"/>
          <w:szCs w:val="24"/>
          <w:highlight w:val="none"/>
          <w:lang w:eastAsia="zh-CN"/>
          <w14:textFill>
            <w14:solidFill>
              <w14:schemeClr w14:val="tx1"/>
            </w14:solidFill>
          </w14:textFill>
        </w:rPr>
        <w:t>三</w:t>
      </w:r>
      <w:r>
        <w:rPr>
          <w:rFonts w:hint="eastAsia" w:ascii="宋体" w:hAnsi="宋体"/>
          <w:b/>
          <w:color w:val="000000" w:themeColor="text1"/>
          <w:sz w:val="24"/>
          <w:szCs w:val="24"/>
          <w:highlight w:val="none"/>
          <w14:textFill>
            <w14:solidFill>
              <w14:schemeClr w14:val="tx1"/>
            </w14:solidFill>
          </w14:textFill>
        </w:rPr>
        <w:t>、廉政承诺书</w:t>
      </w:r>
    </w:p>
    <w:p w14:paraId="42ACD3CA">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供应商须按“第六章 附件六 《投标单位廉政承诺书》”要求提供承诺书（如未按要求提供承诺书将引起投标文件无效）。 </w:t>
      </w:r>
    </w:p>
    <w:p w14:paraId="4F2E7830">
      <w:pPr>
        <w:widowControl/>
        <w:spacing w:line="360" w:lineRule="auto"/>
        <w:ind w:firstLine="482" w:firstLineChars="200"/>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w:t>
      </w:r>
      <w:r>
        <w:rPr>
          <w:rFonts w:hint="eastAsia" w:ascii="宋体" w:hAnsi="宋体"/>
          <w:b/>
          <w:color w:val="000000" w:themeColor="text1"/>
          <w:sz w:val="24"/>
          <w:szCs w:val="24"/>
          <w:highlight w:val="none"/>
          <w:lang w:eastAsia="zh-CN"/>
          <w14:textFill>
            <w14:solidFill>
              <w14:schemeClr w14:val="tx1"/>
            </w14:solidFill>
          </w14:textFill>
        </w:rPr>
        <w:t>四</w:t>
      </w:r>
      <w:r>
        <w:rPr>
          <w:rFonts w:hint="eastAsia" w:ascii="宋体" w:hAnsi="宋体"/>
          <w:b/>
          <w:color w:val="000000" w:themeColor="text1"/>
          <w:sz w:val="24"/>
          <w:szCs w:val="24"/>
          <w:highlight w:val="none"/>
          <w14:textFill>
            <w14:solidFill>
              <w14:schemeClr w14:val="tx1"/>
            </w14:solidFill>
          </w14:textFill>
        </w:rPr>
        <w:t>、磋商保证金</w:t>
      </w:r>
    </w:p>
    <w:p w14:paraId="1F20C645">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w:t>
      </w:r>
      <w:r>
        <w:rPr>
          <w:rFonts w:ascii="宋体" w:hAnsi="宋体" w:cs="宋体"/>
          <w:color w:val="000000" w:themeColor="text1"/>
          <w:sz w:val="24"/>
          <w:szCs w:val="24"/>
          <w:highlight w:val="none"/>
          <w14:textFill>
            <w14:solidFill>
              <w14:schemeClr w14:val="tx1"/>
            </w14:solidFill>
          </w14:textFill>
        </w:rPr>
        <w:t>保证金金额：人民币</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0000</w:t>
      </w:r>
      <w:r>
        <w:rPr>
          <w:rFonts w:ascii="宋体" w:hAnsi="宋体" w:cs="宋体"/>
          <w:color w:val="000000" w:themeColor="text1"/>
          <w:sz w:val="24"/>
          <w:szCs w:val="24"/>
          <w:highlight w:val="none"/>
          <w14:textFill>
            <w14:solidFill>
              <w14:schemeClr w14:val="tx1"/>
            </w14:solidFill>
          </w14:textFill>
        </w:rPr>
        <w:t>元（大写：</w:t>
      </w:r>
      <w:r>
        <w:rPr>
          <w:rFonts w:hint="eastAsia" w:ascii="宋体" w:hAnsi="宋体" w:eastAsia="宋体" w:cs="宋体"/>
          <w:color w:val="000000" w:themeColor="text1"/>
          <w:sz w:val="24"/>
          <w:szCs w:val="24"/>
          <w:highlight w:val="none"/>
          <w14:textFill>
            <w14:solidFill>
              <w14:schemeClr w14:val="tx1"/>
            </w14:solidFill>
          </w14:textFill>
        </w:rPr>
        <w:t>壹</w:t>
      </w:r>
      <w:r>
        <w:rPr>
          <w:rFonts w:hint="eastAsia" w:ascii="宋体" w:hAnsi="宋体" w:cs="宋体"/>
          <w:color w:val="000000" w:themeColor="text1"/>
          <w:sz w:val="24"/>
          <w:szCs w:val="24"/>
          <w:highlight w:val="none"/>
          <w14:textFill>
            <w14:solidFill>
              <w14:schemeClr w14:val="tx1"/>
            </w14:solidFill>
          </w14:textFill>
        </w:rPr>
        <w:t>万</w:t>
      </w:r>
      <w:r>
        <w:rPr>
          <w:rFonts w:ascii="宋体" w:hAnsi="宋体" w:cs="宋体"/>
          <w:color w:val="000000" w:themeColor="text1"/>
          <w:sz w:val="24"/>
          <w:szCs w:val="24"/>
          <w:highlight w:val="none"/>
          <w14:textFill>
            <w14:solidFill>
              <w14:schemeClr w14:val="tx1"/>
            </w14:solidFill>
          </w14:textFill>
        </w:rPr>
        <w:t xml:space="preserve">圆整） </w:t>
      </w:r>
    </w:p>
    <w:p w14:paraId="4316D04C">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w:t>
      </w:r>
      <w:r>
        <w:rPr>
          <w:rFonts w:ascii="宋体" w:hAnsi="宋体" w:cs="宋体"/>
          <w:color w:val="000000" w:themeColor="text1"/>
          <w:sz w:val="24"/>
          <w:szCs w:val="24"/>
          <w:highlight w:val="none"/>
          <w14:textFill>
            <w14:solidFill>
              <w14:schemeClr w14:val="tx1"/>
            </w14:solidFill>
          </w14:textFill>
        </w:rPr>
        <w:t xml:space="preserve">保证金和服务费银行及账号： </w:t>
      </w:r>
    </w:p>
    <w:p w14:paraId="404DA382">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开户单位：</w:t>
      </w:r>
      <w:r>
        <w:rPr>
          <w:rFonts w:hint="eastAsia" w:ascii="宋体" w:hAnsi="宋体" w:cs="宋体"/>
          <w:color w:val="000000" w:themeColor="text1"/>
          <w:sz w:val="24"/>
          <w:szCs w:val="24"/>
          <w:highlight w:val="none"/>
          <w14:textFill>
            <w14:solidFill>
              <w14:schemeClr w14:val="tx1"/>
            </w14:solidFill>
          </w14:textFill>
        </w:rPr>
        <w:t>南京苏宁工程咨询有限公司</w:t>
      </w:r>
    </w:p>
    <w:p w14:paraId="7D2C0B0C">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开户银行：</w:t>
      </w:r>
      <w:r>
        <w:rPr>
          <w:rFonts w:hint="eastAsia" w:ascii="宋体" w:hAnsi="宋体" w:cs="宋体"/>
          <w:color w:val="000000" w:themeColor="text1"/>
          <w:sz w:val="24"/>
          <w:szCs w:val="24"/>
          <w:highlight w:val="none"/>
          <w14:textFill>
            <w14:solidFill>
              <w14:schemeClr w14:val="tx1"/>
            </w14:solidFill>
          </w14:textFill>
        </w:rPr>
        <w:t>南京银行中山东路支行</w:t>
      </w:r>
      <w:r>
        <w:rPr>
          <w:rFonts w:ascii="宋体" w:hAnsi="宋体" w:cs="宋体"/>
          <w:color w:val="000000" w:themeColor="text1"/>
          <w:sz w:val="24"/>
          <w:szCs w:val="24"/>
          <w:highlight w:val="none"/>
          <w14:textFill>
            <w14:solidFill>
              <w14:schemeClr w14:val="tx1"/>
            </w14:solidFill>
          </w14:textFill>
        </w:rPr>
        <w:t xml:space="preserve"> </w:t>
      </w:r>
    </w:p>
    <w:p w14:paraId="3E0ADCA8">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账号：0168200000000605 </w:t>
      </w:r>
    </w:p>
    <w:p w14:paraId="7D5A710F">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汇款时需备注：</w:t>
      </w:r>
      <w:r>
        <w:rPr>
          <w:rFonts w:hint="eastAsia" w:ascii="宋体" w:hAnsi="宋体" w:cs="宋体"/>
          <w:color w:val="000000" w:themeColor="text1"/>
          <w:sz w:val="24"/>
          <w:szCs w:val="24"/>
          <w:highlight w:val="none"/>
          <w14:textFill>
            <w14:solidFill>
              <w14:schemeClr w14:val="tx1"/>
            </w14:solidFill>
          </w14:textFill>
        </w:rPr>
        <w:t>SNZX-</w:t>
      </w:r>
      <w:r>
        <w:rPr>
          <w:rFonts w:hint="eastAsia" w:ascii="宋体" w:hAnsi="宋体" w:cs="宋体"/>
          <w:color w:val="000000" w:themeColor="text1"/>
          <w:sz w:val="24"/>
          <w:szCs w:val="24"/>
          <w:highlight w:val="none"/>
          <w:lang w:eastAsia="zh-CN"/>
          <w14:textFill>
            <w14:solidFill>
              <w14:schemeClr w14:val="tx1"/>
            </w14:solidFill>
          </w14:textFill>
        </w:rPr>
        <w:t>20260241</w:t>
      </w:r>
      <w:r>
        <w:rPr>
          <w:rFonts w:hint="eastAsia"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保证金</w:t>
      </w:r>
    </w:p>
    <w:p w14:paraId="7FA5D149">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磋商保证金应在投标截止时间前递交到南京苏宁工程咨询有限公司，并将磋商保证金缴纳凭证复印件编入响应文件中。</w:t>
      </w:r>
    </w:p>
    <w:p w14:paraId="2762AC33">
      <w:pPr>
        <w:numPr>
          <w:ilvl w:val="0"/>
          <w:numId w:val="0"/>
        </w:numPr>
        <w:spacing w:line="360" w:lineRule="auto"/>
        <w:ind w:firstLine="361" w:firstLineChars="100"/>
        <w:jc w:val="center"/>
        <w:rPr>
          <w:rFonts w:hint="eastAsia" w:ascii="宋体" w:hAnsi="宋体" w:cs="宋体"/>
          <w:b/>
          <w:color w:val="000000" w:themeColor="text1"/>
          <w:sz w:val="36"/>
          <w:szCs w:val="36"/>
          <w:highlight w:val="none"/>
          <w:lang w:val="zh-CN"/>
          <w14:textFill>
            <w14:solidFill>
              <w14:schemeClr w14:val="tx1"/>
            </w14:solidFill>
          </w14:textFill>
        </w:rPr>
      </w:pPr>
    </w:p>
    <w:p w14:paraId="53C8D30D">
      <w:pPr>
        <w:tabs>
          <w:tab w:val="center" w:pos="4567"/>
        </w:tabs>
        <w:spacing w:line="360" w:lineRule="auto"/>
        <w:jc w:val="center"/>
        <w:outlineLvl w:val="9"/>
        <w:rPr>
          <w:rFonts w:eastAsia="黑体"/>
          <w:bCs/>
          <w:color w:val="000000" w:themeColor="text1"/>
          <w:sz w:val="36"/>
          <w:szCs w:val="36"/>
          <w:highlight w:val="none"/>
          <w14:textFill>
            <w14:solidFill>
              <w14:schemeClr w14:val="tx1"/>
            </w14:solidFill>
          </w14:textFill>
        </w:rPr>
        <w:sectPr>
          <w:headerReference r:id="rId3" w:type="default"/>
          <w:footerReference r:id="rId4" w:type="default"/>
          <w:pgSz w:w="11906" w:h="16838"/>
          <w:pgMar w:top="1418" w:right="1418" w:bottom="1075" w:left="1418" w:header="510" w:footer="680" w:gutter="0"/>
          <w:cols w:space="720" w:num="1"/>
          <w:docGrid w:linePitch="290" w:charSpace="0"/>
        </w:sectPr>
      </w:pPr>
    </w:p>
    <w:p w14:paraId="2B09C1E7">
      <w:pPr>
        <w:tabs>
          <w:tab w:val="center" w:pos="4567"/>
        </w:tabs>
        <w:spacing w:line="360" w:lineRule="auto"/>
        <w:jc w:val="center"/>
        <w:outlineLvl w:val="0"/>
        <w:rPr>
          <w:rFonts w:eastAsia="黑体"/>
          <w:bCs/>
          <w:color w:val="000000" w:themeColor="text1"/>
          <w:sz w:val="36"/>
          <w:szCs w:val="36"/>
          <w:highlight w:val="none"/>
          <w14:textFill>
            <w14:solidFill>
              <w14:schemeClr w14:val="tx1"/>
            </w14:solidFill>
          </w14:textFill>
        </w:rPr>
      </w:pPr>
      <w:bookmarkStart w:id="36" w:name="_Toc17089"/>
      <w:bookmarkStart w:id="37" w:name="_Toc122415897"/>
      <w:r>
        <w:rPr>
          <w:rFonts w:hint="eastAsia" w:eastAsia="黑体"/>
          <w:bCs/>
          <w:color w:val="000000" w:themeColor="text1"/>
          <w:sz w:val="36"/>
          <w:szCs w:val="36"/>
          <w:highlight w:val="none"/>
          <w14:textFill>
            <w14:solidFill>
              <w14:schemeClr w14:val="tx1"/>
            </w14:solidFill>
          </w14:textFill>
        </w:rPr>
        <w:t>第五章 合同主要条款及格式</w:t>
      </w:r>
      <w:bookmarkEnd w:id="36"/>
      <w:bookmarkEnd w:id="37"/>
    </w:p>
    <w:p w14:paraId="22D331E4">
      <w:pPr>
        <w:keepNext/>
        <w:keepLines/>
        <w:numPr>
          <w:ilvl w:val="1"/>
          <w:numId w:val="4"/>
        </w:numPr>
        <w:spacing w:before="260" w:after="260" w:line="416" w:lineRule="auto"/>
        <w:ind w:left="0" w:leftChars="0" w:firstLine="0" w:firstLineChars="0"/>
        <w:jc w:val="center"/>
        <w:outlineLvl w:val="0"/>
        <w:rPr>
          <w:rFonts w:ascii="宋体" w:hAnsi="宋体" w:cs="宋体"/>
          <w:b/>
          <w:bCs/>
          <w:color w:val="000000" w:themeColor="text1"/>
          <w:sz w:val="32"/>
          <w:szCs w:val="32"/>
          <w:highlight w:val="none"/>
          <w14:textFill>
            <w14:solidFill>
              <w14:schemeClr w14:val="tx1"/>
            </w14:solidFill>
          </w14:textFill>
        </w:rPr>
      </w:pPr>
      <w:bookmarkStart w:id="38" w:name="_Toc30879"/>
      <w:r>
        <w:rPr>
          <w:rFonts w:hint="eastAsia" w:ascii="宋体" w:hAnsi="宋体" w:cs="宋体"/>
          <w:b/>
          <w:bCs/>
          <w:color w:val="000000" w:themeColor="text1"/>
          <w:sz w:val="32"/>
          <w:szCs w:val="32"/>
          <w:highlight w:val="none"/>
          <w14:textFill>
            <w14:solidFill>
              <w14:schemeClr w14:val="tx1"/>
            </w14:solidFill>
          </w14:textFill>
        </w:rPr>
        <w:t>第一部分 合同协议书</w:t>
      </w:r>
      <w:bookmarkEnd w:id="38"/>
    </w:p>
    <w:p w14:paraId="200C1415">
      <w:pPr>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发包人（全称）：</w:t>
      </w:r>
      <w:r>
        <w:rPr>
          <w:rFonts w:hint="eastAsia" w:ascii="宋体" w:hAnsi="宋体" w:cs="宋体"/>
          <w:b/>
          <w:color w:val="000000" w:themeColor="text1"/>
          <w:sz w:val="24"/>
          <w:szCs w:val="24"/>
          <w:highlight w:val="none"/>
          <w:u w:val="single"/>
          <w14:textFill>
            <w14:solidFill>
              <w14:schemeClr w14:val="tx1"/>
            </w14:solidFill>
          </w14:textFill>
        </w:rPr>
        <w:t>中国药科大学</w:t>
      </w:r>
    </w:p>
    <w:p w14:paraId="2B1C8392">
      <w:pPr>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承包人（全称）：</w:t>
      </w:r>
      <w:r>
        <w:rPr>
          <w:rFonts w:hint="eastAsia" w:ascii="宋体" w:hAnsi="宋体" w:cs="宋体"/>
          <w:b/>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2F3DB80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根据《中华人民共和国民法典》、《中华人民共和国建筑法》及有关法律规定，遵循平等、自愿、公平和诚实信用的原则，双方就</w:t>
      </w:r>
      <w:r>
        <w:rPr>
          <w:rFonts w:hint="eastAsia" w:ascii="宋体" w:hAnsi="宋体" w:cs="宋体"/>
          <w:color w:val="000000" w:themeColor="text1"/>
          <w:sz w:val="24"/>
          <w:szCs w:val="24"/>
          <w:highlight w:val="none"/>
          <w:u w:val="single"/>
          <w:lang w:eastAsia="zh-CN"/>
          <w14:textFill>
            <w14:solidFill>
              <w14:schemeClr w14:val="tx1"/>
            </w14:solidFill>
          </w14:textFill>
        </w:rPr>
        <w:t>中国药科大学江宁校区一食堂三楼部分包间修缮项目</w:t>
      </w:r>
      <w:r>
        <w:rPr>
          <w:rFonts w:hint="eastAsia" w:ascii="宋体" w:hAnsi="宋体" w:cs="宋体"/>
          <w:color w:val="000000" w:themeColor="text1"/>
          <w:sz w:val="24"/>
          <w:szCs w:val="24"/>
          <w:highlight w:val="none"/>
          <w14:textFill>
            <w14:solidFill>
              <w14:schemeClr w14:val="tx1"/>
            </w14:solidFill>
          </w14:textFill>
        </w:rPr>
        <w:t>及有关事项协商一致，共同达成如下协议：</w:t>
      </w:r>
    </w:p>
    <w:p w14:paraId="59338287">
      <w:pPr>
        <w:keepNext/>
        <w:keepLines/>
        <w:numPr>
          <w:ilvl w:val="3"/>
          <w:numId w:val="4"/>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一、工程概况</w:t>
      </w:r>
    </w:p>
    <w:p w14:paraId="0982C1DA">
      <w:pPr>
        <w:numPr>
          <w:ilvl w:val="0"/>
          <w:numId w:val="5"/>
        </w:numPr>
        <w:spacing w:line="360" w:lineRule="auto"/>
        <w:ind w:left="488" w:leftChars="228" w:hanging="9" w:hangingChars="4"/>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工程名称：</w:t>
      </w:r>
      <w:r>
        <w:rPr>
          <w:rFonts w:hint="eastAsia" w:ascii="宋体" w:hAnsi="宋体" w:cs="宋体"/>
          <w:color w:val="000000" w:themeColor="text1"/>
          <w:sz w:val="24"/>
          <w:szCs w:val="24"/>
          <w:highlight w:val="none"/>
          <w:u w:val="single"/>
          <w:lang w:eastAsia="zh-CN"/>
          <w14:textFill>
            <w14:solidFill>
              <w14:schemeClr w14:val="tx1"/>
            </w14:solidFill>
          </w14:textFill>
        </w:rPr>
        <w:t>中国药科大学江宁校区一食堂三楼部分包间修缮项目</w:t>
      </w:r>
    </w:p>
    <w:p w14:paraId="5CB369C8">
      <w:pPr>
        <w:spacing w:line="360" w:lineRule="auto"/>
        <w:ind w:left="470" w:leftChars="224"/>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2.工程地点：</w:t>
      </w:r>
      <w:r>
        <w:rPr>
          <w:rFonts w:hint="eastAsia" w:ascii="宋体" w:hAnsi="宋体" w:cs="宋体"/>
          <w:color w:val="000000" w:themeColor="text1"/>
          <w:sz w:val="24"/>
          <w:szCs w:val="24"/>
          <w:highlight w:val="none"/>
          <w:u w:val="single"/>
          <w14:textFill>
            <w14:solidFill>
              <w14:schemeClr w14:val="tx1"/>
            </w14:solidFill>
          </w14:textFill>
        </w:rPr>
        <w:t>中国药科大学江宁校区</w:t>
      </w:r>
    </w:p>
    <w:p w14:paraId="32E937DD">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3.资金来源：</w:t>
      </w:r>
      <w:r>
        <w:rPr>
          <w:rFonts w:hint="eastAsia" w:ascii="宋体" w:hAnsi="宋体" w:cs="宋体"/>
          <w:color w:val="000000" w:themeColor="text1"/>
          <w:sz w:val="24"/>
          <w:szCs w:val="24"/>
          <w:highlight w:val="none"/>
          <w:u w:val="single"/>
          <w14:textFill>
            <w14:solidFill>
              <w14:schemeClr w14:val="tx1"/>
            </w14:solidFill>
          </w14:textFill>
        </w:rPr>
        <w:t>财政资金       </w:t>
      </w:r>
      <w:r>
        <w:rPr>
          <w:rFonts w:hint="eastAsia" w:ascii="宋体" w:hAnsi="宋体" w:cs="宋体"/>
          <w:bCs/>
          <w:color w:val="000000" w:themeColor="text1"/>
          <w:sz w:val="24"/>
          <w:szCs w:val="24"/>
          <w:highlight w:val="none"/>
          <w14:textFill>
            <w14:solidFill>
              <w14:schemeClr w14:val="tx1"/>
            </w14:solidFill>
          </w14:textFill>
        </w:rPr>
        <w:t>。</w:t>
      </w:r>
    </w:p>
    <w:p w14:paraId="0F58890B">
      <w:pPr>
        <w:spacing w:line="348" w:lineRule="auto"/>
        <w:ind w:firstLine="48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4.工程内容：</w:t>
      </w:r>
      <w:r>
        <w:rPr>
          <w:rFonts w:hint="eastAsia" w:ascii="宋体" w:hAnsi="宋体" w:cs="宋体"/>
          <w:color w:val="000000" w:themeColor="text1"/>
          <w:sz w:val="24"/>
          <w:szCs w:val="24"/>
          <w:highlight w:val="none"/>
          <w14:textFill>
            <w14:solidFill>
              <w14:schemeClr w14:val="tx1"/>
            </w14:solidFill>
          </w14:textFill>
        </w:rPr>
        <w:t>江宁校区一食堂三层包间2、3、5、6、7、8、9、10、11、12共十个包间以及走道、烹饪间和后场卫生间以及更衣室的装修项目，主要内容包括地面、墙面、顶面的装饰装修以及桌子、座椅、消毒柜、灯具、门牌等设备设施的更换，门的出新等，具体详见采购需求、招标工程量清单及图纸。</w:t>
      </w:r>
    </w:p>
    <w:p w14:paraId="1402F6FD">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群体工程应附《承包人承揽工程项目一览表》。</w:t>
      </w:r>
    </w:p>
    <w:p w14:paraId="36F1DBF8">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5.工程承包范围：</w:t>
      </w:r>
    </w:p>
    <w:p w14:paraId="661B313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图纸及工程量清单范围内所有内容</w:t>
      </w:r>
      <w:r>
        <w:rPr>
          <w:rFonts w:hint="eastAsia" w:ascii="宋体" w:hAnsi="宋体" w:cs="宋体"/>
          <w:color w:val="000000" w:themeColor="text1"/>
          <w:sz w:val="24"/>
          <w:szCs w:val="24"/>
          <w:highlight w:val="none"/>
          <w14:textFill>
            <w14:solidFill>
              <w14:schemeClr w14:val="tx1"/>
            </w14:solidFill>
          </w14:textFill>
        </w:rPr>
        <w:t>。</w:t>
      </w:r>
    </w:p>
    <w:p w14:paraId="2C9761BF">
      <w:pPr>
        <w:keepNext/>
        <w:keepLines/>
        <w:numPr>
          <w:ilvl w:val="0"/>
          <w:numId w:val="6"/>
        </w:numPr>
        <w:spacing w:before="120" w:after="120" w:line="360" w:lineRule="auto"/>
        <w:outlineLvl w:val="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合同工期</w:t>
      </w:r>
    </w:p>
    <w:p w14:paraId="0138A24B">
      <w:pPr>
        <w:spacing w:line="360" w:lineRule="auto"/>
        <w:ind w:firstLine="45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计划开工日期</w:t>
      </w:r>
      <w:r>
        <w:rPr>
          <w:rFonts w:hint="eastAsia"/>
          <w:color w:val="000000" w:themeColor="text1"/>
          <w:highlight w:val="none"/>
          <w:u w:val="single"/>
          <w14:textFill>
            <w14:solidFill>
              <w14:schemeClr w14:val="tx1"/>
            </w14:solidFill>
          </w14:textFill>
        </w:rPr>
        <w:t>202</w:t>
      </w:r>
      <w:r>
        <w:rPr>
          <w:rFonts w:hint="eastAsia"/>
          <w:color w:val="000000" w:themeColor="text1"/>
          <w:highlight w:val="none"/>
          <w:u w:val="single"/>
          <w:lang w:val="en-US" w:eastAsia="zh-CN"/>
          <w14:textFill>
            <w14:solidFill>
              <w14:schemeClr w14:val="tx1"/>
            </w14:solidFill>
          </w14:textFill>
        </w:rPr>
        <w:t>6</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年 </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日</w:t>
      </w:r>
      <w:r>
        <w:rPr>
          <w:rFonts w:hint="eastAsia" w:ascii="宋体" w:hAnsi="宋体" w:cs="宋体"/>
          <w:color w:val="000000" w:themeColor="text1"/>
          <w:sz w:val="24"/>
          <w:szCs w:val="24"/>
          <w:highlight w:val="none"/>
          <w:u w:val="single"/>
          <w14:textFill>
            <w14:solidFill>
              <w14:schemeClr w14:val="tx1"/>
            </w14:solidFill>
          </w14:textFill>
        </w:rPr>
        <w:t>（发包人通知为准）。</w:t>
      </w:r>
    </w:p>
    <w:p w14:paraId="292BC8A3">
      <w:pPr>
        <w:keepNext/>
        <w:keepLines/>
        <w:spacing w:before="120"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计划竣工日期：</w:t>
      </w:r>
      <w:r>
        <w:rPr>
          <w:rFonts w:hint="eastAsia"/>
          <w:color w:val="000000" w:themeColor="text1"/>
          <w:highlight w:val="none"/>
          <w:u w:val="single"/>
          <w14:textFill>
            <w14:solidFill>
              <w14:schemeClr w14:val="tx1"/>
            </w14:solidFill>
          </w14:textFill>
        </w:rPr>
        <w:t>202</w:t>
      </w:r>
      <w:r>
        <w:rPr>
          <w:rFonts w:hint="eastAsia"/>
          <w:color w:val="000000" w:themeColor="text1"/>
          <w:highlight w:val="none"/>
          <w:u w:val="single"/>
          <w:lang w:val="en-US" w:eastAsia="zh-CN"/>
          <w14:textFill>
            <w14:solidFill>
              <w14:schemeClr w14:val="tx1"/>
            </w14:solidFill>
          </w14:textFill>
        </w:rPr>
        <w:t>6</w:t>
      </w:r>
      <w:r>
        <w:rPr>
          <w:color w:val="000000" w:themeColor="text1"/>
          <w:highlight w:val="none"/>
          <w14:textFill>
            <w14:solidFill>
              <w14:schemeClr w14:val="tx1"/>
            </w14:solidFill>
          </w14:textFill>
        </w:rPr>
        <w:t xml:space="preserve">年 </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日</w:t>
      </w:r>
      <w:r>
        <w:rPr>
          <w:rFonts w:hint="eastAsia" w:ascii="宋体" w:hAnsi="宋体" w:cs="宋体"/>
          <w:color w:val="000000" w:themeColor="text1"/>
          <w:sz w:val="24"/>
          <w:szCs w:val="24"/>
          <w:highlight w:val="none"/>
          <w14:textFill>
            <w14:solidFill>
              <w14:schemeClr w14:val="tx1"/>
            </w14:solidFill>
          </w14:textFill>
        </w:rPr>
        <w:t>。</w:t>
      </w:r>
    </w:p>
    <w:p w14:paraId="5F3ED4A7">
      <w:pPr>
        <w:spacing w:line="360" w:lineRule="auto"/>
        <w:ind w:firstLine="45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工期总日历天数：</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日历天，工期总日历天数与根据前述计划开竣工日期计算的工期天数不一致的，以工期总日历天数为准。</w:t>
      </w:r>
    </w:p>
    <w:p w14:paraId="31B28589">
      <w:pPr>
        <w:keepNext/>
        <w:keepLines/>
        <w:numPr>
          <w:ilvl w:val="3"/>
          <w:numId w:val="4"/>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三、质量标准</w:t>
      </w:r>
    </w:p>
    <w:p w14:paraId="11A92090">
      <w:pPr>
        <w:spacing w:line="360" w:lineRule="auto"/>
        <w:ind w:firstLine="480" w:firstLineChars="200"/>
        <w:rPr>
          <w:rFonts w:ascii="宋体" w:hAnsi="宋体" w:cs="宋体"/>
          <w:bCs/>
          <w:snapToGrid w:val="0"/>
          <w:color w:val="000000" w:themeColor="text1"/>
          <w:kern w:val="0"/>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工程质量：</w:t>
      </w:r>
      <w:r>
        <w:rPr>
          <w:rFonts w:hint="eastAsia" w:ascii="宋体" w:hAnsi="宋体" w:cs="宋体"/>
          <w:color w:val="000000" w:themeColor="text1"/>
          <w:sz w:val="24"/>
          <w:szCs w:val="24"/>
          <w:highlight w:val="none"/>
          <w:u w:val="single"/>
          <w14:textFill>
            <w14:solidFill>
              <w14:schemeClr w14:val="tx1"/>
            </w14:solidFill>
          </w14:textFill>
        </w:rPr>
        <w:t>符合国家现行质量验收标准及</w:t>
      </w:r>
      <w:r>
        <w:rPr>
          <w:rFonts w:ascii="宋体" w:hAnsi="宋体" w:cs="宋体"/>
          <w:color w:val="000000" w:themeColor="text1"/>
          <w:sz w:val="24"/>
          <w:szCs w:val="24"/>
          <w:highlight w:val="none"/>
          <w:u w:val="single"/>
          <w14:textFill>
            <w14:solidFill>
              <w14:schemeClr w14:val="tx1"/>
            </w14:solidFill>
          </w14:textFill>
        </w:rPr>
        <w:t>发包人要求</w:t>
      </w:r>
    </w:p>
    <w:p w14:paraId="73558445">
      <w:pPr>
        <w:keepNext/>
        <w:keepLines/>
        <w:numPr>
          <w:ilvl w:val="3"/>
          <w:numId w:val="4"/>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四、签约合同价与合同价格形式</w:t>
      </w:r>
      <w:r>
        <w:rPr>
          <w:rFonts w:hint="eastAsia" w:ascii="宋体" w:hAnsi="宋体" w:cs="宋体"/>
          <w:bCs/>
          <w:color w:val="000000" w:themeColor="text1"/>
          <w:sz w:val="24"/>
          <w:szCs w:val="24"/>
          <w:highlight w:val="none"/>
          <w14:textFill>
            <w14:solidFill>
              <w14:schemeClr w14:val="tx1"/>
            </w14:solidFill>
          </w14:textFill>
        </w:rPr>
        <w:tab/>
      </w:r>
    </w:p>
    <w:p w14:paraId="581F1B10">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1.签约合同价为：</w:t>
      </w:r>
    </w:p>
    <w:p w14:paraId="0716E70C">
      <w:pPr>
        <w:spacing w:line="360" w:lineRule="auto"/>
        <w:ind w:firstLine="600" w:firstLineChars="2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598BA45C">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其中：</w:t>
      </w:r>
    </w:p>
    <w:p w14:paraId="2FD99B0B">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（1）安全文明施工费：</w:t>
      </w:r>
    </w:p>
    <w:p w14:paraId="117C5C57">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3B67C9F2">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（2）材料和工程设备暂估价金额：</w:t>
      </w:r>
    </w:p>
    <w:p w14:paraId="1A71A403">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2A7B467A">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（3）专业工程暂估价金额</w:t>
      </w:r>
      <w:r>
        <w:rPr>
          <w:rFonts w:hint="eastAsia" w:ascii="宋体" w:hAnsi="宋体"/>
          <w:bCs/>
          <w:color w:val="000000" w:themeColor="text1"/>
          <w:sz w:val="24"/>
          <w:szCs w:val="24"/>
          <w:highlight w:val="none"/>
          <w14:textFill>
            <w14:solidFill>
              <w14:schemeClr w14:val="tx1"/>
            </w14:solidFill>
          </w14:textFill>
        </w:rPr>
        <w:t>（含规费税金）</w:t>
      </w:r>
      <w:r>
        <w:rPr>
          <w:rFonts w:ascii="宋体" w:hAnsi="宋体"/>
          <w:bCs/>
          <w:color w:val="000000" w:themeColor="text1"/>
          <w:sz w:val="24"/>
          <w:szCs w:val="24"/>
          <w:highlight w:val="none"/>
          <w14:textFill>
            <w14:solidFill>
              <w14:schemeClr w14:val="tx1"/>
            </w14:solidFill>
          </w14:textFill>
        </w:rPr>
        <w:t>：</w:t>
      </w:r>
    </w:p>
    <w:p w14:paraId="0C0C6C39">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789A24CF">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（4）暂列金额</w:t>
      </w:r>
      <w:r>
        <w:rPr>
          <w:rFonts w:hint="eastAsia" w:ascii="宋体" w:hAnsi="宋体"/>
          <w:bCs/>
          <w:color w:val="000000" w:themeColor="text1"/>
          <w:sz w:val="24"/>
          <w:szCs w:val="24"/>
          <w:highlight w:val="none"/>
          <w14:textFill>
            <w14:solidFill>
              <w14:schemeClr w14:val="tx1"/>
            </w14:solidFill>
          </w14:textFill>
        </w:rPr>
        <w:t>（含规费税金）</w:t>
      </w:r>
      <w:r>
        <w:rPr>
          <w:rFonts w:ascii="宋体" w:hAnsi="宋体"/>
          <w:bCs/>
          <w:color w:val="000000" w:themeColor="text1"/>
          <w:sz w:val="24"/>
          <w:szCs w:val="24"/>
          <w:highlight w:val="none"/>
          <w14:textFill>
            <w14:solidFill>
              <w14:schemeClr w14:val="tx1"/>
            </w14:solidFill>
          </w14:textFill>
        </w:rPr>
        <w:t>：</w:t>
      </w:r>
    </w:p>
    <w:p w14:paraId="288D1E80">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501946A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2.合同价格形式：</w:t>
      </w:r>
      <w:r>
        <w:rPr>
          <w:rFonts w:hint="eastAsia" w:ascii="宋体" w:hAnsi="宋体" w:cs="宋体"/>
          <w:color w:val="000000" w:themeColor="text1"/>
          <w:sz w:val="24"/>
          <w:szCs w:val="24"/>
          <w:highlight w:val="none"/>
          <w:u w:val="single"/>
          <w14:textFill>
            <w14:solidFill>
              <w14:schemeClr w14:val="tx1"/>
            </w14:solidFill>
          </w14:textFill>
        </w:rPr>
        <w:t>单价合同</w:t>
      </w:r>
      <w:r>
        <w:rPr>
          <w:rFonts w:hint="eastAsia" w:ascii="宋体" w:hAnsi="宋体" w:cs="宋体"/>
          <w:color w:val="000000" w:themeColor="text1"/>
          <w:sz w:val="24"/>
          <w:szCs w:val="24"/>
          <w:highlight w:val="none"/>
          <w14:textFill>
            <w14:solidFill>
              <w14:schemeClr w14:val="tx1"/>
            </w14:solidFill>
          </w14:textFill>
        </w:rPr>
        <w:t>。</w:t>
      </w:r>
    </w:p>
    <w:p w14:paraId="243581A3">
      <w:pPr>
        <w:keepNext/>
        <w:keepLines/>
        <w:numPr>
          <w:ilvl w:val="3"/>
          <w:numId w:val="4"/>
        </w:numPr>
        <w:spacing w:before="120" w:after="120" w:line="360" w:lineRule="auto"/>
        <w:ind w:left="0" w:leftChars="0" w:firstLine="0" w:firstLineChars="0"/>
        <w:outlineLvl w:val="9"/>
        <w:rPr>
          <w:rFonts w:ascii="宋体" w:hAnsi="宋体" w:cs="宋体"/>
          <w:bCs/>
          <w:color w:val="000000" w:themeColor="text1"/>
          <w:sz w:val="24"/>
          <w:szCs w:val="24"/>
          <w:highlight w:val="none"/>
          <w14:textFill>
            <w14:solidFill>
              <w14:schemeClr w14:val="tx1"/>
            </w14:solidFill>
          </w14:textFill>
        </w:rPr>
      </w:pPr>
      <w:bookmarkStart w:id="39" w:name="_Toc351203485"/>
      <w:r>
        <w:rPr>
          <w:rFonts w:hint="eastAsia" w:ascii="宋体" w:hAnsi="宋体" w:cs="宋体"/>
          <w:bCs/>
          <w:color w:val="000000" w:themeColor="text1"/>
          <w:sz w:val="24"/>
          <w:szCs w:val="24"/>
          <w:highlight w:val="none"/>
          <w14:textFill>
            <w14:solidFill>
              <w14:schemeClr w14:val="tx1"/>
            </w14:solidFill>
          </w14:textFill>
        </w:rPr>
        <w:t>五、</w:t>
      </w:r>
      <w:bookmarkEnd w:id="39"/>
      <w:r>
        <w:rPr>
          <w:rFonts w:hint="eastAsia" w:ascii="宋体" w:hAnsi="宋体" w:cs="宋体"/>
          <w:bCs/>
          <w:color w:val="000000" w:themeColor="text1"/>
          <w:sz w:val="24"/>
          <w:szCs w:val="24"/>
          <w:highlight w:val="none"/>
          <w14:textFill>
            <w14:solidFill>
              <w14:schemeClr w14:val="tx1"/>
            </w14:solidFill>
          </w14:textFill>
        </w:rPr>
        <w:t>项目经理</w:t>
      </w:r>
    </w:p>
    <w:p w14:paraId="6EFF390B">
      <w:pPr>
        <w:keepNext/>
        <w:keepLines/>
        <w:numPr>
          <w:ilvl w:val="3"/>
          <w:numId w:val="4"/>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承包人项目经理：</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p>
    <w:p w14:paraId="480F766A">
      <w:pPr>
        <w:keepNext/>
        <w:keepLines/>
        <w:numPr>
          <w:ilvl w:val="3"/>
          <w:numId w:val="4"/>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六、合同文件构成</w:t>
      </w:r>
    </w:p>
    <w:p w14:paraId="1BF1C1FC">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本协议书与下列文件一起构成合同文件：</w:t>
      </w:r>
    </w:p>
    <w:p w14:paraId="5740C191">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（1）中标通知书（如果有）；</w:t>
      </w:r>
    </w:p>
    <w:p w14:paraId="4BCBB9A4">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（2）投标函及其附录（如果有）； </w:t>
      </w:r>
    </w:p>
    <w:p w14:paraId="5A51FAC5">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（3）专用合同条款及其附件；</w:t>
      </w:r>
    </w:p>
    <w:p w14:paraId="68394C55">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（4）通用合同条款；</w:t>
      </w:r>
    </w:p>
    <w:p w14:paraId="69F58F2B">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（5）技术标准和要求；</w:t>
      </w:r>
    </w:p>
    <w:p w14:paraId="3F59E57F">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（6）图纸；</w:t>
      </w:r>
    </w:p>
    <w:p w14:paraId="63E33ABE">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（7）已标价工程量清单或预算书；</w:t>
      </w:r>
    </w:p>
    <w:p w14:paraId="2342636B">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（8）其他合同文件。</w:t>
      </w:r>
    </w:p>
    <w:p w14:paraId="41339209">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在合同订立及履行过程中形成的与合同有关的文件均构成合同文件组成部分。</w:t>
      </w:r>
    </w:p>
    <w:p w14:paraId="1BCCF417">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上述各项合同文件包括合同当事人就该项合同文件所作出的补充和修改，属于同一类内容的文件，应以最新签署的为准。专用合同条款及其附件须经合同当事人签字或盖章。</w:t>
      </w:r>
    </w:p>
    <w:p w14:paraId="38E3F6F3">
      <w:pPr>
        <w:keepNext/>
        <w:keepLines/>
        <w:numPr>
          <w:ilvl w:val="3"/>
          <w:numId w:val="4"/>
        </w:numPr>
        <w:spacing w:before="120" w:after="120" w:line="360" w:lineRule="auto"/>
        <w:ind w:left="0" w:leftChars="0" w:firstLine="0" w:firstLineChars="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七、承诺</w:t>
      </w:r>
    </w:p>
    <w:p w14:paraId="2F8BDCCE">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1.发包人承诺按照法律规定履行项目审批手续、筹集工程建设资金并按照合同约定的期限和方式支付合同价款。</w:t>
      </w:r>
    </w:p>
    <w:p w14:paraId="60897422">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2.承包人承诺按照法律规定及合同约定组织完成工程施工，确保工程质量和安全，不进行转包及违法分包，并在缺陷责任期及保修期内承担相应的工程维修责任。</w:t>
      </w:r>
    </w:p>
    <w:p w14:paraId="61CFCECD">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3.发包人和承包人通过招投标形式签订合同的，双方理解并承诺不再就同一工程另行签订与合同实质性内容相背离的协议。</w:t>
      </w:r>
    </w:p>
    <w:p w14:paraId="52E22EAE">
      <w:pPr>
        <w:keepNext/>
        <w:keepLines/>
        <w:numPr>
          <w:ilvl w:val="3"/>
          <w:numId w:val="4"/>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八、词语含义</w:t>
      </w:r>
    </w:p>
    <w:p w14:paraId="5DA2102A">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本协议书中词语含义与第二部分通用合同条款中赋予的含义相同。</w:t>
      </w:r>
    </w:p>
    <w:p w14:paraId="20CAAECC">
      <w:pPr>
        <w:keepNext/>
        <w:keepLines/>
        <w:numPr>
          <w:ilvl w:val="3"/>
          <w:numId w:val="4"/>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九、签订时间</w:t>
      </w:r>
    </w:p>
    <w:p w14:paraId="7C77E376">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本合同于</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年</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月</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日签订。</w:t>
      </w:r>
    </w:p>
    <w:p w14:paraId="3FCAAE62">
      <w:pPr>
        <w:keepNext/>
        <w:keepLines/>
        <w:numPr>
          <w:ilvl w:val="3"/>
          <w:numId w:val="4"/>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十、签订地点</w:t>
      </w:r>
    </w:p>
    <w:p w14:paraId="0BBD1476">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本合同在</w:t>
      </w:r>
      <w:r>
        <w:rPr>
          <w:rFonts w:hint="eastAsia" w:ascii="宋体" w:hAnsi="宋体" w:cs="宋体"/>
          <w:bCs/>
          <w:color w:val="000000" w:themeColor="text1"/>
          <w:sz w:val="24"/>
          <w:szCs w:val="24"/>
          <w:highlight w:val="none"/>
          <w:u w:val="single"/>
          <w14:textFill>
            <w14:solidFill>
              <w14:schemeClr w14:val="tx1"/>
            </w14:solidFill>
          </w14:textFill>
        </w:rPr>
        <w:t xml:space="preserve"> 南京市江宁区 </w:t>
      </w:r>
      <w:r>
        <w:rPr>
          <w:rFonts w:hint="eastAsia" w:ascii="宋体" w:hAnsi="宋体" w:cs="宋体"/>
          <w:bCs/>
          <w:color w:val="000000" w:themeColor="text1"/>
          <w:sz w:val="24"/>
          <w:szCs w:val="24"/>
          <w:highlight w:val="none"/>
          <w14:textFill>
            <w14:solidFill>
              <w14:schemeClr w14:val="tx1"/>
            </w14:solidFill>
          </w14:textFill>
        </w:rPr>
        <w:t xml:space="preserve"> 签订。</w:t>
      </w:r>
    </w:p>
    <w:p w14:paraId="3A215065">
      <w:pPr>
        <w:keepNext/>
        <w:keepLines/>
        <w:numPr>
          <w:ilvl w:val="3"/>
          <w:numId w:val="4"/>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十一、补充协议</w:t>
      </w:r>
    </w:p>
    <w:p w14:paraId="564A9BFC">
      <w:pPr>
        <w:spacing w:line="360" w:lineRule="auto"/>
        <w:ind w:firstLine="480"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合同未尽事宜，合同当事人另行签订补充协议，补充协议是合同的组成部分。</w:t>
      </w:r>
    </w:p>
    <w:p w14:paraId="1CD87C78">
      <w:pPr>
        <w:keepNext/>
        <w:keepLines/>
        <w:numPr>
          <w:ilvl w:val="3"/>
          <w:numId w:val="4"/>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十二、合同生效</w:t>
      </w:r>
    </w:p>
    <w:p w14:paraId="377966EE">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本合同自</w:t>
      </w:r>
      <w:r>
        <w:rPr>
          <w:rFonts w:hint="eastAsia" w:ascii="宋体" w:hAnsi="宋体" w:cs="宋体"/>
          <w:bCs/>
          <w:color w:val="000000" w:themeColor="text1"/>
          <w:sz w:val="24"/>
          <w:szCs w:val="24"/>
          <w:highlight w:val="none"/>
          <w:u w:val="single"/>
          <w14:textFill>
            <w14:solidFill>
              <w14:schemeClr w14:val="tx1"/>
            </w14:solidFill>
          </w14:textFill>
        </w:rPr>
        <w:t xml:space="preserve"> 双方盖章且签字后 </w:t>
      </w:r>
      <w:r>
        <w:rPr>
          <w:rFonts w:hint="eastAsia" w:ascii="宋体" w:hAnsi="宋体" w:cs="宋体"/>
          <w:bCs/>
          <w:color w:val="000000" w:themeColor="text1"/>
          <w:sz w:val="24"/>
          <w:szCs w:val="24"/>
          <w:highlight w:val="none"/>
          <w14:textFill>
            <w14:solidFill>
              <w14:schemeClr w14:val="tx1"/>
            </w14:solidFill>
          </w14:textFill>
        </w:rPr>
        <w:t>生效。</w:t>
      </w:r>
    </w:p>
    <w:p w14:paraId="2003D162">
      <w:pPr>
        <w:keepNext/>
        <w:keepLines/>
        <w:numPr>
          <w:ilvl w:val="3"/>
          <w:numId w:val="4"/>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十三、合同份数</w:t>
      </w:r>
    </w:p>
    <w:p w14:paraId="49A12C15">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本合同一式</w:t>
      </w:r>
      <w:r>
        <w:rPr>
          <w:rFonts w:hint="eastAsia" w:ascii="宋体" w:hAnsi="宋体" w:cs="宋体"/>
          <w:bCs/>
          <w:color w:val="000000" w:themeColor="text1"/>
          <w:sz w:val="24"/>
          <w:szCs w:val="24"/>
          <w:highlight w:val="none"/>
          <w:u w:val="single"/>
          <w14:textFill>
            <w14:solidFill>
              <w14:schemeClr w14:val="tx1"/>
            </w14:solidFill>
          </w14:textFill>
        </w:rPr>
        <w:t>捌</w:t>
      </w:r>
      <w:r>
        <w:rPr>
          <w:rFonts w:hint="eastAsia" w:ascii="宋体" w:hAnsi="宋体" w:cs="宋体"/>
          <w:bCs/>
          <w:color w:val="000000" w:themeColor="text1"/>
          <w:sz w:val="24"/>
          <w:szCs w:val="24"/>
          <w:highlight w:val="none"/>
          <w14:textFill>
            <w14:solidFill>
              <w14:schemeClr w14:val="tx1"/>
            </w14:solidFill>
          </w14:textFill>
        </w:rPr>
        <w:t>份，均具有同等法律效力，发包人执</w:t>
      </w:r>
      <w:r>
        <w:rPr>
          <w:rFonts w:hint="eastAsia" w:ascii="宋体" w:hAnsi="宋体" w:cs="宋体"/>
          <w:bCs/>
          <w:color w:val="000000" w:themeColor="text1"/>
          <w:sz w:val="24"/>
          <w:szCs w:val="24"/>
          <w:highlight w:val="none"/>
          <w:u w:val="single"/>
          <w14:textFill>
            <w14:solidFill>
              <w14:schemeClr w14:val="tx1"/>
            </w14:solidFill>
          </w14:textFill>
        </w:rPr>
        <w:t>伍</w:t>
      </w:r>
      <w:r>
        <w:rPr>
          <w:rFonts w:hint="eastAsia" w:ascii="宋体" w:hAnsi="宋体" w:cs="宋体"/>
          <w:bCs/>
          <w:color w:val="000000" w:themeColor="text1"/>
          <w:sz w:val="24"/>
          <w:szCs w:val="24"/>
          <w:highlight w:val="none"/>
          <w14:textFill>
            <w14:solidFill>
              <w14:schemeClr w14:val="tx1"/>
            </w14:solidFill>
          </w14:textFill>
        </w:rPr>
        <w:t>份，承包人执</w:t>
      </w:r>
      <w:r>
        <w:rPr>
          <w:rFonts w:hint="eastAsia" w:ascii="宋体" w:hAnsi="宋体" w:cs="宋体"/>
          <w:bCs/>
          <w:color w:val="000000" w:themeColor="text1"/>
          <w:sz w:val="24"/>
          <w:szCs w:val="24"/>
          <w:highlight w:val="none"/>
          <w:u w:val="single"/>
          <w14:textFill>
            <w14:solidFill>
              <w14:schemeClr w14:val="tx1"/>
            </w14:solidFill>
          </w14:textFill>
        </w:rPr>
        <w:t>叁</w:t>
      </w:r>
      <w:r>
        <w:rPr>
          <w:rFonts w:hint="eastAsia" w:ascii="宋体" w:hAnsi="宋体" w:cs="宋体"/>
          <w:bCs/>
          <w:color w:val="000000" w:themeColor="text1"/>
          <w:sz w:val="24"/>
          <w:szCs w:val="24"/>
          <w:highlight w:val="none"/>
          <w14:textFill>
            <w14:solidFill>
              <w14:schemeClr w14:val="tx1"/>
            </w14:solidFill>
          </w14:textFill>
        </w:rPr>
        <w:t>份。</w:t>
      </w:r>
    </w:p>
    <w:p w14:paraId="46EB7A12">
      <w:pPr>
        <w:spacing w:line="360" w:lineRule="auto"/>
        <w:rPr>
          <w:rFonts w:ascii="宋体" w:hAnsi="宋体" w:cs="宋体"/>
          <w:bCs/>
          <w:color w:val="000000" w:themeColor="text1"/>
          <w:sz w:val="24"/>
          <w:highlight w:val="none"/>
          <w14:textFill>
            <w14:solidFill>
              <w14:schemeClr w14:val="tx1"/>
            </w14:solidFill>
          </w14:textFill>
        </w:rPr>
      </w:pPr>
    </w:p>
    <w:p w14:paraId="44D6180B">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发包人</w:t>
      </w:r>
      <w:r>
        <w:rPr>
          <w:rFonts w:hint="eastAsia" w:ascii="宋体" w:hAnsi="宋体" w:cs="宋体"/>
          <w:bCs/>
          <w:color w:val="000000" w:themeColor="text1"/>
          <w:sz w:val="24"/>
          <w:szCs w:val="24"/>
          <w:highlight w:val="none"/>
          <w14:textFill>
            <w14:solidFill>
              <w14:schemeClr w14:val="tx1"/>
            </w14:solidFill>
          </w14:textFill>
        </w:rPr>
        <w:t>：</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盖章</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承包人</w:t>
      </w:r>
      <w:r>
        <w:rPr>
          <w:rFonts w:hint="eastAsia" w:ascii="宋体" w:hAnsi="宋体" w:cs="宋体"/>
          <w:bCs/>
          <w:color w:val="000000" w:themeColor="text1"/>
          <w:sz w:val="24"/>
          <w:szCs w:val="24"/>
          <w:highlight w:val="none"/>
          <w14:textFill>
            <w14:solidFill>
              <w14:schemeClr w14:val="tx1"/>
            </w14:solidFill>
          </w14:textFill>
        </w:rPr>
        <w:t>：</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盖</w:t>
      </w:r>
      <w:r>
        <w:rPr>
          <w:rFonts w:ascii="宋体" w:hAnsi="宋体" w:cs="宋体"/>
          <w:bCs/>
          <w:color w:val="000000" w:themeColor="text1"/>
          <w:sz w:val="24"/>
          <w:szCs w:val="24"/>
          <w:highlight w:val="none"/>
          <w14:textFill>
            <w14:solidFill>
              <w14:schemeClr w14:val="tx1"/>
            </w14:solidFill>
          </w14:textFill>
        </w:rPr>
        <w:t>章)</w:t>
      </w:r>
    </w:p>
    <w:p w14:paraId="3845C906">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法定代表人或其委托代理人：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法定代表人或其委托代理人：</w:t>
      </w:r>
    </w:p>
    <w:p w14:paraId="296EA321">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（签字）                            （签字）</w:t>
      </w:r>
    </w:p>
    <w:p w14:paraId="21C7C215">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组织机构代码：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组织机构代码：  </w:t>
      </w:r>
      <w:r>
        <w:rPr>
          <w:rFonts w:ascii="宋体" w:hAnsi="宋体" w:cs="宋体"/>
          <w:bCs/>
          <w:color w:val="000000" w:themeColor="text1"/>
          <w:sz w:val="24"/>
          <w:szCs w:val="24"/>
          <w:highlight w:val="none"/>
          <w14:textFill>
            <w14:solidFill>
              <w14:schemeClr w14:val="tx1"/>
            </w14:solidFill>
          </w14:textFill>
        </w:rPr>
        <w:t xml:space="preserve"> </w:t>
      </w:r>
    </w:p>
    <w:p w14:paraId="09DCC209">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地  址：</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地  址：</w:t>
      </w:r>
    </w:p>
    <w:p w14:paraId="106DBB1D">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邮政编码：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邮政编码：</w:t>
      </w:r>
    </w:p>
    <w:p w14:paraId="28833B6D">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法定代表人：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法定代表人：</w:t>
      </w:r>
    </w:p>
    <w:p w14:paraId="74A89DF7">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委托代理人：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委托代理人：</w:t>
      </w:r>
    </w:p>
    <w:p w14:paraId="2F8FD4C4">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电  话：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电  话：</w:t>
      </w:r>
    </w:p>
    <w:p w14:paraId="7770238B">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传  真：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传  真：</w:t>
      </w:r>
    </w:p>
    <w:p w14:paraId="4D31C186">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电子信箱：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电子信箱：</w:t>
      </w:r>
    </w:p>
    <w:p w14:paraId="42B65386">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开户银行：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开户银行：</w:t>
      </w:r>
    </w:p>
    <w:p w14:paraId="73A0F13E">
      <w:pPr>
        <w:spacing w:line="360" w:lineRule="auto"/>
        <w:rPr>
          <w:rFonts w:ascii="宋体" w:hAnsi="宋体" w:cs="宋体"/>
          <w:bCs/>
          <w:color w:val="000000" w:themeColor="text1"/>
          <w:sz w:val="24"/>
          <w:szCs w:val="24"/>
          <w:highlight w:val="none"/>
          <w14:textFill>
            <w14:solidFill>
              <w14:schemeClr w14:val="tx1"/>
            </w14:solidFill>
          </w14:textFill>
        </w:rPr>
        <w:sectPr>
          <w:headerReference r:id="rId5" w:type="default"/>
          <w:footerReference r:id="rId6" w:type="default"/>
          <w:pgSz w:w="11906" w:h="16838"/>
          <w:pgMar w:top="1440" w:right="1800" w:bottom="1440" w:left="1800" w:header="851" w:footer="992" w:gutter="0"/>
          <w:cols w:space="720" w:num="1"/>
          <w:docGrid w:type="lines" w:linePitch="312" w:charSpace="0"/>
        </w:sectPr>
      </w:pPr>
      <w:r>
        <w:rPr>
          <w:rFonts w:ascii="宋体" w:hAnsi="宋体" w:cs="宋体"/>
          <w:bCs/>
          <w:color w:val="000000" w:themeColor="text1"/>
          <w:sz w:val="24"/>
          <w:szCs w:val="24"/>
          <w:highlight w:val="none"/>
          <w14:textFill>
            <w14:solidFill>
              <w14:schemeClr w14:val="tx1"/>
            </w14:solidFill>
          </w14:textFill>
        </w:rPr>
        <w:t>账  号：</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账</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 号：</w:t>
      </w:r>
    </w:p>
    <w:p w14:paraId="4E9616BF">
      <w:pPr>
        <w:keepNext/>
        <w:keepLines/>
        <w:numPr>
          <w:ilvl w:val="1"/>
          <w:numId w:val="4"/>
        </w:numPr>
        <w:spacing w:before="260" w:after="260" w:line="416" w:lineRule="auto"/>
        <w:ind w:left="0" w:leftChars="0" w:firstLine="0" w:firstLineChars="0"/>
        <w:jc w:val="center"/>
        <w:outlineLvl w:val="0"/>
        <w:rPr>
          <w:rFonts w:ascii="宋体" w:hAnsi="宋体" w:cs="宋体"/>
          <w:b/>
          <w:bCs/>
          <w:color w:val="000000" w:themeColor="text1"/>
          <w:sz w:val="32"/>
          <w:szCs w:val="32"/>
          <w:highlight w:val="none"/>
          <w14:textFill>
            <w14:solidFill>
              <w14:schemeClr w14:val="tx1"/>
            </w14:solidFill>
          </w14:textFill>
        </w:rPr>
      </w:pPr>
      <w:bookmarkStart w:id="40" w:name="_Toc8547"/>
      <w:bookmarkStart w:id="41" w:name="_Toc351203494"/>
      <w:r>
        <w:rPr>
          <w:rFonts w:hint="eastAsia" w:ascii="宋体" w:hAnsi="宋体" w:cs="宋体"/>
          <w:b/>
          <w:bCs/>
          <w:color w:val="000000" w:themeColor="text1"/>
          <w:sz w:val="32"/>
          <w:szCs w:val="32"/>
          <w:highlight w:val="none"/>
          <w14:textFill>
            <w14:solidFill>
              <w14:schemeClr w14:val="tx1"/>
            </w14:solidFill>
          </w14:textFill>
        </w:rPr>
        <w:t>第二部分 通用合同条款</w:t>
      </w:r>
      <w:bookmarkEnd w:id="40"/>
      <w:bookmarkEnd w:id="41"/>
      <w:bookmarkStart w:id="42" w:name="_Toc337558727"/>
    </w:p>
    <w:p w14:paraId="1E2AAB99">
      <w:pPr>
        <w:spacing w:after="120"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bookmarkStart w:id="43" w:name="_Toc303538972"/>
      <w:bookmarkEnd w:id="43"/>
      <w:bookmarkStart w:id="44" w:name="_Toc303538975"/>
      <w:bookmarkEnd w:id="44"/>
      <w:bookmarkStart w:id="45" w:name="_Toc303538974"/>
      <w:bookmarkEnd w:id="45"/>
      <w:bookmarkStart w:id="46" w:name="_Toc303538973"/>
      <w:bookmarkEnd w:id="46"/>
      <w:bookmarkStart w:id="47" w:name="_Toc303538976"/>
      <w:bookmarkEnd w:id="47"/>
      <w:r>
        <w:rPr>
          <w:rFonts w:hint="eastAsia" w:ascii="宋体" w:hAnsi="宋体" w:cs="宋体"/>
          <w:color w:val="000000" w:themeColor="text1"/>
          <w:sz w:val="24"/>
          <w:szCs w:val="24"/>
          <w:highlight w:val="none"/>
          <w:lang w:eastAsia="zh-CN"/>
          <w14:textFill>
            <w14:solidFill>
              <w14:schemeClr w14:val="tx1"/>
            </w14:solidFill>
          </w14:textFill>
        </w:rPr>
        <w:t>略</w:t>
      </w:r>
    </w:p>
    <w:bookmarkEnd w:id="42"/>
    <w:p w14:paraId="63AC072E">
      <w:pPr>
        <w:keepNext/>
        <w:keepLines/>
        <w:numPr>
          <w:ilvl w:val="1"/>
          <w:numId w:val="4"/>
        </w:numPr>
        <w:spacing w:before="260" w:after="260" w:line="416" w:lineRule="auto"/>
        <w:ind w:left="0" w:leftChars="0" w:firstLine="0" w:firstLineChars="0"/>
        <w:jc w:val="center"/>
        <w:outlineLvl w:val="0"/>
        <w:rPr>
          <w:rFonts w:ascii="宋体" w:hAnsi="宋体" w:cs="宋体"/>
          <w:b/>
          <w:bCs/>
          <w:color w:val="000000" w:themeColor="text1"/>
          <w:sz w:val="32"/>
          <w:szCs w:val="32"/>
          <w:highlight w:val="none"/>
          <w14:textFill>
            <w14:solidFill>
              <w14:schemeClr w14:val="tx1"/>
            </w14:solidFill>
          </w14:textFill>
        </w:rPr>
      </w:pPr>
      <w:bookmarkStart w:id="48" w:name="_Toc147658434"/>
      <w:bookmarkStart w:id="49" w:name="_Toc30386"/>
      <w:bookmarkStart w:id="50" w:name="_Toc147658821"/>
      <w:bookmarkStart w:id="51" w:name="_Toc482980303"/>
      <w:r>
        <w:rPr>
          <w:rFonts w:hint="eastAsia" w:ascii="宋体" w:hAnsi="宋体" w:cs="宋体"/>
          <w:b/>
          <w:bCs/>
          <w:color w:val="000000" w:themeColor="text1"/>
          <w:sz w:val="32"/>
          <w:szCs w:val="32"/>
          <w:highlight w:val="none"/>
          <w14:textFill>
            <w14:solidFill>
              <w14:schemeClr w14:val="tx1"/>
            </w14:solidFill>
          </w14:textFill>
        </w:rPr>
        <w:t>第三部分 专用合同条款</w:t>
      </w:r>
      <w:bookmarkEnd w:id="48"/>
      <w:bookmarkEnd w:id="49"/>
      <w:bookmarkEnd w:id="50"/>
    </w:p>
    <w:p w14:paraId="2F24F610">
      <w:pPr>
        <w:keepNext/>
        <w:keepLines/>
        <w:spacing w:before="120" w:after="120" w:line="360" w:lineRule="auto"/>
        <w:ind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 一般约定</w:t>
      </w:r>
    </w:p>
    <w:p w14:paraId="6F6A277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 词语定义</w:t>
      </w:r>
    </w:p>
    <w:p w14:paraId="3604C45B">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1.1.1合同</w:t>
      </w:r>
    </w:p>
    <w:p w14:paraId="0B65A3F1">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1.1.1.10其他合同文件包括：</w:t>
      </w:r>
      <w:r>
        <w:rPr>
          <w:rFonts w:hint="eastAsia" w:ascii="宋体" w:hAnsi="宋体" w:cs="宋体"/>
          <w:color w:val="000000" w:themeColor="text1"/>
          <w:sz w:val="24"/>
          <w:szCs w:val="24"/>
          <w:highlight w:val="none"/>
          <w:u w:val="single"/>
          <w14:textFill>
            <w14:solidFill>
              <w14:schemeClr w14:val="tx1"/>
            </w14:solidFill>
          </w14:textFill>
        </w:rPr>
        <w:t>1、发包人与承包人约定的与工程施工有关的具有合同约束力的文件或补充协议；2、招标文件及招标文件修改澄清（含答疑）</w:t>
      </w:r>
      <w:r>
        <w:rPr>
          <w:rFonts w:hint="eastAsia" w:ascii="宋体" w:hAnsi="宋体" w:cs="宋体"/>
          <w:color w:val="000000" w:themeColor="text1"/>
          <w:sz w:val="24"/>
          <w:szCs w:val="24"/>
          <w:highlight w:val="none"/>
          <w14:textFill>
            <w14:solidFill>
              <w14:schemeClr w14:val="tx1"/>
            </w14:solidFill>
          </w14:textFill>
        </w:rPr>
        <w:t>。</w:t>
      </w:r>
    </w:p>
    <w:p w14:paraId="456E7CE9">
      <w:pPr>
        <w:spacing w:line="360" w:lineRule="auto"/>
        <w:ind w:firstLine="480" w:firstLineChars="200"/>
        <w:rPr>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1.1.2 合同当事人及其他相关方</w:t>
      </w:r>
    </w:p>
    <w:p w14:paraId="4E502B9C">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1.1.2.4监理人：</w:t>
      </w:r>
    </w:p>
    <w:p w14:paraId="05195F96">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32E26D3C">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资质类别和等级</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09FDD497">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联系电话</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020677FF">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电子信箱</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44718313">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通信地址</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53001EDF">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1.1.2.5 设计人：</w:t>
      </w:r>
    </w:p>
    <w:p w14:paraId="2921F591">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p>
    <w:p w14:paraId="75C9E20D">
      <w:pPr>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资质类别和等级：</w:t>
      </w:r>
      <w:r>
        <w:rPr>
          <w:rFonts w:hint="eastAsia" w:ascii="宋体" w:hAnsi="宋体"/>
          <w:color w:val="000000" w:themeColor="text1"/>
          <w:szCs w:val="21"/>
          <w:highlight w:val="none"/>
          <w:u w:val="single"/>
          <w14:textFill>
            <w14:solidFill>
              <w14:schemeClr w14:val="tx1"/>
            </w14:solidFill>
          </w14:textFill>
        </w:rPr>
        <w:t xml:space="preserve">               ；</w:t>
      </w:r>
    </w:p>
    <w:p w14:paraId="7BB32044">
      <w:pPr>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联系电话：</w:t>
      </w:r>
      <w:r>
        <w:rPr>
          <w:rFonts w:hint="eastAsia" w:ascii="宋体" w:hAnsi="宋体"/>
          <w:color w:val="000000" w:themeColor="text1"/>
          <w:szCs w:val="21"/>
          <w:highlight w:val="none"/>
          <w:u w:val="single"/>
          <w14:textFill>
            <w14:solidFill>
              <w14:schemeClr w14:val="tx1"/>
            </w14:solidFill>
          </w14:textFill>
        </w:rPr>
        <w:t xml:space="preserve">                     ；</w:t>
      </w:r>
    </w:p>
    <w:p w14:paraId="0E793AFB">
      <w:pPr>
        <w:ind w:firstLine="420" w:firstLineChars="20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电子信箱：</w:t>
      </w:r>
      <w:r>
        <w:rPr>
          <w:rFonts w:hint="eastAsia" w:ascii="宋体" w:hAnsi="宋体"/>
          <w:color w:val="000000" w:themeColor="text1"/>
          <w:szCs w:val="21"/>
          <w:highlight w:val="none"/>
          <w:u w:val="single"/>
          <w14:textFill>
            <w14:solidFill>
              <w14:schemeClr w14:val="tx1"/>
            </w14:solidFill>
          </w14:textFill>
        </w:rPr>
        <w:t xml:space="preserve">             ；</w:t>
      </w:r>
    </w:p>
    <w:p w14:paraId="415B85F1">
      <w:pPr>
        <w:ind w:firstLine="420" w:firstLineChars="200"/>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通信地址：</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p>
    <w:p w14:paraId="622F3559">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 工程和设备</w:t>
      </w:r>
    </w:p>
    <w:p w14:paraId="59DF198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1.1.3.7 作为施工现场组成部分的其他场所包括：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095E3FE">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1.1.3.9 永久占地包括：</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kern w:val="0"/>
          <w:sz w:val="24"/>
          <w:szCs w:val="24"/>
          <w:highlight w:val="none"/>
          <w14:textFill>
            <w14:solidFill>
              <w14:schemeClr w14:val="tx1"/>
            </w14:solidFill>
          </w14:textFill>
        </w:rPr>
        <w:t>。</w:t>
      </w:r>
    </w:p>
    <w:p w14:paraId="1D3705D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1.1.3.10 临时占地包括：</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kern w:val="0"/>
          <w:sz w:val="24"/>
          <w:szCs w:val="24"/>
          <w:highlight w:val="none"/>
          <w14:textFill>
            <w14:solidFill>
              <w14:schemeClr w14:val="tx1"/>
            </w14:solidFill>
          </w14:textFill>
        </w:rPr>
        <w:t>。</w:t>
      </w:r>
    </w:p>
    <w:p w14:paraId="354EB3EA">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1.3法律</w:t>
      </w:r>
    </w:p>
    <w:p w14:paraId="5A8630A0">
      <w:pPr>
        <w:pStyle w:val="9"/>
        <w:rPr>
          <w:rFonts w:hint="eastAsia" w:ascii="宋体" w:hAnsi="宋体" w:cs="宋体"/>
          <w:color w:val="000000" w:themeColor="text1"/>
          <w:kern w:val="0"/>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适用于合同的其他规范性文件：</w:t>
      </w:r>
      <w:r>
        <w:rPr>
          <w:rFonts w:hint="eastAsia" w:ascii="宋体" w:hAnsi="宋体" w:cs="宋体"/>
          <w:color w:val="000000" w:themeColor="text1"/>
          <w:kern w:val="0"/>
          <w:sz w:val="24"/>
          <w:szCs w:val="24"/>
          <w:highlight w:val="none"/>
          <w:u w:val="single"/>
          <w14:textFill>
            <w14:solidFill>
              <w14:schemeClr w14:val="tx1"/>
            </w14:solidFill>
          </w14:textFill>
        </w:rPr>
        <w:t>江苏省、南京市、</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项目所在地</w:t>
      </w:r>
      <w:r>
        <w:rPr>
          <w:rFonts w:hint="eastAsia" w:ascii="宋体" w:hAnsi="宋体" w:cs="宋体"/>
          <w:color w:val="000000" w:themeColor="text1"/>
          <w:kern w:val="0"/>
          <w:sz w:val="24"/>
          <w:szCs w:val="24"/>
          <w:highlight w:val="none"/>
          <w:u w:val="single"/>
          <w14:textFill>
            <w14:solidFill>
              <w14:schemeClr w14:val="tx1"/>
            </w14:solidFill>
          </w14:textFill>
        </w:rPr>
        <w:t>有关工程建设类的规范性文件。</w:t>
      </w:r>
    </w:p>
    <w:p w14:paraId="4EE51CD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 标准和规范</w:t>
      </w:r>
    </w:p>
    <w:p w14:paraId="0B44B1FC">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1.4.1适用于工程的标准规范包括：</w:t>
      </w:r>
      <w:r>
        <w:rPr>
          <w:rFonts w:hint="eastAsia" w:ascii="宋体" w:hAnsi="宋体" w:cs="宋体"/>
          <w:color w:val="000000" w:themeColor="text1"/>
          <w:sz w:val="24"/>
          <w:szCs w:val="24"/>
          <w:highlight w:val="none"/>
          <w:u w:val="single"/>
          <w14:textFill>
            <w14:solidFill>
              <w14:schemeClr w14:val="tx1"/>
            </w14:solidFill>
          </w14:textFill>
        </w:rPr>
        <w:t>现行国家、行业、专业及南京市的有关标准、规范、规定和条例所阐明的强制性标准。当对同一考核指标国家、行业、专业和南京市颁布的有关标准、规范产生不一致时，以其颁布的标准、规范较为严格者为准。</w:t>
      </w:r>
    </w:p>
    <w:p w14:paraId="5C7642A2">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1.4.2 发包人提供国外标准、规范的名称：</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w:t>
      </w:r>
    </w:p>
    <w:p w14:paraId="069108B9">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发包人提供国外标准、规范的份数：</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w:t>
      </w:r>
    </w:p>
    <w:p w14:paraId="535961F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发包人提供国外标准、规范的名称：</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w:t>
      </w:r>
    </w:p>
    <w:p w14:paraId="20878951">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1.4.3发包人对工程的技术标准和功能要求的特殊要求：</w:t>
      </w:r>
      <w:r>
        <w:rPr>
          <w:rFonts w:hint="eastAsia" w:ascii="宋体" w:hAnsi="宋体" w:cs="宋体"/>
          <w:color w:val="000000" w:themeColor="text1"/>
          <w:kern w:val="0"/>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040E1B1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 合同文件的优先顺序</w:t>
      </w:r>
    </w:p>
    <w:p w14:paraId="173EBA2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合同文件组成及优先顺序为：</w:t>
      </w:r>
      <w:r>
        <w:rPr>
          <w:rFonts w:hint="eastAsia" w:ascii="宋体" w:hAnsi="宋体" w:cs="宋体"/>
          <w:color w:val="000000" w:themeColor="text1"/>
          <w:sz w:val="24"/>
          <w:szCs w:val="24"/>
          <w:highlight w:val="none"/>
          <w:u w:val="single"/>
          <w14:textFill>
            <w14:solidFill>
              <w14:schemeClr w14:val="tx1"/>
            </w14:solidFill>
          </w14:textFill>
        </w:rPr>
        <w:t>（1）本合同协议书；（2）中标通知书；（3）投标函及其附录；（4）本合同专用条款及其附件；（5）本合同通用条款；（6）技术标准和要求；（7）施工图纸；（8）双方洽商的有效的会议纪要、补充协议；（9）招标文件及招标文件修改澄清(含答疑)；（10）已标价工程量清单及投标文件；（11）其他合同文件</w:t>
      </w:r>
      <w:r>
        <w:rPr>
          <w:rFonts w:hint="eastAsia" w:ascii="宋体" w:hAnsi="宋体" w:cs="宋体"/>
          <w:color w:val="000000" w:themeColor="text1"/>
          <w:sz w:val="24"/>
          <w:szCs w:val="24"/>
          <w:highlight w:val="none"/>
          <w14:textFill>
            <w14:solidFill>
              <w14:schemeClr w14:val="tx1"/>
            </w14:solidFill>
          </w14:textFill>
        </w:rPr>
        <w:t>。</w:t>
      </w:r>
    </w:p>
    <w:p w14:paraId="1348344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 图纸和承包人文件</w:t>
      </w:r>
      <w:r>
        <w:rPr>
          <w:rFonts w:hint="eastAsia" w:ascii="宋体" w:hAnsi="宋体" w:cs="宋体"/>
          <w:color w:val="000000" w:themeColor="text1"/>
          <w:sz w:val="24"/>
          <w:szCs w:val="24"/>
          <w:highlight w:val="none"/>
          <w14:textFill>
            <w14:solidFill>
              <w14:schemeClr w14:val="tx1"/>
            </w14:solidFill>
          </w14:textFill>
        </w:rPr>
        <w:tab/>
      </w:r>
    </w:p>
    <w:p w14:paraId="46CCBF6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 图纸的提供</w:t>
      </w:r>
    </w:p>
    <w:p w14:paraId="7CAD5D6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发包人向承包人提供图纸的期限：</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开工前</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1101814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发包人向承包人提供图纸的数量：</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pacing w:val="10"/>
          <w:highlight w:val="none"/>
          <w:u w:val="single"/>
          <w14:textFill>
            <w14:solidFill>
              <w14:schemeClr w14:val="tx1"/>
            </w14:solidFill>
          </w14:textFill>
        </w:rPr>
        <w:t xml:space="preserve">2套 </w:t>
      </w:r>
      <w:r>
        <w:rPr>
          <w:color w:val="000000" w:themeColor="text1"/>
          <w:spacing w:val="10"/>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BBA59E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发包人向承包人提供图纸的内容：</w:t>
      </w: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1CF9A8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1.6.4 承包人文件</w:t>
      </w:r>
    </w:p>
    <w:p w14:paraId="2A8A8A65">
      <w:pPr>
        <w:autoSpaceDE w:val="0"/>
        <w:autoSpaceDN w:val="0"/>
        <w:adjustRightInd w:val="0"/>
        <w:spacing w:line="360" w:lineRule="auto"/>
        <w:ind w:left="-359" w:leftChars="-171" w:right="-178" w:rightChars="-85" w:firstLine="480" w:firstLineChars="20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需要由承包人提供的文件，包括：</w:t>
      </w:r>
      <w:r>
        <w:rPr>
          <w:rFonts w:hint="eastAsia" w:ascii="宋体" w:hAnsi="宋体" w:cs="宋体"/>
          <w:color w:val="000000" w:themeColor="text1"/>
          <w:sz w:val="24"/>
          <w:szCs w:val="24"/>
          <w:highlight w:val="none"/>
          <w:u w:val="single"/>
          <w14:textFill>
            <w14:solidFill>
              <w14:schemeClr w14:val="tx1"/>
            </w14:solidFill>
          </w14:textFill>
        </w:rPr>
        <w:t>（1）开工报审表（2）施工组织设计（3）总进度计划（4）甲供材料、设备供应总计划（5）工程款支付计划（6）合理化建议（7）设计变更、签证申请报告（8）月度完成工程量统计表（9）次月工程进度计划（10）次月甲供材料使用计划（11）隐蔽工程和中间验收通知（12）乙供材料、设备的合格证明、检验试验报告（13）专业工程分包申请（14）暂停施工通知书（15）索赔意向通知书、索赔报告（16）工程款申请单（17）竣工付款申请单（18）竣工验收申请报告（19）竣工资料（20）竣工结算申请单及结算资料（21）最终结清申请单（22）应监理人或发包人要求提交的其他报告、报表</w:t>
      </w:r>
      <w:r>
        <w:rPr>
          <w:rFonts w:hint="eastAsia" w:ascii="宋体" w:hAnsi="宋体" w:cs="宋体"/>
          <w:bCs/>
          <w:color w:val="000000" w:themeColor="text1"/>
          <w:szCs w:val="21"/>
          <w:highlight w:val="none"/>
          <w:u w:val="single"/>
          <w14:textFill>
            <w14:solidFill>
              <w14:schemeClr w14:val="tx1"/>
            </w14:solidFill>
          </w14:textFill>
        </w:rPr>
        <w:t>。</w:t>
      </w:r>
    </w:p>
    <w:p w14:paraId="0D1422A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承包人提供的文件的期限为：</w:t>
      </w:r>
      <w:r>
        <w:rPr>
          <w:rFonts w:hint="eastAsia" w:ascii="宋体" w:hAnsi="宋体" w:cs="宋体"/>
          <w:color w:val="000000" w:themeColor="text1"/>
          <w:sz w:val="24"/>
          <w:szCs w:val="24"/>
          <w:highlight w:val="none"/>
          <w:u w:val="single"/>
          <w14:textFill>
            <w14:solidFill>
              <w14:schemeClr w14:val="tx1"/>
            </w14:solidFill>
          </w14:textFill>
        </w:rPr>
        <w:t>每月25日提供本月实际完成工作量统计表、次月工程进度计划、次月工程发包人供应材料使用计划及监理或发包人要求提供的其它报表</w:t>
      </w:r>
      <w:r>
        <w:rPr>
          <w:rFonts w:hint="eastAsia" w:ascii="宋体" w:hAnsi="宋体" w:cs="宋体"/>
          <w:color w:val="000000" w:themeColor="text1"/>
          <w:sz w:val="24"/>
          <w:szCs w:val="24"/>
          <w:highlight w:val="none"/>
          <w14:textFill>
            <w14:solidFill>
              <w14:schemeClr w14:val="tx1"/>
            </w14:solidFill>
          </w14:textFill>
        </w:rPr>
        <w:t>；</w:t>
      </w:r>
    </w:p>
    <w:p w14:paraId="167838E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承包人提供的文件的数量为：</w:t>
      </w:r>
      <w:r>
        <w:rPr>
          <w:rFonts w:hint="eastAsia" w:ascii="宋体" w:hAnsi="宋体" w:cs="宋体"/>
          <w:color w:val="000000" w:themeColor="text1"/>
          <w:sz w:val="24"/>
          <w:szCs w:val="24"/>
          <w:highlight w:val="none"/>
          <w:u w:val="single"/>
          <w14:textFill>
            <w14:solidFill>
              <w14:schemeClr w14:val="tx1"/>
            </w14:solidFill>
          </w14:textFill>
        </w:rPr>
        <w:t>提交给监理一式3份，承包人留存一份</w:t>
      </w:r>
      <w:r>
        <w:rPr>
          <w:rFonts w:hint="eastAsia" w:ascii="宋体" w:hAnsi="宋体" w:cs="宋体"/>
          <w:color w:val="000000" w:themeColor="text1"/>
          <w:sz w:val="24"/>
          <w:szCs w:val="24"/>
          <w:highlight w:val="none"/>
          <w14:textFill>
            <w14:solidFill>
              <w14:schemeClr w14:val="tx1"/>
            </w14:solidFill>
          </w14:textFill>
        </w:rPr>
        <w:t>；</w:t>
      </w:r>
    </w:p>
    <w:p w14:paraId="72C501C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承包人提供的文件的形式为：</w:t>
      </w:r>
      <w:r>
        <w:rPr>
          <w:rFonts w:hint="eastAsia" w:ascii="宋体" w:hAnsi="宋体" w:cs="宋体"/>
          <w:color w:val="000000" w:themeColor="text1"/>
          <w:sz w:val="24"/>
          <w:szCs w:val="24"/>
          <w:highlight w:val="none"/>
          <w:u w:val="single"/>
          <w14:textFill>
            <w14:solidFill>
              <w14:schemeClr w14:val="tx1"/>
            </w14:solidFill>
          </w14:textFill>
        </w:rPr>
        <w:t>书面形式</w:t>
      </w:r>
      <w:r>
        <w:rPr>
          <w:rFonts w:hint="eastAsia" w:ascii="宋体" w:hAnsi="宋体" w:cs="宋体"/>
          <w:color w:val="000000" w:themeColor="text1"/>
          <w:sz w:val="24"/>
          <w:szCs w:val="24"/>
          <w:highlight w:val="none"/>
          <w14:textFill>
            <w14:solidFill>
              <w14:schemeClr w14:val="tx1"/>
            </w14:solidFill>
          </w14:textFill>
        </w:rPr>
        <w:t>；</w:t>
      </w:r>
    </w:p>
    <w:p w14:paraId="03D86AC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发包人审批承包人文件的期限：</w:t>
      </w:r>
      <w:r>
        <w:rPr>
          <w:rFonts w:hint="eastAsia" w:ascii="宋体" w:hAnsi="宋体" w:cs="宋体"/>
          <w:color w:val="000000" w:themeColor="text1"/>
          <w:sz w:val="24"/>
          <w:szCs w:val="24"/>
          <w:highlight w:val="none"/>
          <w:u w:val="single"/>
          <w14:textFill>
            <w14:solidFill>
              <w14:schemeClr w14:val="tx1"/>
            </w14:solidFill>
          </w14:textFill>
        </w:rPr>
        <w:t>监理人收到文件后14天内</w:t>
      </w:r>
      <w:r>
        <w:rPr>
          <w:rFonts w:hint="eastAsia" w:ascii="宋体" w:hAnsi="宋体" w:cs="宋体"/>
          <w:color w:val="000000" w:themeColor="text1"/>
          <w:sz w:val="24"/>
          <w:szCs w:val="24"/>
          <w:highlight w:val="none"/>
          <w14:textFill>
            <w14:solidFill>
              <w14:schemeClr w14:val="tx1"/>
            </w14:solidFill>
          </w14:textFill>
        </w:rPr>
        <w:t>。</w:t>
      </w:r>
    </w:p>
    <w:p w14:paraId="438556F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1.6.5 现场图纸准备</w:t>
      </w:r>
    </w:p>
    <w:p w14:paraId="1F00CC6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关于现场图纸准备的约定：</w:t>
      </w:r>
      <w:r>
        <w:rPr>
          <w:rFonts w:hint="eastAsia" w:ascii="宋体" w:hAnsi="宋体" w:cs="宋体"/>
          <w:color w:val="000000" w:themeColor="text1"/>
          <w:sz w:val="24"/>
          <w:szCs w:val="24"/>
          <w:highlight w:val="none"/>
          <w:u w:val="single"/>
          <w14:textFill>
            <w14:solidFill>
              <w14:schemeClr w14:val="tx1"/>
            </w14:solidFill>
          </w14:textFill>
        </w:rPr>
        <w:t>承包人应在施工现场另外保存一套完整的图纸和承包人文件，供发包人、监理人及有关人员进行工程检查时使用</w:t>
      </w:r>
      <w:r>
        <w:rPr>
          <w:rFonts w:hint="eastAsia" w:ascii="宋体" w:hAnsi="宋体" w:cs="宋体"/>
          <w:color w:val="000000" w:themeColor="text1"/>
          <w:sz w:val="24"/>
          <w:szCs w:val="24"/>
          <w:highlight w:val="none"/>
          <w14:textFill>
            <w14:solidFill>
              <w14:schemeClr w14:val="tx1"/>
            </w14:solidFill>
          </w14:textFill>
        </w:rPr>
        <w:t>。</w:t>
      </w:r>
    </w:p>
    <w:p w14:paraId="05141804">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 联络</w:t>
      </w:r>
    </w:p>
    <w:p w14:paraId="714FDA1C">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1.7.1发包人和承包人应当在</w:t>
      </w:r>
      <w:r>
        <w:rPr>
          <w:rFonts w:hint="eastAsia" w:ascii="宋体" w:hAnsi="宋体" w:cs="宋体"/>
          <w:color w:val="000000" w:themeColor="text1"/>
          <w:sz w:val="24"/>
          <w:szCs w:val="24"/>
          <w:highlight w:val="none"/>
          <w:u w:val="single"/>
          <w14:textFill>
            <w14:solidFill>
              <w14:schemeClr w14:val="tx1"/>
            </w14:solidFill>
          </w14:textFill>
        </w:rPr>
        <w:t>7</w:t>
      </w:r>
      <w:r>
        <w:rPr>
          <w:rFonts w:hint="eastAsia" w:ascii="宋体" w:hAnsi="宋体" w:cs="宋体"/>
          <w:color w:val="000000" w:themeColor="text1"/>
          <w:kern w:val="0"/>
          <w:sz w:val="24"/>
          <w:szCs w:val="24"/>
          <w:highlight w:val="none"/>
          <w14:textFill>
            <w14:solidFill>
              <w14:schemeClr w14:val="tx1"/>
            </w14:solidFill>
          </w14:textFill>
        </w:rPr>
        <w:t>天内将与合同有关的通知、批准、证明、证书、指示、指令、要求、请求、同意、意见、确定和决定等书面函件送达对方当事人。</w:t>
      </w:r>
    </w:p>
    <w:p w14:paraId="2E478986">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1.7.2 发包人接收文件的地点：</w:t>
      </w:r>
      <w:r>
        <w:rPr>
          <w:rFonts w:hint="eastAsia" w:ascii="宋体" w:hAnsi="宋体" w:cs="宋体"/>
          <w:color w:val="000000" w:themeColor="text1"/>
          <w:sz w:val="24"/>
          <w:szCs w:val="24"/>
          <w:highlight w:val="none"/>
          <w:u w:val="single"/>
          <w14:textFill>
            <w14:solidFill>
              <w14:schemeClr w14:val="tx1"/>
            </w14:solidFill>
          </w14:textFill>
        </w:rPr>
        <w:t>项目所在地发包人项目部或发包人办公室</w:t>
      </w:r>
      <w:r>
        <w:rPr>
          <w:rFonts w:hint="eastAsia" w:ascii="宋体" w:hAnsi="宋体" w:cs="宋体"/>
          <w:color w:val="000000" w:themeColor="text1"/>
          <w:kern w:val="0"/>
          <w:sz w:val="24"/>
          <w:szCs w:val="24"/>
          <w:highlight w:val="none"/>
          <w14:textFill>
            <w14:solidFill>
              <w14:schemeClr w14:val="tx1"/>
            </w14:solidFill>
          </w14:textFill>
        </w:rPr>
        <w:t>；</w:t>
      </w:r>
    </w:p>
    <w:p w14:paraId="41A1D96D">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发包人指定的接收人为：</w:t>
      </w: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w:t>
      </w:r>
    </w:p>
    <w:p w14:paraId="07A82C29">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承包人接收文件的地点：</w:t>
      </w:r>
      <w:r>
        <w:rPr>
          <w:rFonts w:hint="eastAsia" w:ascii="宋体" w:hAnsi="宋体" w:cs="宋体"/>
          <w:color w:val="000000" w:themeColor="text1"/>
          <w:sz w:val="24"/>
          <w:szCs w:val="24"/>
          <w:highlight w:val="none"/>
          <w:u w:val="single"/>
          <w14:textFill>
            <w14:solidFill>
              <w14:schemeClr w14:val="tx1"/>
            </w14:solidFill>
          </w14:textFill>
        </w:rPr>
        <w:t>项目所在地发包人项目部或发包人办公室</w:t>
      </w:r>
      <w:r>
        <w:rPr>
          <w:rFonts w:hint="eastAsia" w:ascii="宋体" w:hAnsi="宋体" w:cs="宋体"/>
          <w:color w:val="000000" w:themeColor="text1"/>
          <w:kern w:val="0"/>
          <w:sz w:val="24"/>
          <w:szCs w:val="24"/>
          <w:highlight w:val="none"/>
          <w14:textFill>
            <w14:solidFill>
              <w14:schemeClr w14:val="tx1"/>
            </w14:solidFill>
          </w14:textFill>
        </w:rPr>
        <w:t>；</w:t>
      </w:r>
    </w:p>
    <w:p w14:paraId="771FE17C">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承包人指定的接收人为：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w:t>
      </w:r>
    </w:p>
    <w:p w14:paraId="4CBAFCF2">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监理人接收文件的地点：</w:t>
      </w:r>
      <w:r>
        <w:rPr>
          <w:rFonts w:hint="eastAsia" w:ascii="宋体" w:hAnsi="宋体" w:cs="宋体"/>
          <w:color w:val="000000" w:themeColor="text1"/>
          <w:sz w:val="24"/>
          <w:szCs w:val="24"/>
          <w:highlight w:val="none"/>
          <w:u w:val="single"/>
          <w14:textFill>
            <w14:solidFill>
              <w14:schemeClr w14:val="tx1"/>
            </w14:solidFill>
          </w14:textFill>
        </w:rPr>
        <w:t>项目所在地发包人项目部或项目所在地监理人办公室</w:t>
      </w:r>
      <w:r>
        <w:rPr>
          <w:rFonts w:hint="eastAsia" w:ascii="宋体" w:hAnsi="宋体" w:cs="宋体"/>
          <w:color w:val="000000" w:themeColor="text1"/>
          <w:kern w:val="0"/>
          <w:sz w:val="24"/>
          <w:szCs w:val="24"/>
          <w:highlight w:val="none"/>
          <w14:textFill>
            <w14:solidFill>
              <w14:schemeClr w14:val="tx1"/>
            </w14:solidFill>
          </w14:textFill>
        </w:rPr>
        <w:t>；，</w:t>
      </w:r>
    </w:p>
    <w:p w14:paraId="32715EB3">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监理人指定的接收人为：</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snapToGrid w:val="0"/>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w:t>
      </w:r>
    </w:p>
    <w:p w14:paraId="2F5A5D1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 交通运输</w:t>
      </w:r>
    </w:p>
    <w:p w14:paraId="439DCD0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1.10.1 出入现场的权利</w:t>
      </w:r>
    </w:p>
    <w:p w14:paraId="2C556EA9">
      <w:pPr>
        <w:spacing w:line="360" w:lineRule="auto"/>
        <w:ind w:left="596" w:leftChars="284"/>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关于出入现场的权利的约定：</w:t>
      </w:r>
      <w:r>
        <w:rPr>
          <w:rFonts w:hint="eastAsia" w:ascii="宋体" w:hAnsi="宋体" w:cs="宋体"/>
          <w:color w:val="000000" w:themeColor="text1"/>
          <w:sz w:val="24"/>
          <w:szCs w:val="24"/>
          <w:highlight w:val="none"/>
          <w:u w:val="single"/>
          <w14:textFill>
            <w14:solidFill>
              <w14:schemeClr w14:val="tx1"/>
            </w14:solidFill>
          </w14:textFill>
        </w:rPr>
        <w:t>未经发包人同意不得将材料运出施工现场</w:t>
      </w:r>
      <w:r>
        <w:rPr>
          <w:rFonts w:hint="eastAsia" w:ascii="宋体" w:hAnsi="宋体" w:cs="宋体"/>
          <w:color w:val="000000" w:themeColor="text1"/>
          <w:sz w:val="24"/>
          <w:szCs w:val="24"/>
          <w:highlight w:val="none"/>
          <w14:textFill>
            <w14:solidFill>
              <w14:schemeClr w14:val="tx1"/>
            </w14:solidFill>
          </w14:textFill>
        </w:rPr>
        <w:t>。</w:t>
      </w:r>
    </w:p>
    <w:p w14:paraId="0AD5471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1.10.3 场内交通</w:t>
      </w:r>
    </w:p>
    <w:p w14:paraId="3ABC600C">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关于场外交通和场内交通的边界的约定：</w:t>
      </w:r>
      <w:r>
        <w:rPr>
          <w:rFonts w:hint="eastAsia" w:ascii="宋体" w:hAnsi="宋体" w:cs="宋体"/>
          <w:color w:val="000000" w:themeColor="text1"/>
          <w:sz w:val="24"/>
          <w:szCs w:val="24"/>
          <w:highlight w:val="none"/>
          <w:u w:val="single"/>
          <w14:textFill>
            <w14:solidFill>
              <w14:schemeClr w14:val="tx1"/>
            </w14:solidFill>
          </w14:textFill>
        </w:rPr>
        <w:t>根据现场实际情况而定</w:t>
      </w:r>
      <w:r>
        <w:rPr>
          <w:rFonts w:hint="eastAsia" w:ascii="宋体" w:hAnsi="宋体" w:cs="宋体"/>
          <w:color w:val="000000" w:themeColor="text1"/>
          <w:sz w:val="24"/>
          <w:szCs w:val="24"/>
          <w:highlight w:val="none"/>
          <w14:textFill>
            <w14:solidFill>
              <w14:schemeClr w14:val="tx1"/>
            </w14:solidFill>
          </w14:textFill>
        </w:rPr>
        <w:t>。</w:t>
      </w:r>
    </w:p>
    <w:p w14:paraId="34129DE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关于发包人向承包人免费提供满足工程施工需要的场内道路和交通设施的约定：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5BCEEE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1.10.4超大件和超重件的运输</w:t>
      </w:r>
    </w:p>
    <w:p w14:paraId="0D91731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运输超大件或超重件所需的道路和桥梁临时加固改造费用和其他有关费用由</w:t>
      </w:r>
      <w:r>
        <w:rPr>
          <w:rFonts w:hint="eastAsia" w:ascii="宋体" w:hAnsi="宋体" w:cs="宋体"/>
          <w:color w:val="000000" w:themeColor="text1"/>
          <w:sz w:val="24"/>
          <w:szCs w:val="24"/>
          <w:highlight w:val="none"/>
          <w:u w:val="single"/>
          <w14:textFill>
            <w14:solidFill>
              <w14:schemeClr w14:val="tx1"/>
            </w14:solidFill>
          </w14:textFill>
        </w:rPr>
        <w:t>承包人</w:t>
      </w:r>
      <w:r>
        <w:rPr>
          <w:rFonts w:hint="eastAsia" w:ascii="宋体" w:hAnsi="宋体" w:cs="宋体"/>
          <w:color w:val="000000" w:themeColor="text1"/>
          <w:sz w:val="24"/>
          <w:szCs w:val="24"/>
          <w:highlight w:val="none"/>
          <w14:textFill>
            <w14:solidFill>
              <w14:schemeClr w14:val="tx1"/>
            </w14:solidFill>
          </w14:textFill>
        </w:rPr>
        <w:t>承担。</w:t>
      </w:r>
    </w:p>
    <w:p w14:paraId="5E6C56F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 知识产权</w:t>
      </w:r>
    </w:p>
    <w:p w14:paraId="03C57DA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themeColor="text1"/>
          <w:sz w:val="24"/>
          <w:szCs w:val="24"/>
          <w:highlight w:val="none"/>
          <w:u w:val="single"/>
          <w14:textFill>
            <w14:solidFill>
              <w14:schemeClr w14:val="tx1"/>
            </w14:solidFill>
          </w14:textFill>
        </w:rPr>
        <w:t>属于发包人</w:t>
      </w:r>
      <w:r>
        <w:rPr>
          <w:rFonts w:hint="eastAsia" w:ascii="宋体" w:hAnsi="宋体" w:cs="宋体"/>
          <w:color w:val="000000" w:themeColor="text1"/>
          <w:sz w:val="24"/>
          <w:szCs w:val="24"/>
          <w:highlight w:val="none"/>
          <w14:textFill>
            <w14:solidFill>
              <w14:schemeClr w14:val="tx1"/>
            </w14:solidFill>
          </w14:textFill>
        </w:rPr>
        <w:t>。</w:t>
      </w:r>
    </w:p>
    <w:p w14:paraId="2264D10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关于发包人提供的上述文件的使用限制的要求：</w:t>
      </w:r>
      <w:r>
        <w:rPr>
          <w:rFonts w:hint="eastAsia" w:ascii="宋体" w:hAnsi="宋体" w:cs="宋体"/>
          <w:color w:val="000000" w:themeColor="text1"/>
          <w:sz w:val="24"/>
          <w:szCs w:val="24"/>
          <w:highlight w:val="none"/>
          <w:u w:val="single"/>
          <w14:textFill>
            <w14:solidFill>
              <w14:schemeClr w14:val="tx1"/>
            </w14:solidFill>
          </w14:textFill>
        </w:rPr>
        <w:t>承包人可以为实现合同目的而复制、使用此类文件，但不能用于与合同无关的其他事项。未经发包人书面同意，承包人不得为了合同以外的目的而复制、使用上述文件或将之提供给任何第三方。</w:t>
      </w:r>
    </w:p>
    <w:p w14:paraId="72DFC20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1.11.2 关于承包人为实施工程所编制文件的著作权的归属：</w:t>
      </w:r>
      <w:r>
        <w:rPr>
          <w:rFonts w:hint="eastAsia" w:ascii="宋体" w:hAnsi="宋体" w:cs="宋体"/>
          <w:color w:val="000000" w:themeColor="text1"/>
          <w:sz w:val="24"/>
          <w:szCs w:val="24"/>
          <w:highlight w:val="none"/>
          <w:u w:val="single"/>
          <w14:textFill>
            <w14:solidFill>
              <w14:schemeClr w14:val="tx1"/>
            </w14:solidFill>
          </w14:textFill>
        </w:rPr>
        <w:t>除署名权以外的著作权属于发包人</w:t>
      </w:r>
      <w:r>
        <w:rPr>
          <w:rFonts w:hint="eastAsia" w:ascii="宋体" w:hAnsi="宋体" w:cs="宋体"/>
          <w:color w:val="000000" w:themeColor="text1"/>
          <w:sz w:val="24"/>
          <w:szCs w:val="24"/>
          <w:highlight w:val="none"/>
          <w14:textFill>
            <w14:solidFill>
              <w14:schemeClr w14:val="tx1"/>
            </w14:solidFill>
          </w14:textFill>
        </w:rPr>
        <w:t>。</w:t>
      </w:r>
    </w:p>
    <w:p w14:paraId="55C7C06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关于承包人提供的上述文件的使用限制的要求：</w:t>
      </w:r>
      <w:r>
        <w:rPr>
          <w:rFonts w:hint="eastAsia" w:ascii="宋体" w:hAnsi="宋体" w:cs="宋体"/>
          <w:color w:val="000000" w:themeColor="text1"/>
          <w:sz w:val="24"/>
          <w:szCs w:val="24"/>
          <w:highlight w:val="none"/>
          <w:u w:val="single"/>
          <w14:textFill>
            <w14:solidFill>
              <w14:schemeClr w14:val="tx1"/>
            </w14:solidFill>
          </w14:textFill>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color w:val="000000" w:themeColor="text1"/>
          <w:sz w:val="24"/>
          <w:szCs w:val="24"/>
          <w:highlight w:val="none"/>
          <w14:textFill>
            <w14:solidFill>
              <w14:schemeClr w14:val="tx1"/>
            </w14:solidFill>
          </w14:textFill>
        </w:rPr>
        <w:t>。</w:t>
      </w:r>
    </w:p>
    <w:p w14:paraId="00BF7DA0">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1.11.4 承包人在施工过程中所采用的专利、专有技术、技术秘密的使用费的承担方式：</w:t>
      </w:r>
      <w:r>
        <w:rPr>
          <w:rFonts w:hint="eastAsia" w:ascii="宋体" w:hAnsi="宋体" w:cs="宋体"/>
          <w:color w:val="000000" w:themeColor="text1"/>
          <w:sz w:val="24"/>
          <w:szCs w:val="24"/>
          <w:highlight w:val="none"/>
          <w:u w:val="single"/>
          <w14:textFill>
            <w14:solidFill>
              <w14:schemeClr w14:val="tx1"/>
            </w14:solidFill>
          </w14:textFill>
        </w:rPr>
        <w:t>已含在合同价中</w:t>
      </w:r>
      <w:r>
        <w:rPr>
          <w:rFonts w:hint="eastAsia" w:ascii="宋体" w:hAnsi="宋体" w:cs="宋体"/>
          <w:color w:val="000000" w:themeColor="text1"/>
          <w:kern w:val="0"/>
          <w:sz w:val="24"/>
          <w:szCs w:val="24"/>
          <w:highlight w:val="none"/>
          <w14:textFill>
            <w14:solidFill>
              <w14:schemeClr w14:val="tx1"/>
            </w14:solidFill>
          </w14:textFill>
        </w:rPr>
        <w:t>。</w:t>
      </w:r>
    </w:p>
    <w:p w14:paraId="6371F29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1.13工程量清单错误的修正</w:t>
      </w:r>
    </w:p>
    <w:p w14:paraId="264FDC7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出现工程量清单错误时，是否调整合同价格：</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kern w:val="0"/>
          <w:sz w:val="24"/>
          <w:szCs w:val="24"/>
          <w:highlight w:val="none"/>
          <w14:textFill>
            <w14:solidFill>
              <w14:schemeClr w14:val="tx1"/>
            </w14:solidFill>
          </w14:textFill>
        </w:rPr>
        <w:t>。</w:t>
      </w:r>
    </w:p>
    <w:p w14:paraId="43987C7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允许调整合同价格的工程量偏差范围：</w:t>
      </w:r>
      <w:r>
        <w:rPr>
          <w:rFonts w:hint="eastAsia" w:ascii="宋体" w:hAnsi="宋体" w:cs="宋体"/>
          <w:color w:val="000000" w:themeColor="text1"/>
          <w:sz w:val="24"/>
          <w:szCs w:val="24"/>
          <w:highlight w:val="none"/>
          <w:u w:val="single"/>
          <w14:textFill>
            <w14:solidFill>
              <w14:schemeClr w14:val="tx1"/>
            </w14:solidFill>
          </w14:textFill>
        </w:rPr>
        <w:t>工程量按实调整，综合单价不予调整。</w:t>
      </w:r>
    </w:p>
    <w:p w14:paraId="353ABDE6">
      <w:pPr>
        <w:keepNext/>
        <w:keepLines/>
        <w:numPr>
          <w:ilvl w:val="3"/>
          <w:numId w:val="4"/>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2. 发包人</w:t>
      </w:r>
    </w:p>
    <w:p w14:paraId="6737435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 发包人代表</w:t>
      </w:r>
    </w:p>
    <w:p w14:paraId="5289558D">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发包人代表：</w:t>
      </w:r>
    </w:p>
    <w:p w14:paraId="07E5237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w:t>
      </w:r>
    </w:p>
    <w:p w14:paraId="7414527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身份证号：</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43057C5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职    务：</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7678102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120F215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053FEBD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0988FC77">
      <w:pPr>
        <w:spacing w:line="360" w:lineRule="auto"/>
        <w:ind w:firstLine="480"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发包人对发包人代表的授权范围如下：</w:t>
      </w:r>
      <w:r>
        <w:rPr>
          <w:rFonts w:hint="eastAsia" w:ascii="宋体" w:hAnsi="宋体" w:cs="宋体"/>
          <w:color w:val="000000" w:themeColor="text1"/>
          <w:sz w:val="24"/>
          <w:szCs w:val="24"/>
          <w:highlight w:val="none"/>
          <w:u w:val="single"/>
          <w14:textFill>
            <w14:solidFill>
              <w14:schemeClr w14:val="tx1"/>
            </w14:solidFill>
          </w14:textFill>
        </w:rPr>
        <w:t>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w:t>
      </w:r>
      <w:r>
        <w:rPr>
          <w:rFonts w:hint="eastAsia" w:ascii="宋体" w:hAnsi="宋体" w:cs="宋体"/>
          <w:color w:val="000000" w:themeColor="text1"/>
          <w:sz w:val="24"/>
          <w:szCs w:val="24"/>
          <w:highlight w:val="none"/>
          <w14:textFill>
            <w14:solidFill>
              <w14:schemeClr w14:val="tx1"/>
            </w14:solidFill>
          </w14:textFill>
        </w:rPr>
        <w:t>。</w:t>
      </w:r>
    </w:p>
    <w:p w14:paraId="2C6701D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 施工现场、施工条件和基础资料的提供</w:t>
      </w:r>
    </w:p>
    <w:p w14:paraId="6201F19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2.4.1 提供施工现场</w:t>
      </w:r>
    </w:p>
    <w:p w14:paraId="3B0CC58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关于发包人移交施工现场的期限要求：</w:t>
      </w:r>
      <w:r>
        <w:rPr>
          <w:rFonts w:hint="eastAsia" w:ascii="宋体" w:hAnsi="宋体" w:cs="宋体"/>
          <w:color w:val="000000" w:themeColor="text1"/>
          <w:sz w:val="24"/>
          <w:szCs w:val="24"/>
          <w:highlight w:val="none"/>
          <w:u w:val="single"/>
          <w14:textFill>
            <w14:solidFill>
              <w14:schemeClr w14:val="tx1"/>
            </w14:solidFill>
          </w14:textFill>
        </w:rPr>
        <w:t>开工日期7天前</w:t>
      </w:r>
      <w:r>
        <w:rPr>
          <w:rFonts w:hint="eastAsia" w:ascii="宋体" w:hAnsi="宋体" w:cs="宋体"/>
          <w:color w:val="000000" w:themeColor="text1"/>
          <w:sz w:val="24"/>
          <w:szCs w:val="24"/>
          <w:highlight w:val="none"/>
          <w14:textFill>
            <w14:solidFill>
              <w14:schemeClr w14:val="tx1"/>
            </w14:solidFill>
          </w14:textFill>
        </w:rPr>
        <w:t>。</w:t>
      </w:r>
    </w:p>
    <w:p w14:paraId="1FC7B7B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2.4.2 提供施工条件</w:t>
      </w:r>
    </w:p>
    <w:p w14:paraId="65FAB2D6">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关于发包人应负责提供施工所需要的条件，包括：</w:t>
      </w:r>
      <w:r>
        <w:rPr>
          <w:rFonts w:hint="eastAsia" w:ascii="宋体" w:hAnsi="宋体" w:cs="宋体"/>
          <w:color w:val="000000" w:themeColor="text1"/>
          <w:sz w:val="24"/>
          <w:szCs w:val="24"/>
          <w:highlight w:val="none"/>
          <w:u w:val="single"/>
          <w14:textFill>
            <w14:solidFill>
              <w14:schemeClr w14:val="tx1"/>
            </w14:solidFill>
          </w14:textFill>
        </w:rPr>
        <w:t>（1）通讯线路不提供，由承包人自行解决并承担相应费用；（2）现场指定施工（生活）用水、电接入位置，自指定位置接入施工现场所需的材料、安装等一切费用，由承包人自行解决并承担相应费用，同时施工中发包人不考虑因用电原因（如需自发电或电容量不够）而给承包人的任何额外补偿；（3）水电费按工程审定额的千分之一点五计取；（4）正常施工所需要的进入施工现场的交通条件已具备</w:t>
      </w:r>
      <w:r>
        <w:rPr>
          <w:rFonts w:hint="eastAsia" w:ascii="宋体" w:hAnsi="宋体" w:cs="宋体"/>
          <w:color w:val="000000" w:themeColor="text1"/>
          <w:sz w:val="24"/>
          <w:szCs w:val="24"/>
          <w:highlight w:val="none"/>
          <w14:textFill>
            <w14:solidFill>
              <w14:schemeClr w14:val="tx1"/>
            </w14:solidFill>
          </w14:textFill>
        </w:rPr>
        <w:t>。</w:t>
      </w:r>
    </w:p>
    <w:p w14:paraId="76C8514D">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 资金来源证明及支付担保</w:t>
      </w:r>
    </w:p>
    <w:p w14:paraId="41273F8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发包人提供资金来源证明的期限要求：</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70A82E3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发包人是否提供支付担保：</w:t>
      </w:r>
      <w:r>
        <w:rPr>
          <w:rFonts w:hint="eastAsia" w:ascii="宋体" w:hAnsi="宋体" w:cs="宋体"/>
          <w:color w:val="000000" w:themeColor="text1"/>
          <w:sz w:val="24"/>
          <w:szCs w:val="24"/>
          <w:highlight w:val="none"/>
          <w:u w:val="single"/>
          <w14:textFill>
            <w14:solidFill>
              <w14:schemeClr w14:val="tx1"/>
            </w14:solidFill>
          </w14:textFill>
        </w:rPr>
        <w:t>否</w:t>
      </w:r>
      <w:r>
        <w:rPr>
          <w:rFonts w:hint="eastAsia" w:ascii="宋体" w:hAnsi="宋体" w:cs="宋体"/>
          <w:color w:val="000000" w:themeColor="text1"/>
          <w:sz w:val="24"/>
          <w:szCs w:val="24"/>
          <w:highlight w:val="none"/>
          <w14:textFill>
            <w14:solidFill>
              <w14:schemeClr w14:val="tx1"/>
            </w14:solidFill>
          </w14:textFill>
        </w:rPr>
        <w:t>。</w:t>
      </w:r>
    </w:p>
    <w:p w14:paraId="63347CD5">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发包人提供支付担保的形式：</w:t>
      </w:r>
      <w:r>
        <w:rPr>
          <w:rFonts w:hint="eastAsia" w:ascii="宋体" w:hAnsi="宋体" w:cs="宋体"/>
          <w:color w:val="000000" w:themeColor="text1"/>
          <w:sz w:val="24"/>
          <w:szCs w:val="24"/>
          <w:highlight w:val="none"/>
          <w:u w:val="single"/>
          <w14:textFill>
            <w14:solidFill>
              <w14:schemeClr w14:val="tx1"/>
            </w14:solidFill>
          </w14:textFill>
        </w:rPr>
        <w:t>/。</w:t>
      </w:r>
    </w:p>
    <w:p w14:paraId="000A39C3">
      <w:pPr>
        <w:keepNext/>
        <w:keepLines/>
        <w:numPr>
          <w:ilvl w:val="3"/>
          <w:numId w:val="4"/>
        </w:numPr>
        <w:spacing w:before="120" w:after="120"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3. 承包人</w:t>
      </w:r>
    </w:p>
    <w:p w14:paraId="104BF6AF">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 承包人的一般义务</w:t>
      </w:r>
    </w:p>
    <w:p w14:paraId="519F30A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ascii="宋体" w:hAnsi="宋体" w:cs="宋体"/>
          <w:color w:val="000000" w:themeColor="text1"/>
          <w:kern w:val="0"/>
          <w:sz w:val="24"/>
          <w:szCs w:val="24"/>
          <w:highlight w:val="none"/>
          <w14:textFill>
            <w14:solidFill>
              <w14:schemeClr w14:val="tx1"/>
            </w14:solidFill>
          </w14:textFill>
        </w:rPr>
        <w:t>1</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承包人提交的竣工资料的内容：</w:t>
      </w:r>
      <w:r>
        <w:rPr>
          <w:rFonts w:hint="eastAsia" w:ascii="宋体" w:hAnsi="宋体" w:cs="宋体"/>
          <w:color w:val="000000" w:themeColor="text1"/>
          <w:sz w:val="24"/>
          <w:szCs w:val="24"/>
          <w:highlight w:val="none"/>
          <w:u w:val="single"/>
          <w14:textFill>
            <w14:solidFill>
              <w14:schemeClr w14:val="tx1"/>
            </w14:solidFill>
          </w14:textFill>
        </w:rPr>
        <w:t>工程竣工报告、施工技术管理资料、产品质量证明文件、施工质量试验资料、施工质量检测资料、施工记录、工程安全和功能检验资料核查及主要功能抽查记录、竣工图等,具体按国家有关规定提供。</w:t>
      </w:r>
    </w:p>
    <w:p w14:paraId="4856C0C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承包人需要提交的竣工资料套数：</w:t>
      </w:r>
      <w:r>
        <w:rPr>
          <w:rFonts w:hint="eastAsia" w:ascii="宋体" w:hAnsi="宋体" w:cs="宋体"/>
          <w:color w:val="000000" w:themeColor="text1"/>
          <w:sz w:val="24"/>
          <w:szCs w:val="24"/>
          <w:highlight w:val="none"/>
          <w:u w:val="single"/>
          <w14:textFill>
            <w14:solidFill>
              <w14:schemeClr w14:val="tx1"/>
            </w14:solidFill>
          </w14:textFill>
        </w:rPr>
        <w:t>4套（含原件壹套）</w:t>
      </w:r>
      <w:r>
        <w:rPr>
          <w:rFonts w:hint="eastAsia" w:ascii="宋体" w:hAnsi="宋体" w:cs="宋体"/>
          <w:color w:val="000000" w:themeColor="text1"/>
          <w:sz w:val="24"/>
          <w:szCs w:val="24"/>
          <w:highlight w:val="none"/>
          <w14:textFill>
            <w14:solidFill>
              <w14:schemeClr w14:val="tx1"/>
            </w14:solidFill>
          </w14:textFill>
        </w:rPr>
        <w:t>。</w:t>
      </w:r>
    </w:p>
    <w:p w14:paraId="1645ED3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承包人提交的竣工资料的费用承担：</w:t>
      </w:r>
      <w:r>
        <w:rPr>
          <w:rFonts w:hint="eastAsia" w:ascii="宋体" w:hAnsi="宋体" w:cs="宋体"/>
          <w:color w:val="000000" w:themeColor="text1"/>
          <w:sz w:val="24"/>
          <w:szCs w:val="24"/>
          <w:highlight w:val="none"/>
          <w:u w:val="single"/>
          <w14:textFill>
            <w14:solidFill>
              <w14:schemeClr w14:val="tx1"/>
            </w14:solidFill>
          </w14:textFill>
        </w:rPr>
        <w:t>由承包人自行承担</w:t>
      </w:r>
      <w:r>
        <w:rPr>
          <w:rFonts w:hint="eastAsia" w:ascii="宋体" w:hAnsi="宋体" w:cs="宋体"/>
          <w:color w:val="000000" w:themeColor="text1"/>
          <w:sz w:val="24"/>
          <w:szCs w:val="24"/>
          <w:highlight w:val="none"/>
          <w14:textFill>
            <w14:solidFill>
              <w14:schemeClr w14:val="tx1"/>
            </w14:solidFill>
          </w14:textFill>
        </w:rPr>
        <w:t>。</w:t>
      </w:r>
    </w:p>
    <w:p w14:paraId="38E3486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承包人提交的竣工资料移交时间：</w:t>
      </w:r>
      <w:r>
        <w:rPr>
          <w:rFonts w:hint="eastAsia" w:ascii="宋体" w:hAnsi="宋体" w:cs="宋体"/>
          <w:color w:val="000000" w:themeColor="text1"/>
          <w:sz w:val="24"/>
          <w:szCs w:val="24"/>
          <w:highlight w:val="none"/>
          <w:u w:val="single"/>
          <w14:textFill>
            <w14:solidFill>
              <w14:schemeClr w14:val="tx1"/>
            </w14:solidFill>
          </w14:textFill>
        </w:rPr>
        <w:t>与竣工验收申请报告同时提交。工程竣工验收合格后，承包人应在28天内向发包人递交竣工结算报告和完整的结算资料</w:t>
      </w:r>
      <w:r>
        <w:rPr>
          <w:rFonts w:hint="eastAsia" w:ascii="宋体" w:hAnsi="宋体" w:cs="宋体"/>
          <w:color w:val="000000" w:themeColor="text1"/>
          <w:sz w:val="24"/>
          <w:szCs w:val="24"/>
          <w:highlight w:val="none"/>
          <w14:textFill>
            <w14:solidFill>
              <w14:schemeClr w14:val="tx1"/>
            </w14:solidFill>
          </w14:textFill>
        </w:rPr>
        <w:t>。</w:t>
      </w:r>
    </w:p>
    <w:p w14:paraId="32878B0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承包人提交的竣工资料形式要求：</w:t>
      </w:r>
      <w:r>
        <w:rPr>
          <w:rFonts w:hint="eastAsia" w:ascii="宋体" w:hAnsi="宋体" w:cs="宋体"/>
          <w:color w:val="000000" w:themeColor="text1"/>
          <w:sz w:val="24"/>
          <w:szCs w:val="24"/>
          <w:highlight w:val="none"/>
          <w:u w:val="single"/>
          <w14:textFill>
            <w14:solidFill>
              <w14:schemeClr w14:val="tx1"/>
            </w14:solidFill>
          </w14:textFill>
        </w:rPr>
        <w:t>以书面形式提交并提供电子版</w:t>
      </w:r>
      <w:r>
        <w:rPr>
          <w:rFonts w:hint="eastAsia" w:ascii="宋体" w:hAnsi="宋体" w:cs="宋体"/>
          <w:color w:val="000000" w:themeColor="text1"/>
          <w:sz w:val="24"/>
          <w:szCs w:val="24"/>
          <w:highlight w:val="none"/>
          <w14:textFill>
            <w14:solidFill>
              <w14:schemeClr w14:val="tx1"/>
            </w14:solidFill>
          </w14:textFill>
        </w:rPr>
        <w:t>。</w:t>
      </w:r>
    </w:p>
    <w:p w14:paraId="61B649DD">
      <w:pPr>
        <w:autoSpaceDE w:val="0"/>
        <w:autoSpaceDN w:val="0"/>
        <w:adjustRightInd w:val="0"/>
        <w:spacing w:line="360" w:lineRule="auto"/>
        <w:ind w:left="-359" w:leftChars="-171" w:right="-178" w:rightChars="-85"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kern w:val="0"/>
          <w:sz w:val="24"/>
          <w:szCs w:val="24"/>
          <w:highlight w:val="none"/>
          <w14:textFill>
            <w14:solidFill>
              <w14:schemeClr w14:val="tx1"/>
            </w14:solidFill>
          </w14:textFill>
        </w:rPr>
        <w:t>）承包人应履行的其他义务：</w:t>
      </w:r>
      <w:r>
        <w:rPr>
          <w:rFonts w:hint="eastAsia" w:ascii="宋体" w:hAnsi="宋体" w:cs="宋体"/>
          <w:color w:val="000000" w:themeColor="text1"/>
          <w:sz w:val="24"/>
          <w:szCs w:val="24"/>
          <w:highlight w:val="none"/>
          <w:u w:val="single"/>
          <w14:textFill>
            <w14:solidFill>
              <w14:schemeClr w14:val="tx1"/>
            </w14:solidFill>
          </w14:textFill>
        </w:rPr>
        <w:t>①按标准化现场要求，做到文明施工、规范施工，保持场地整洁卫生，竣工验收合格后20天内负责将现场所有临时设施拆除，将建筑垃圾清运出场，做到工完场清，并承担相关费用；②承包人应无条件做好自身承包范围内成品保护工作并承担相应费用，直至正式竣工验收后交付使用，成品保护期间发生损坏，承包人自费予以修复；③应满足现场施工管理的需要，达到政府有关规定的要求及承诺。承包人按照规定负责施工现场的安全保卫工作及施工照明，负责施工人员的治安教育和施工安全教育工作，建立健全行之有效的防火管理制度，对火灾易发区域应采取特殊的消防安全措施，确保职工食堂卫生安全和饮水设施的安全可靠，施工现场的临时用电安全参照现行规范执行，以确保施工阶段的一切安全工作，因措施不力、管理不善而由此发生的一切事故均由承包人负责承担；④承包人必须保证施工场地与市政道路和施工场地内的道路畅通，并自行解决好与四邻的交通、环卫和施工噪音问题，降低噪音、渣土证等项费用，由承包人负责，发包人协助，费用由承包人承担；⑤承包人应负责配合监理、审计等部门，及时进行工程量核对、确认；⑥发包人单独发包的专业工程，承包人对专业工程承包人的管理、协调内容：包括承包人必须负责管理整个施工现场、安全文明施工、质量控制、工程进度控制、界面管理、提供轴线和标高和竣工验收以及资料汇编管理等。承包人对专业工程承包人的配合服务内容：包括为专业工程承包人提供施工中的配合与服务、施工和生活用水电接口、现有的脚手架和垂直运输机械的使用、施工现场道路和场地的使用等。⑦ 承包人有义务根据发包人提供的图纸及有关文件，提出合理化建议，将可能发生的问题消灭在萌芽状态，杜绝一切因考虑不周而发生的问题。</w:t>
      </w:r>
      <w:r>
        <w:rPr>
          <w:rFonts w:hint="eastAsia" w:ascii="宋体" w:hAnsi="宋体" w:cs="宋体"/>
          <w:color w:val="000000" w:themeColor="text1"/>
          <w:sz w:val="24"/>
          <w:szCs w:val="24"/>
          <w:highlight w:val="none"/>
          <w:u w:val="single"/>
          <w14:textFill>
            <w14:solidFill>
              <w14:schemeClr w14:val="tx1"/>
            </w14:solidFill>
          </w14:textFill>
        </w:rPr>
        <w:fldChar w:fldCharType="begin"/>
      </w:r>
      <w:r>
        <w:rPr>
          <w:rFonts w:hint="eastAsia" w:ascii="宋体" w:hAnsi="宋体" w:cs="宋体"/>
          <w:color w:val="000000" w:themeColor="text1"/>
          <w:sz w:val="24"/>
          <w:szCs w:val="24"/>
          <w:highlight w:val="none"/>
          <w:u w:val="single"/>
          <w14:textFill>
            <w14:solidFill>
              <w14:schemeClr w14:val="tx1"/>
            </w14:solidFill>
          </w14:textFill>
        </w:rPr>
        <w:instrText xml:space="preserve">eq \o\ac(○,8)</w:instrText>
      </w:r>
      <w:r>
        <w:rPr>
          <w:rFonts w:hint="eastAsia" w:ascii="宋体" w:hAnsi="宋体" w:cs="宋体"/>
          <w:color w:val="000000" w:themeColor="text1"/>
          <w:sz w:val="24"/>
          <w:szCs w:val="24"/>
          <w:highlight w:val="none"/>
          <w:u w:val="single"/>
          <w14:textFill>
            <w14:solidFill>
              <w14:schemeClr w14:val="tx1"/>
            </w14:solidFill>
          </w14:textFill>
        </w:rPr>
        <w:fldChar w:fldCharType="end"/>
      </w:r>
      <w:r>
        <w:rPr>
          <w:rFonts w:hint="eastAsia" w:ascii="宋体" w:hAnsi="宋体" w:cs="宋体"/>
          <w:color w:val="000000" w:themeColor="text1"/>
          <w:sz w:val="24"/>
          <w:szCs w:val="24"/>
          <w:highlight w:val="none"/>
          <w:u w:val="single"/>
          <w14:textFill>
            <w14:solidFill>
              <w14:schemeClr w14:val="tx1"/>
            </w14:solidFill>
          </w14:textFill>
        </w:rPr>
        <w:t>承包人必须遵守建设工程施工等方面的相关规定，服从行政主管部门的管理。凡涉及到承包人的施工备案、夜间施工、车辆准运等有关证、照，均由承包人自行办理 ，发包人给予配合，发生的费用全部由承包人承担，包括外地承包人进宁施工备案费用 、排污管理费、噪声管理费、垃圾管理费等。</w:t>
      </w:r>
      <w:r>
        <w:rPr>
          <w:rFonts w:hint="eastAsia" w:ascii="宋体" w:hAnsi="宋体" w:cs="宋体"/>
          <w:color w:val="000000" w:themeColor="text1"/>
          <w:sz w:val="24"/>
          <w:szCs w:val="24"/>
          <w:highlight w:val="none"/>
          <w:u w:val="single"/>
          <w14:textFill>
            <w14:solidFill>
              <w14:schemeClr w14:val="tx1"/>
            </w14:solidFill>
          </w14:textFill>
        </w:rPr>
        <w:fldChar w:fldCharType="begin"/>
      </w:r>
      <w:r>
        <w:rPr>
          <w:rFonts w:hint="eastAsia" w:ascii="宋体" w:hAnsi="宋体" w:cs="宋体"/>
          <w:color w:val="000000" w:themeColor="text1"/>
          <w:sz w:val="24"/>
          <w:szCs w:val="24"/>
          <w:highlight w:val="none"/>
          <w:u w:val="single"/>
          <w14:textFill>
            <w14:solidFill>
              <w14:schemeClr w14:val="tx1"/>
            </w14:solidFill>
          </w14:textFill>
        </w:rPr>
        <w:instrText xml:space="preserve"> = 9 \* GB3 </w:instrText>
      </w:r>
      <w:r>
        <w:rPr>
          <w:rFonts w:hint="eastAsia" w:ascii="宋体" w:hAnsi="宋体" w:cs="宋体"/>
          <w:color w:val="000000" w:themeColor="text1"/>
          <w:sz w:val="24"/>
          <w:szCs w:val="24"/>
          <w:highlight w:val="none"/>
          <w:u w:val="single"/>
          <w14:textFill>
            <w14:solidFill>
              <w14:schemeClr w14:val="tx1"/>
            </w14:solidFill>
          </w14:textFill>
        </w:rPr>
        <w:fldChar w:fldCharType="separate"/>
      </w:r>
      <w:r>
        <w:rPr>
          <w:rFonts w:hint="eastAsia" w:ascii="宋体" w:hAnsi="宋体" w:cs="宋体"/>
          <w:color w:val="000000" w:themeColor="text1"/>
          <w:sz w:val="24"/>
          <w:szCs w:val="24"/>
          <w:highlight w:val="none"/>
          <w:u w:val="single"/>
          <w14:textFill>
            <w14:solidFill>
              <w14:schemeClr w14:val="tx1"/>
            </w14:solidFill>
          </w14:textFill>
        </w:rPr>
        <w:t>⑨</w:t>
      </w:r>
      <w:r>
        <w:rPr>
          <w:rFonts w:hint="eastAsia" w:ascii="宋体" w:hAnsi="宋体" w:cs="宋体"/>
          <w:color w:val="000000" w:themeColor="text1"/>
          <w:sz w:val="24"/>
          <w:szCs w:val="24"/>
          <w:highlight w:val="none"/>
          <w:u w:val="single"/>
          <w14:textFill>
            <w14:solidFill>
              <w14:schemeClr w14:val="tx1"/>
            </w14:solidFill>
          </w14:textFill>
        </w:rPr>
        <w:fldChar w:fldCharType="end"/>
      </w:r>
      <w:r>
        <w:rPr>
          <w:rFonts w:hint="eastAsia" w:ascii="宋体" w:hAnsi="宋体" w:cs="宋体"/>
          <w:color w:val="000000" w:themeColor="text1"/>
          <w:sz w:val="24"/>
          <w:szCs w:val="24"/>
          <w:highlight w:val="none"/>
          <w:u w:val="single"/>
          <w14:textFill>
            <w14:solidFill>
              <w14:schemeClr w14:val="tx1"/>
            </w14:solidFill>
          </w14:textFill>
        </w:rPr>
        <w:t>工程施工过程中，如因城市重大活动等，可能对工期产生不利影响，承包人应按照要求做出必要的配合，费用自理。 </w:t>
      </w:r>
    </w:p>
    <w:p w14:paraId="7833E0B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 项目经理</w:t>
      </w:r>
    </w:p>
    <w:p w14:paraId="504D46FC">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3.2.1 项目经理：</w:t>
      </w:r>
    </w:p>
    <w:p w14:paraId="34C3B0C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w:t>
      </w:r>
    </w:p>
    <w:p w14:paraId="6D7604E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身份证号：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4E83A9B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建造师执业资格等级：</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A55F93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建造师注册证书号：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0D9C52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建造师执业印章号：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000E23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安全生产考核合格证书号：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12829FD">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01F72F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54AD50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8A445B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承包人对项目经理的授权范围如下：</w:t>
      </w:r>
      <w:r>
        <w:rPr>
          <w:rFonts w:hint="eastAsia" w:ascii="宋体" w:hAnsi="宋体" w:cs="宋体"/>
          <w:color w:val="000000" w:themeColor="text1"/>
          <w:sz w:val="24"/>
          <w:szCs w:val="24"/>
          <w:highlight w:val="none"/>
          <w:u w:val="single"/>
          <w14:textFill>
            <w14:solidFill>
              <w14:schemeClr w14:val="tx1"/>
            </w14:solidFill>
          </w14:textFill>
        </w:rPr>
        <w:t>代表承包人履行合同。按合同约定组织工程实施；在合同约定范围内主持承包人有关施工、技术、工程进度、现场管理、安全生产、质量检验、竣工交付、结算等方面工作</w:t>
      </w:r>
      <w:r>
        <w:rPr>
          <w:rFonts w:hint="eastAsia" w:ascii="宋体" w:hAnsi="宋体" w:cs="宋体"/>
          <w:color w:val="000000" w:themeColor="text1"/>
          <w:sz w:val="24"/>
          <w:szCs w:val="24"/>
          <w:highlight w:val="none"/>
          <w14:textFill>
            <w14:solidFill>
              <w14:schemeClr w14:val="tx1"/>
            </w14:solidFill>
          </w14:textFill>
        </w:rPr>
        <w:t>。</w:t>
      </w:r>
    </w:p>
    <w:p w14:paraId="775057B9">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关于项目经理每月在施工现场的时间要求：</w:t>
      </w:r>
      <w:r>
        <w:rPr>
          <w:rFonts w:hint="eastAsia" w:ascii="宋体" w:hAnsi="宋体" w:cs="宋体"/>
          <w:color w:val="000000" w:themeColor="text1"/>
          <w:sz w:val="24"/>
          <w:szCs w:val="24"/>
          <w:highlight w:val="none"/>
          <w:u w:val="single"/>
          <w14:textFill>
            <w14:solidFill>
              <w14:schemeClr w14:val="tx1"/>
            </w14:solidFill>
          </w14:textFill>
        </w:rPr>
        <w:t>每天不少于8小时，每周不少于5天</w:t>
      </w:r>
      <w:r>
        <w:rPr>
          <w:rFonts w:hint="eastAsia" w:ascii="宋体" w:hAnsi="宋体" w:cs="宋体"/>
          <w:color w:val="000000" w:themeColor="text1"/>
          <w:sz w:val="24"/>
          <w:szCs w:val="24"/>
          <w:highlight w:val="none"/>
          <w14:textFill>
            <w14:solidFill>
              <w14:schemeClr w14:val="tx1"/>
            </w14:solidFill>
          </w14:textFill>
        </w:rPr>
        <w:t>。</w:t>
      </w:r>
    </w:p>
    <w:p w14:paraId="16225D18">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承包人未提交劳动合同，以及没有为项目经理缴纳社会保险证明的违约责任：</w:t>
      </w:r>
      <w:r>
        <w:rPr>
          <w:rFonts w:hint="eastAsia" w:ascii="宋体" w:hAnsi="宋体" w:cs="宋体"/>
          <w:color w:val="000000" w:themeColor="text1"/>
          <w:sz w:val="24"/>
          <w:szCs w:val="24"/>
          <w:highlight w:val="none"/>
          <w:u w:val="single"/>
          <w14:textFill>
            <w14:solidFill>
              <w14:schemeClr w14:val="tx1"/>
            </w14:solidFill>
          </w14:textFill>
        </w:rPr>
        <w:t>一经发现，处以500元违约金，并要求在一周内签订劳动合同和缴纳社会保险，如未履行，每延迟一天，处以1000元违约金 。</w:t>
      </w:r>
    </w:p>
    <w:p w14:paraId="44BCAC33">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项目经理未经批准，擅自离开施工现场的违约责任：</w:t>
      </w:r>
      <w:r>
        <w:rPr>
          <w:rFonts w:hint="eastAsia" w:ascii="宋体" w:hAnsi="宋体" w:cs="宋体"/>
          <w:color w:val="000000" w:themeColor="text1"/>
          <w:sz w:val="24"/>
          <w:szCs w:val="24"/>
          <w:highlight w:val="none"/>
          <w:u w:val="single"/>
          <w14:textFill>
            <w14:solidFill>
              <w14:schemeClr w14:val="tx1"/>
            </w14:solidFill>
          </w14:textFill>
        </w:rPr>
        <w:t>发包人每发现1次处以1000元/天违约金</w:t>
      </w:r>
      <w:r>
        <w:rPr>
          <w:rFonts w:hint="eastAsia" w:ascii="宋体" w:hAnsi="宋体" w:cs="宋体"/>
          <w:color w:val="000000" w:themeColor="text1"/>
          <w:sz w:val="24"/>
          <w:szCs w:val="24"/>
          <w:highlight w:val="none"/>
          <w14:textFill>
            <w14:solidFill>
              <w14:schemeClr w14:val="tx1"/>
            </w14:solidFill>
          </w14:textFill>
        </w:rPr>
        <w:t>。</w:t>
      </w:r>
    </w:p>
    <w:p w14:paraId="190E133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3.2.3 承包人擅自更换项目经理的违约责任：</w:t>
      </w:r>
      <w:r>
        <w:rPr>
          <w:rFonts w:hint="eastAsia" w:ascii="宋体" w:hAnsi="宋体" w:cs="宋体"/>
          <w:color w:val="000000" w:themeColor="text1"/>
          <w:sz w:val="24"/>
          <w:szCs w:val="24"/>
          <w:highlight w:val="none"/>
          <w:u w:val="single"/>
          <w14:textFill>
            <w14:solidFill>
              <w14:schemeClr w14:val="tx1"/>
            </w14:solidFill>
          </w14:textFill>
        </w:rPr>
        <w:t>处以3万元违约金并保留解除合同的权利；项目经理因刑事犯罪、伤病丧失工作能力、离职等不可抗力不能履行职责需要变更的，须经监理工程师和发包人批准更换，接替人员的注册执业资格、能力、履约业绩等均不得低于被替换人员。如因其他情况需变更的，须经监理工程师和发包人批准更换，并处以5000元违约金，接替人员的注册执业资格、能力、履约业绩等均不得低于被替换人员</w:t>
      </w:r>
      <w:r>
        <w:rPr>
          <w:rFonts w:hint="eastAsia" w:ascii="宋体" w:hAnsi="宋体" w:cs="宋体"/>
          <w:color w:val="000000" w:themeColor="text1"/>
          <w:sz w:val="24"/>
          <w:szCs w:val="24"/>
          <w:highlight w:val="none"/>
          <w14:textFill>
            <w14:solidFill>
              <w14:schemeClr w14:val="tx1"/>
            </w14:solidFill>
          </w14:textFill>
        </w:rPr>
        <w:t>。</w:t>
      </w:r>
    </w:p>
    <w:p w14:paraId="4157515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3.2.4 承包人无正当理由拒绝更换项目经理的违约责任：</w:t>
      </w:r>
      <w:r>
        <w:rPr>
          <w:rFonts w:hint="eastAsia" w:ascii="宋体" w:hAnsi="宋体" w:cs="宋体"/>
          <w:color w:val="000000" w:themeColor="text1"/>
          <w:sz w:val="24"/>
          <w:szCs w:val="24"/>
          <w:highlight w:val="none"/>
          <w:u w:val="single"/>
          <w14:textFill>
            <w14:solidFill>
              <w14:schemeClr w14:val="tx1"/>
            </w14:solidFill>
          </w14:textFill>
        </w:rPr>
        <w:t>每次处以1万元违约金</w:t>
      </w:r>
      <w:r>
        <w:rPr>
          <w:rFonts w:hint="eastAsia" w:ascii="宋体" w:hAnsi="宋体" w:cs="宋体"/>
          <w:color w:val="000000" w:themeColor="text1"/>
          <w:sz w:val="24"/>
          <w:szCs w:val="24"/>
          <w:highlight w:val="none"/>
          <w14:textFill>
            <w14:solidFill>
              <w14:schemeClr w14:val="tx1"/>
            </w14:solidFill>
          </w14:textFill>
        </w:rPr>
        <w:t>。</w:t>
      </w:r>
    </w:p>
    <w:p w14:paraId="68F64EC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 承包人人员</w:t>
      </w:r>
    </w:p>
    <w:p w14:paraId="7F2096A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3.3.1 承包人提交项目管理机构及施工现场管理人员安排报告的期限：</w:t>
      </w:r>
      <w:r>
        <w:rPr>
          <w:rFonts w:hint="eastAsia" w:ascii="宋体" w:hAnsi="宋体" w:cs="宋体"/>
          <w:color w:val="000000" w:themeColor="text1"/>
          <w:sz w:val="24"/>
          <w:szCs w:val="24"/>
          <w:highlight w:val="none"/>
          <w:u w:val="single"/>
          <w14:textFill>
            <w14:solidFill>
              <w14:schemeClr w14:val="tx1"/>
            </w14:solidFill>
          </w14:textFill>
        </w:rPr>
        <w:t>接到开工通知后7天内</w:t>
      </w:r>
      <w:r>
        <w:rPr>
          <w:rFonts w:hint="eastAsia" w:ascii="宋体" w:hAnsi="宋体" w:cs="宋体"/>
          <w:color w:val="000000" w:themeColor="text1"/>
          <w:sz w:val="24"/>
          <w:szCs w:val="24"/>
          <w:highlight w:val="none"/>
          <w14:textFill>
            <w14:solidFill>
              <w14:schemeClr w14:val="tx1"/>
            </w14:solidFill>
          </w14:textFill>
        </w:rPr>
        <w:t>。</w:t>
      </w:r>
    </w:p>
    <w:p w14:paraId="76B38FC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3.3.3 承包人无正当理由拒绝撤换主要施工管理人员的违约责任：</w:t>
      </w:r>
      <w:r>
        <w:rPr>
          <w:rFonts w:hint="eastAsia" w:ascii="宋体" w:hAnsi="宋体" w:cs="宋体"/>
          <w:color w:val="000000" w:themeColor="text1"/>
          <w:sz w:val="24"/>
          <w:szCs w:val="24"/>
          <w:highlight w:val="none"/>
          <w:u w:val="single"/>
          <w14:textFill>
            <w14:solidFill>
              <w14:schemeClr w14:val="tx1"/>
            </w14:solidFill>
          </w14:textFill>
        </w:rPr>
        <w:t>每次每人每拖延一天处以1000元违约金</w:t>
      </w:r>
      <w:r>
        <w:rPr>
          <w:rFonts w:hint="eastAsia" w:ascii="宋体" w:hAnsi="宋体" w:cs="宋体"/>
          <w:color w:val="000000" w:themeColor="text1"/>
          <w:sz w:val="24"/>
          <w:szCs w:val="24"/>
          <w:highlight w:val="none"/>
          <w14:textFill>
            <w14:solidFill>
              <w14:schemeClr w14:val="tx1"/>
            </w14:solidFill>
          </w14:textFill>
        </w:rPr>
        <w:t>。</w:t>
      </w:r>
    </w:p>
    <w:p w14:paraId="47334CC6">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3.3.4 承包人主要施工管理人员离开施工现场的批准要求：</w:t>
      </w:r>
      <w:r>
        <w:rPr>
          <w:rFonts w:hint="eastAsia" w:ascii="宋体" w:hAnsi="宋体" w:cs="宋体"/>
          <w:color w:val="000000" w:themeColor="text1"/>
          <w:sz w:val="24"/>
          <w:szCs w:val="24"/>
          <w:highlight w:val="none"/>
          <w:u w:val="single"/>
          <w14:textFill>
            <w14:solidFill>
              <w14:schemeClr w14:val="tx1"/>
            </w14:solidFill>
          </w14:textFill>
        </w:rPr>
        <w:t xml:space="preserve">  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cs="宋体"/>
          <w:color w:val="000000" w:themeColor="text1"/>
          <w:sz w:val="24"/>
          <w:szCs w:val="24"/>
          <w:highlight w:val="none"/>
          <w14:textFill>
            <w14:solidFill>
              <w14:schemeClr w14:val="tx1"/>
            </w14:solidFill>
          </w14:textFill>
        </w:rPr>
        <w:t>。</w:t>
      </w:r>
    </w:p>
    <w:p w14:paraId="1AF600E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3.3.5承包人擅自更换主要施工管理人员的违约责任：</w:t>
      </w:r>
      <w:r>
        <w:rPr>
          <w:rFonts w:hint="eastAsia" w:ascii="宋体" w:hAnsi="宋体" w:cs="宋体"/>
          <w:color w:val="000000" w:themeColor="text1"/>
          <w:sz w:val="24"/>
          <w:szCs w:val="24"/>
          <w:highlight w:val="none"/>
          <w:u w:val="single"/>
          <w14:textFill>
            <w14:solidFill>
              <w14:schemeClr w14:val="tx1"/>
            </w14:solidFill>
          </w14:textFill>
        </w:rPr>
        <w:t>每次每人每天处以1000元违约金</w:t>
      </w:r>
      <w:r>
        <w:rPr>
          <w:rFonts w:hint="eastAsia" w:ascii="宋体" w:hAnsi="宋体" w:cs="宋体"/>
          <w:color w:val="000000" w:themeColor="text1"/>
          <w:sz w:val="24"/>
          <w:szCs w:val="24"/>
          <w:highlight w:val="none"/>
          <w14:textFill>
            <w14:solidFill>
              <w14:schemeClr w14:val="tx1"/>
            </w14:solidFill>
          </w14:textFill>
        </w:rPr>
        <w:t>。</w:t>
      </w:r>
    </w:p>
    <w:p w14:paraId="5246AB7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承包人主要施工管理人员擅自离开施工现场的违约责任：</w:t>
      </w:r>
      <w:r>
        <w:rPr>
          <w:rFonts w:hint="eastAsia" w:ascii="宋体" w:hAnsi="宋体" w:cs="宋体"/>
          <w:color w:val="000000" w:themeColor="text1"/>
          <w:sz w:val="24"/>
          <w:szCs w:val="24"/>
          <w:highlight w:val="none"/>
          <w:u w:val="single"/>
          <w14:textFill>
            <w14:solidFill>
              <w14:schemeClr w14:val="tx1"/>
            </w14:solidFill>
          </w14:textFill>
        </w:rPr>
        <w:t>每次每人每天处以1000元违约金，并保留解除合同的权利</w:t>
      </w:r>
      <w:r>
        <w:rPr>
          <w:rFonts w:hint="eastAsia" w:ascii="宋体" w:hAnsi="宋体" w:cs="宋体"/>
          <w:color w:val="000000" w:themeColor="text1"/>
          <w:sz w:val="24"/>
          <w:szCs w:val="24"/>
          <w:highlight w:val="none"/>
          <w14:textFill>
            <w14:solidFill>
              <w14:schemeClr w14:val="tx1"/>
            </w14:solidFill>
          </w14:textFill>
        </w:rPr>
        <w:t>。</w:t>
      </w:r>
    </w:p>
    <w:p w14:paraId="5FF5922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 分包</w:t>
      </w:r>
    </w:p>
    <w:p w14:paraId="45D32B6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3.5.1 分包的一般约定</w:t>
      </w:r>
    </w:p>
    <w:p w14:paraId="2BF9A9C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禁止分包的工程包括：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CF1755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主体结构、关键性工作的范围：</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50F33A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3.5.2分包的确定</w:t>
      </w:r>
    </w:p>
    <w:p w14:paraId="21A55801">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允许分包的专业工程包括：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DBA93BD">
      <w:pPr>
        <w:pStyle w:val="94"/>
        <w:spacing w:before="178" w:line="392" w:lineRule="auto"/>
        <w:ind w:left="134" w:right="215" w:firstLine="240" w:firstLineChars="100"/>
        <w:rPr>
          <w:color w:val="000000" w:themeColor="text1"/>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其他关于分包的约定：</w:t>
      </w:r>
      <w:r>
        <w:rPr>
          <w:rFonts w:hint="eastAsia" w:ascii="宋体" w:hAnsi="宋体" w:eastAsia="宋体" w:cs="宋体"/>
          <w:color w:val="000000" w:themeColor="text1"/>
          <w:kern w:val="2"/>
          <w:sz w:val="24"/>
          <w:szCs w:val="24"/>
          <w:highlight w:val="none"/>
          <w:u w:val="single"/>
          <w:lang w:val="en-US" w:eastAsia="zh-CN" w:bidi="ar-SA"/>
          <w14:textFill>
            <w14:solidFill>
              <w14:schemeClr w14:val="tx1"/>
            </w14:solidFill>
          </w14:textFill>
        </w:rPr>
        <w:t>工程主体结构和关键性工作不允许分包，工程非主体结构、非关键性工作分包须经发包人书面同意。</w:t>
      </w:r>
    </w:p>
    <w:p w14:paraId="5BF06CB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3.5.4 分包合同价款</w:t>
      </w:r>
    </w:p>
    <w:p w14:paraId="70B9D55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关于分包合同价款支付的约定：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B048B44">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3.6 工程照管与成品、半成品保护</w:t>
      </w:r>
    </w:p>
    <w:p w14:paraId="2B47405F">
      <w:pPr>
        <w:spacing w:before="120" w:after="120" w:line="360" w:lineRule="auto"/>
        <w:ind w:firstLine="480" w:firstLineChars="200"/>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承包人负责照管工程及工程相关的材料、工程设备的起始时间：</w:t>
      </w:r>
      <w:r>
        <w:rPr>
          <w:rFonts w:hint="eastAsia" w:ascii="宋体" w:hAnsi="宋体" w:cs="宋体"/>
          <w:color w:val="000000" w:themeColor="text1"/>
          <w:sz w:val="24"/>
          <w:szCs w:val="24"/>
          <w:highlight w:val="none"/>
          <w:u w:val="single"/>
          <w14:textFill>
            <w14:solidFill>
              <w14:schemeClr w14:val="tx1"/>
            </w14:solidFill>
          </w14:textFill>
        </w:rPr>
        <w:t>（1）自发包人向承包人移交施工现场之日起，承包人应负责照管工程及工程相关的材料、工程设备，直到颁发工程接收证书之日止。（2）在承包人负责照管期间，因承包人原因造成工程、材料、工程设备损坏的，由承包人负责修复或更换，并承担由此增加的费用和延误的工期。（3）对合同内分期完成的成品和半成品，在工程接收证书颁发前，由承包人承担保护责任。因承包人原因造成成品或半成品损坏的，由承包人负责修复或更换，并承担由此增加的费用和延误的工期</w:t>
      </w:r>
      <w:r>
        <w:rPr>
          <w:rFonts w:hint="eastAsia" w:ascii="宋体" w:hAnsi="宋体" w:cs="宋体"/>
          <w:color w:val="000000" w:themeColor="text1"/>
          <w:kern w:val="0"/>
          <w:sz w:val="24"/>
          <w:szCs w:val="24"/>
          <w:highlight w:val="none"/>
          <w14:textFill>
            <w14:solidFill>
              <w14:schemeClr w14:val="tx1"/>
            </w14:solidFill>
          </w14:textFill>
        </w:rPr>
        <w:t>。</w:t>
      </w:r>
    </w:p>
    <w:p w14:paraId="026FF00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3.7 履约担保</w:t>
      </w:r>
    </w:p>
    <w:p w14:paraId="1DC47F4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承包人是否提供履约担保：</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sz w:val="24"/>
          <w:szCs w:val="24"/>
          <w:highlight w:val="none"/>
          <w14:textFill>
            <w14:solidFill>
              <w14:schemeClr w14:val="tx1"/>
            </w14:solidFill>
          </w14:textFill>
        </w:rPr>
        <w:t>。</w:t>
      </w:r>
    </w:p>
    <w:p w14:paraId="7A309662">
      <w:pPr>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承包人提供履约担保的形式、金额及期限的：</w:t>
      </w:r>
      <w:r>
        <w:rPr>
          <w:rFonts w:hint="eastAsia" w:ascii="宋体" w:hAnsi="宋体" w:cs="宋体"/>
          <w:color w:val="000000" w:themeColor="text1"/>
          <w:sz w:val="24"/>
          <w:szCs w:val="24"/>
          <w:highlight w:val="none"/>
          <w:u w:val="single"/>
          <w:lang w:val="zh-CN"/>
          <w14:textFill>
            <w14:solidFill>
              <w14:schemeClr w14:val="tx1"/>
            </w14:solidFill>
          </w14:textFill>
        </w:rPr>
        <w:t>本工程</w:t>
      </w:r>
      <w:r>
        <w:rPr>
          <w:rFonts w:hint="eastAsia" w:ascii="宋体" w:hAnsi="宋体" w:cs="宋体"/>
          <w:color w:val="000000" w:themeColor="text1"/>
          <w:sz w:val="24"/>
          <w:szCs w:val="24"/>
          <w:highlight w:val="none"/>
          <w:u w:val="single"/>
          <w14:textFill>
            <w14:solidFill>
              <w14:schemeClr w14:val="tx1"/>
            </w14:solidFill>
          </w14:textFill>
        </w:rPr>
        <w:t>承包</w:t>
      </w:r>
      <w:r>
        <w:rPr>
          <w:rFonts w:hint="eastAsia" w:ascii="宋体" w:hAnsi="宋体" w:cs="宋体"/>
          <w:color w:val="000000" w:themeColor="text1"/>
          <w:sz w:val="24"/>
          <w:szCs w:val="24"/>
          <w:highlight w:val="none"/>
          <w:u w:val="single"/>
          <w:lang w:val="zh-CN"/>
          <w14:textFill>
            <w14:solidFill>
              <w14:schemeClr w14:val="tx1"/>
            </w14:solidFill>
          </w14:textFill>
        </w:rPr>
        <w:t>人在签订合同前需按合同金额的</w:t>
      </w:r>
      <w:r>
        <w:rPr>
          <w:rFonts w:hint="eastAsia" w:ascii="宋体" w:hAnsi="宋体" w:cs="宋体"/>
          <w:color w:val="000000" w:themeColor="text1"/>
          <w:sz w:val="24"/>
          <w:szCs w:val="24"/>
          <w:highlight w:val="none"/>
          <w:u w:val="single"/>
          <w14:textFill>
            <w14:solidFill>
              <w14:schemeClr w14:val="tx1"/>
            </w14:solidFill>
          </w14:textFill>
        </w:rPr>
        <w:t>5</w:t>
      </w:r>
      <w:r>
        <w:rPr>
          <w:rFonts w:hint="eastAsia" w:ascii="宋体" w:hAnsi="宋体" w:cs="宋体"/>
          <w:color w:val="000000" w:themeColor="text1"/>
          <w:sz w:val="24"/>
          <w:szCs w:val="24"/>
          <w:highlight w:val="none"/>
          <w:u w:val="single"/>
          <w:lang w:val="zh-CN"/>
          <w14:textFill>
            <w14:solidFill>
              <w14:schemeClr w14:val="tx1"/>
            </w14:solidFill>
          </w14:textFill>
        </w:rPr>
        <w:t>%以现金、银行保函、银行本票、汇票、支票或电子汇款等形式缴纳履约保证金作为履约担保。</w:t>
      </w:r>
      <w:r>
        <w:rPr>
          <w:rFonts w:hint="eastAsia" w:ascii="宋体" w:hAnsi="宋体" w:cs="宋体"/>
          <w:color w:val="000000" w:themeColor="text1"/>
          <w:sz w:val="24"/>
          <w:szCs w:val="24"/>
          <w:highlight w:val="none"/>
          <w:u w:val="single"/>
          <w14:textFill>
            <w14:solidFill>
              <w14:schemeClr w14:val="tx1"/>
            </w14:solidFill>
          </w14:textFill>
        </w:rPr>
        <w:t>履约担保的退还时</w:t>
      </w:r>
      <w:r>
        <w:rPr>
          <w:rFonts w:hint="eastAsia" w:ascii="宋体" w:hAnsi="宋体" w:cs="宋体"/>
          <w:color w:val="000000" w:themeColor="text1"/>
          <w:sz w:val="24"/>
          <w:szCs w:val="24"/>
          <w:highlight w:val="none"/>
          <w:u w:val="single"/>
          <w:lang w:val="zh-CN"/>
          <w14:textFill>
            <w14:solidFill>
              <w14:schemeClr w14:val="tx1"/>
            </w14:solidFill>
          </w14:textFill>
        </w:rPr>
        <w:t>间为：履约保证金在合同履行期限（工期）满且工程结算审计完成后无息退还。</w:t>
      </w:r>
    </w:p>
    <w:p w14:paraId="2C2E2AE6">
      <w:pPr>
        <w:spacing w:line="360" w:lineRule="auto"/>
        <w:rPr>
          <w:rFonts w:ascii="宋体" w:hAnsi="宋体" w:cs="宋体"/>
          <w:color w:val="000000" w:themeColor="text1"/>
          <w:sz w:val="24"/>
          <w:highlight w:val="none"/>
          <w:u w:val="single"/>
          <w14:textFill>
            <w14:solidFill>
              <w14:schemeClr w14:val="tx1"/>
            </w14:solidFill>
          </w14:textFill>
        </w:rPr>
      </w:pPr>
    </w:p>
    <w:p w14:paraId="78C32544">
      <w:pPr>
        <w:keepNext/>
        <w:keepLines/>
        <w:numPr>
          <w:ilvl w:val="3"/>
          <w:numId w:val="4"/>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4. 监理人</w:t>
      </w:r>
    </w:p>
    <w:p w14:paraId="192FD85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4.1监理人的一般规定</w:t>
      </w:r>
    </w:p>
    <w:p w14:paraId="6263393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关于监理人的监理内容：</w:t>
      </w:r>
      <w:r>
        <w:rPr>
          <w:rFonts w:hint="eastAsia" w:ascii="宋体" w:hAnsi="宋体" w:cs="宋体"/>
          <w:color w:val="000000" w:themeColor="text1"/>
          <w:sz w:val="24"/>
          <w:szCs w:val="24"/>
          <w:highlight w:val="none"/>
          <w:u w:val="single"/>
          <w14:textFill>
            <w14:solidFill>
              <w14:schemeClr w14:val="tx1"/>
            </w14:solidFill>
          </w14:textFill>
        </w:rPr>
        <w:t>工程施工及保修阶段全过程监理，对工程 进行进度、质量、投资、安全四控制，合同管理、信息管理，协调施工现场各方面关系。具体内容如下： （1）收到工程设计文件后编制监理规划，并在第一次工地会议7天前报委托人，根据有关规定和监理工作需要，编制监理实施细则； （2）熟悉工程设计文件，并参加由委托人主持的图纸会审和设计交底会议； （3）参加由委托人主持的第一次工地会议；主持监理例会并根据工程需要主持或参加专题会议； （4）审查施工承包人提交的施工组织设计，重点审查其中的质量安全技术措施、专项施工方案与工程建设强制性标准的符合性； （5）检查施工承包人工程质量、安全生产管理制度及组织机构和人员资格； （6）检查施工承包人专职安全生产管理人员的配备情况； （7）审查施工承包人提交的施工进度计划，核查承包人对施工进度计划的调整； （8）检查施工承包人的试验室； （9）审核施工分包人资质条件； （10）查验施工承包人的施工测量放线成果； （11）审查工程开工条件，对条件具备的签发开工令； （12）审查施工承包人报送的工程材料、构配件、设备质量证明文件的有效性和符合性，并按规定对用于工程的材料采取平行检验或见证取样方式进行抽检； （13）审核施工承包人提交的工程款支付申请，签发或出具工程款支付证书，并报委托人审核、批准； （14）在巡视、旁站和检验过程中，发现工程质量、施工安全存在事故隐患的，要求施工承包人整改并报委托人； （15）经委托人同意，签发工程暂停令和复工令；（16）审查施工承包人提交的采用新材料、新工艺、新技术、新设备的论证材料及相关验收标准； （17）验收隐蔽工程、分部分项工程； （18）审查施工承包人提交的工程变更申请，协调处理施工进度调整、费用索赔、合同争议等事项； （19）审查施工承包人提交的竣工验收申请，编写工程质量评估报告； （20）参加工程竣工验收，签署竣工验收意见； （21）审查施工承包人提交的竣工结算申请并报委托人； （22）编制、整理工程监理归档文件并报委托人； （23）负责检查保修期阶段的工程状况，定期回访，监督施工单位保修。</w:t>
      </w:r>
    </w:p>
    <w:p w14:paraId="1CB5700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关于监理人的监理权限：</w:t>
      </w:r>
      <w:r>
        <w:rPr>
          <w:rFonts w:hint="eastAsia" w:ascii="宋体" w:hAnsi="宋体" w:cs="宋体"/>
          <w:color w:val="000000" w:themeColor="text1"/>
          <w:sz w:val="24"/>
          <w:szCs w:val="24"/>
          <w:highlight w:val="none"/>
          <w:u w:val="single"/>
          <w14:textFill>
            <w14:solidFill>
              <w14:schemeClr w14:val="tx1"/>
            </w14:solidFill>
          </w14:textFill>
        </w:rPr>
        <w:t>需要取得发包人批准才能行使的职权：分包单位的确定、施工中或图纸中的建议、设计变更、签证、工期延期、开工令、停工令、复工令，以及工程施工过程中所有涉及工程造价的一切事宜</w:t>
      </w:r>
      <w:r>
        <w:rPr>
          <w:rFonts w:hint="eastAsia" w:ascii="宋体" w:hAnsi="宋体" w:cs="宋体"/>
          <w:color w:val="000000" w:themeColor="text1"/>
          <w:sz w:val="24"/>
          <w:szCs w:val="24"/>
          <w:highlight w:val="none"/>
          <w14:textFill>
            <w14:solidFill>
              <w14:schemeClr w14:val="tx1"/>
            </w14:solidFill>
          </w14:textFill>
        </w:rPr>
        <w:t xml:space="preserve">。 </w:t>
      </w:r>
    </w:p>
    <w:p w14:paraId="68D1C538">
      <w:pPr>
        <w:spacing w:line="360" w:lineRule="auto"/>
        <w:ind w:left="479" w:leftChars="228"/>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关于监理人在施工现场的办公场所、生活场所的提供和费用承担的约定：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F23D3E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 监理人员</w:t>
      </w:r>
    </w:p>
    <w:p w14:paraId="40778F9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总监理工程师：</w:t>
      </w:r>
    </w:p>
    <w:p w14:paraId="7893213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1C7185D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职    务：</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0D57197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监理工程师执业资格证书号：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BB5E5F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DDDDF1F">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E5E936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0FB808E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关于监理人的其他约定：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579E30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4.4 商定或确定</w:t>
      </w:r>
    </w:p>
    <w:p w14:paraId="4F1DF6A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在发包人和承包人不能通过协商达成一致意见时，发包人授权监理人对以下事项进行确定：</w:t>
      </w:r>
    </w:p>
    <w:p w14:paraId="154D5F8C">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w:t>
      </w:r>
      <w:r>
        <w:rPr>
          <w:rFonts w:hint="eastAsia" w:ascii="宋体" w:hAnsi="宋体" w:cs="宋体"/>
          <w:color w:val="000000" w:themeColor="text1"/>
          <w:sz w:val="24"/>
          <w:szCs w:val="24"/>
          <w:highlight w:val="none"/>
          <w:u w:val="single"/>
          <w14:textFill>
            <w14:solidFill>
              <w14:schemeClr w14:val="tx1"/>
            </w14:solidFill>
          </w14:textFill>
        </w:rPr>
        <w:t>工程质量、安全文明施工、分部分项施工工艺或施工方案、材料设备等的检查、检验、验收</w:t>
      </w:r>
      <w:r>
        <w:rPr>
          <w:rFonts w:hint="eastAsia" w:ascii="宋体" w:hAnsi="宋体" w:cs="宋体"/>
          <w:color w:val="000000" w:themeColor="text1"/>
          <w:sz w:val="24"/>
          <w:szCs w:val="24"/>
          <w:highlight w:val="none"/>
          <w14:textFill>
            <w14:solidFill>
              <w14:schemeClr w14:val="tx1"/>
            </w14:solidFill>
          </w14:textFill>
        </w:rPr>
        <w:t>；</w:t>
      </w:r>
    </w:p>
    <w:p w14:paraId="6B4D0516">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6D20EFA9">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0839F54">
      <w:pPr>
        <w:keepNext/>
        <w:keepLines/>
        <w:numPr>
          <w:ilvl w:val="3"/>
          <w:numId w:val="4"/>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5. 工程质量</w:t>
      </w:r>
    </w:p>
    <w:p w14:paraId="6B4C434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 质量要求</w:t>
      </w:r>
    </w:p>
    <w:p w14:paraId="0BE48F5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5.1.1 特殊质量标准和要求：</w:t>
      </w:r>
      <w:r>
        <w:rPr>
          <w:rFonts w:hint="eastAsia" w:ascii="宋体" w:hAnsi="宋体" w:cs="宋体"/>
          <w:color w:val="000000" w:themeColor="text1"/>
          <w:sz w:val="24"/>
          <w:szCs w:val="24"/>
          <w:highlight w:val="none"/>
          <w:u w:val="single"/>
          <w14:textFill>
            <w14:solidFill>
              <w14:schemeClr w14:val="tx1"/>
            </w14:solidFill>
          </w14:textFill>
        </w:rPr>
        <w:t>必须达到投标文件承诺验收标准</w:t>
      </w:r>
      <w:r>
        <w:rPr>
          <w:rFonts w:hint="eastAsia" w:ascii="宋体" w:hAnsi="宋体" w:cs="宋体"/>
          <w:color w:val="000000" w:themeColor="text1"/>
          <w:sz w:val="24"/>
          <w:szCs w:val="24"/>
          <w:highlight w:val="none"/>
          <w14:textFill>
            <w14:solidFill>
              <w14:schemeClr w14:val="tx1"/>
            </w14:solidFill>
          </w14:textFill>
        </w:rPr>
        <w:t>。</w:t>
      </w:r>
    </w:p>
    <w:p w14:paraId="2246FC9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关于工程奖项的约定：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A54F4D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5.3 隐蔽工程检查</w:t>
      </w:r>
    </w:p>
    <w:p w14:paraId="4A43BEE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5.3.2承包人提前通知监理人隐蔽工程检查的期限的约定：</w:t>
      </w:r>
      <w:r>
        <w:rPr>
          <w:rFonts w:hint="eastAsia" w:ascii="宋体" w:hAnsi="宋体" w:cs="宋体"/>
          <w:color w:val="000000" w:themeColor="text1"/>
          <w:sz w:val="24"/>
          <w:szCs w:val="24"/>
          <w:highlight w:val="none"/>
          <w:u w:val="single"/>
          <w14:textFill>
            <w14:solidFill>
              <w14:schemeClr w14:val="tx1"/>
            </w14:solidFill>
          </w14:textFill>
        </w:rPr>
        <w:t>共同检查前48小时书面通知监理人</w:t>
      </w:r>
      <w:r>
        <w:rPr>
          <w:rFonts w:hint="eastAsia" w:ascii="宋体" w:hAnsi="宋体" w:cs="宋体"/>
          <w:color w:val="000000" w:themeColor="text1"/>
          <w:sz w:val="24"/>
          <w:szCs w:val="24"/>
          <w:highlight w:val="none"/>
          <w14:textFill>
            <w14:solidFill>
              <w14:schemeClr w14:val="tx1"/>
            </w14:solidFill>
          </w14:textFill>
        </w:rPr>
        <w:t>。</w:t>
      </w:r>
    </w:p>
    <w:p w14:paraId="5A3D091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监理人不能按时进行检查时，应提前</w:t>
      </w:r>
      <w:r>
        <w:rPr>
          <w:rFonts w:hint="eastAsia" w:ascii="宋体" w:hAnsi="宋体" w:cs="宋体"/>
          <w:color w:val="000000" w:themeColor="text1"/>
          <w:sz w:val="24"/>
          <w:szCs w:val="24"/>
          <w:highlight w:val="none"/>
          <w:u w:val="single"/>
          <w14:textFill>
            <w14:solidFill>
              <w14:schemeClr w14:val="tx1"/>
            </w14:solidFill>
          </w14:textFill>
        </w:rPr>
        <w:t>24</w:t>
      </w:r>
      <w:r>
        <w:rPr>
          <w:rFonts w:hint="eastAsia" w:ascii="宋体" w:hAnsi="宋体" w:cs="宋体"/>
          <w:color w:val="000000" w:themeColor="text1"/>
          <w:sz w:val="24"/>
          <w:szCs w:val="24"/>
          <w:highlight w:val="none"/>
          <w14:textFill>
            <w14:solidFill>
              <w14:schemeClr w14:val="tx1"/>
            </w14:solidFill>
          </w14:textFill>
        </w:rPr>
        <w:t>小时提交书面延期要求。</w:t>
      </w:r>
    </w:p>
    <w:p w14:paraId="5788F85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关于延期最长不得超过：</w:t>
      </w:r>
      <w:r>
        <w:rPr>
          <w:rFonts w:hint="eastAsia" w:ascii="宋体" w:hAnsi="宋体" w:cs="宋体"/>
          <w:color w:val="000000" w:themeColor="text1"/>
          <w:sz w:val="24"/>
          <w:szCs w:val="24"/>
          <w:highlight w:val="none"/>
          <w:u w:val="single"/>
          <w14:textFill>
            <w14:solidFill>
              <w14:schemeClr w14:val="tx1"/>
            </w14:solidFill>
          </w14:textFill>
        </w:rPr>
        <w:t>48</w:t>
      </w:r>
      <w:r>
        <w:rPr>
          <w:rFonts w:hint="eastAsia" w:ascii="宋体" w:hAnsi="宋体" w:cs="宋体"/>
          <w:color w:val="000000" w:themeColor="text1"/>
          <w:sz w:val="24"/>
          <w:szCs w:val="24"/>
          <w:highlight w:val="none"/>
          <w14:textFill>
            <w14:solidFill>
              <w14:schemeClr w14:val="tx1"/>
            </w14:solidFill>
          </w14:textFill>
        </w:rPr>
        <w:t>小时。</w:t>
      </w:r>
    </w:p>
    <w:p w14:paraId="56915ADE">
      <w:pPr>
        <w:keepNext/>
        <w:keepLines/>
        <w:numPr>
          <w:ilvl w:val="3"/>
          <w:numId w:val="4"/>
        </w:numPr>
        <w:spacing w:before="120" w:after="120" w:line="360" w:lineRule="auto"/>
        <w:ind w:left="0" w:leftChars="0" w:firstLine="0" w:firstLineChars="0"/>
        <w:outlineLvl w:val="9"/>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 安全文明施工与环境保护</w:t>
      </w:r>
    </w:p>
    <w:p w14:paraId="733AB21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6.1安全文明施工</w:t>
      </w:r>
    </w:p>
    <w:p w14:paraId="7C8D8BC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6.1.1 项目安全生产的达标目标及相应事项的约定：</w:t>
      </w:r>
      <w:r>
        <w:rPr>
          <w:rFonts w:hint="eastAsia" w:ascii="宋体" w:hAnsi="宋体" w:cs="宋体"/>
          <w:color w:val="000000" w:themeColor="text1"/>
          <w:sz w:val="24"/>
          <w:szCs w:val="24"/>
          <w:highlight w:val="none"/>
          <w:u w:val="single"/>
          <w14:textFill>
            <w14:solidFill>
              <w14:schemeClr w14:val="tx1"/>
            </w14:solidFill>
          </w14:textFill>
        </w:rPr>
        <w:t>①承包人必须按照工程所在地现行标准实行安全施工管理，总承包单位对施工现场的安全施工负总责，专业工程承包单位应当服从总承包单位的安全施工管理 。②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 。 ③承包人负责施工现场的第三方人身安全 。 ④发包人不得要求承包人违反安全管理的规定进行施工。因发包人原因导致的安全事故，由发包人承担相应责任及费用。因承包人原因造成人员伤亡或机具损坏而导致停工，承包人承担1000元/天的违约金，且工期不予顺延，同时发包人还保留进一步索赔的权利。</w:t>
      </w:r>
    </w:p>
    <w:p w14:paraId="5830B87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6.1.4 关于治安保卫的特别约定：</w:t>
      </w:r>
      <w:r>
        <w:rPr>
          <w:rFonts w:hint="eastAsia" w:ascii="宋体" w:hAnsi="宋体" w:cs="宋体"/>
          <w:color w:val="000000" w:themeColor="text1"/>
          <w:sz w:val="24"/>
          <w:szCs w:val="24"/>
          <w:highlight w:val="none"/>
          <w:u w:val="single"/>
          <w14:textFill>
            <w14:solidFill>
              <w14:schemeClr w14:val="tx1"/>
            </w14:solidFill>
          </w14:textFill>
        </w:rPr>
        <w:t>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w:t>
      </w:r>
      <w:r>
        <w:rPr>
          <w:rFonts w:hint="eastAsia" w:ascii="宋体" w:hAnsi="宋体" w:cs="宋体"/>
          <w:color w:val="000000" w:themeColor="text1"/>
          <w:sz w:val="24"/>
          <w:szCs w:val="24"/>
          <w:highlight w:val="none"/>
          <w14:textFill>
            <w14:solidFill>
              <w14:schemeClr w14:val="tx1"/>
            </w14:solidFill>
          </w14:textFill>
        </w:rPr>
        <w:t>。</w:t>
      </w:r>
    </w:p>
    <w:p w14:paraId="3741913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关于编制施工场地治安管理计划的约定：</w:t>
      </w:r>
      <w:r>
        <w:rPr>
          <w:rFonts w:hint="eastAsia" w:ascii="宋体" w:hAnsi="宋体" w:cs="宋体"/>
          <w:color w:val="000000" w:themeColor="text1"/>
          <w:sz w:val="24"/>
          <w:szCs w:val="24"/>
          <w:highlight w:val="none"/>
          <w:u w:val="single"/>
          <w14:textFill>
            <w14:solidFill>
              <w14:schemeClr w14:val="tx1"/>
            </w14:solidFill>
          </w14:textFill>
        </w:rPr>
        <w:t>在工程开工后7天内编制并向发包人提交施工场地治安管理计划和应对突发治安事件的紧急预案</w:t>
      </w:r>
      <w:r>
        <w:rPr>
          <w:rFonts w:hint="eastAsia" w:ascii="宋体" w:hAnsi="宋体" w:cs="宋体"/>
          <w:color w:val="000000" w:themeColor="text1"/>
          <w:sz w:val="24"/>
          <w:szCs w:val="24"/>
          <w:highlight w:val="none"/>
          <w14:textFill>
            <w14:solidFill>
              <w14:schemeClr w14:val="tx1"/>
            </w14:solidFill>
          </w14:textFill>
        </w:rPr>
        <w:t>。</w:t>
      </w:r>
    </w:p>
    <w:p w14:paraId="6698685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6.1.5 文明施工</w:t>
      </w:r>
    </w:p>
    <w:p w14:paraId="6A21239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合同当事人对文明施工的要求：</w:t>
      </w:r>
      <w:r>
        <w:rPr>
          <w:rFonts w:hint="eastAsia" w:ascii="宋体" w:hAnsi="宋体" w:cs="宋体"/>
          <w:color w:val="000000" w:themeColor="text1"/>
          <w:sz w:val="24"/>
          <w:szCs w:val="24"/>
          <w:highlight w:val="none"/>
          <w:u w:val="single"/>
          <w14:textFill>
            <w14:solidFill>
              <w14:schemeClr w14:val="tx1"/>
            </w14:solidFill>
          </w14:textFill>
        </w:rPr>
        <w:t>必须符合江苏省、南京市、工程所在地最新文件规定的标准实行文明施工管理。</w:t>
      </w:r>
    </w:p>
    <w:p w14:paraId="1522E0C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6.1.6 关于安全文明施工费支付比例和支付期限的约定：</w:t>
      </w:r>
      <w:r>
        <w:rPr>
          <w:rFonts w:hint="eastAsia" w:ascii="宋体" w:hAnsi="宋体" w:cs="宋体"/>
          <w:color w:val="000000" w:themeColor="text1"/>
          <w:sz w:val="24"/>
          <w:szCs w:val="24"/>
          <w:highlight w:val="none"/>
          <w:u w:val="single"/>
          <w14:textFill>
            <w14:solidFill>
              <w14:schemeClr w14:val="tx1"/>
            </w14:solidFill>
          </w14:textFill>
        </w:rPr>
        <w:t>工程开工前，按照《省住房和城乡建设厅关于实施安全文明施工措施费动态计价管理的公告》（[2020]第11号）执行，发包人支付的工程预付款已包含了安全文明施工费用总额的60%。</w:t>
      </w:r>
    </w:p>
    <w:p w14:paraId="43F3E6F0">
      <w:pPr>
        <w:keepNext/>
        <w:keepLines/>
        <w:numPr>
          <w:ilvl w:val="3"/>
          <w:numId w:val="4"/>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7. 工期和进度</w:t>
      </w:r>
    </w:p>
    <w:p w14:paraId="1EDD17F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7.1 施工组织设计</w:t>
      </w:r>
    </w:p>
    <w:p w14:paraId="68F8B8A5">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7.1.1 合</w:t>
      </w:r>
      <w:r>
        <w:rPr>
          <w:rFonts w:hint="eastAsia" w:ascii="宋体" w:hAnsi="宋体" w:cs="宋体"/>
          <w:color w:val="000000" w:themeColor="text1"/>
          <w:kern w:val="0"/>
          <w:sz w:val="24"/>
          <w:szCs w:val="24"/>
          <w:highlight w:val="none"/>
          <w14:textFill>
            <w14:solidFill>
              <w14:schemeClr w14:val="tx1"/>
            </w14:solidFill>
          </w14:textFill>
        </w:rPr>
        <w:t>同当事人约定的施工组织设计应包括的其他内容：</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9367AB8">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7.1.2 </w:t>
      </w:r>
      <w:r>
        <w:rPr>
          <w:rFonts w:hint="eastAsia" w:ascii="宋体" w:hAnsi="宋体" w:cs="宋体"/>
          <w:color w:val="000000" w:themeColor="text1"/>
          <w:kern w:val="0"/>
          <w:sz w:val="24"/>
          <w:szCs w:val="24"/>
          <w:highlight w:val="none"/>
          <w14:textFill>
            <w14:solidFill>
              <w14:schemeClr w14:val="tx1"/>
            </w14:solidFill>
          </w14:textFill>
        </w:rPr>
        <w:t>施工组织设计的提交和修改</w:t>
      </w:r>
    </w:p>
    <w:p w14:paraId="4BA4FCA1">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承包人提交详细施工组织设计的期限的约定：</w:t>
      </w:r>
      <w:r>
        <w:rPr>
          <w:rFonts w:hint="eastAsia" w:ascii="宋体" w:hAnsi="宋体" w:cs="宋体"/>
          <w:color w:val="000000" w:themeColor="text1"/>
          <w:sz w:val="24"/>
          <w:szCs w:val="24"/>
          <w:highlight w:val="none"/>
          <w:u w:val="single"/>
          <w14:textFill>
            <w14:solidFill>
              <w14:schemeClr w14:val="tx1"/>
            </w14:solidFill>
          </w14:textFill>
        </w:rPr>
        <w:t>开工日期7天前</w:t>
      </w:r>
      <w:r>
        <w:rPr>
          <w:rFonts w:hint="eastAsia" w:ascii="宋体" w:hAnsi="宋体" w:cs="宋体"/>
          <w:color w:val="000000" w:themeColor="text1"/>
          <w:sz w:val="24"/>
          <w:szCs w:val="24"/>
          <w:highlight w:val="none"/>
          <w14:textFill>
            <w14:solidFill>
              <w14:schemeClr w14:val="tx1"/>
            </w14:solidFill>
          </w14:textFill>
        </w:rPr>
        <w:t>。</w:t>
      </w:r>
    </w:p>
    <w:p w14:paraId="0C98A05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发包人和监理人在收到详细的施工组织设计后确认或提出修改意见的期限：</w:t>
      </w:r>
      <w:r>
        <w:rPr>
          <w:rFonts w:hint="eastAsia" w:ascii="宋体" w:hAnsi="宋体" w:cs="宋体"/>
          <w:color w:val="000000" w:themeColor="text1"/>
          <w:sz w:val="24"/>
          <w:szCs w:val="24"/>
          <w:highlight w:val="none"/>
          <w:u w:val="single"/>
          <w14:textFill>
            <w14:solidFill>
              <w14:schemeClr w14:val="tx1"/>
            </w14:solidFill>
          </w14:textFill>
        </w:rPr>
        <w:t>7天内</w:t>
      </w:r>
      <w:r>
        <w:rPr>
          <w:rFonts w:hint="eastAsia" w:ascii="宋体" w:hAnsi="宋体" w:cs="宋体"/>
          <w:color w:val="000000" w:themeColor="text1"/>
          <w:sz w:val="24"/>
          <w:szCs w:val="24"/>
          <w:highlight w:val="none"/>
          <w14:textFill>
            <w14:solidFill>
              <w14:schemeClr w14:val="tx1"/>
            </w14:solidFill>
          </w14:textFill>
        </w:rPr>
        <w:t>。</w:t>
      </w:r>
    </w:p>
    <w:p w14:paraId="7756062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7.2 施工进度计划</w:t>
      </w:r>
    </w:p>
    <w:p w14:paraId="29AAE5E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7.2.2 施工进度计划的修订</w:t>
      </w:r>
    </w:p>
    <w:p w14:paraId="3F8D3A8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发包人和监理人在收到修订的施工进度计划后确认或提出修改意见的期限：</w:t>
      </w:r>
      <w:r>
        <w:rPr>
          <w:rFonts w:hint="eastAsia" w:ascii="宋体" w:hAnsi="宋体" w:cs="宋体"/>
          <w:color w:val="000000" w:themeColor="text1"/>
          <w:sz w:val="24"/>
          <w:szCs w:val="24"/>
          <w:highlight w:val="none"/>
          <w:u w:val="single"/>
          <w14:textFill>
            <w14:solidFill>
              <w14:schemeClr w14:val="tx1"/>
            </w14:solidFill>
          </w14:textFill>
        </w:rPr>
        <w:t>7天内</w:t>
      </w:r>
      <w:r>
        <w:rPr>
          <w:rFonts w:hint="eastAsia" w:ascii="宋体" w:hAnsi="宋体" w:cs="宋体"/>
          <w:color w:val="000000" w:themeColor="text1"/>
          <w:sz w:val="24"/>
          <w:szCs w:val="24"/>
          <w:highlight w:val="none"/>
          <w14:textFill>
            <w14:solidFill>
              <w14:schemeClr w14:val="tx1"/>
            </w14:solidFill>
          </w14:textFill>
        </w:rPr>
        <w:t>。</w:t>
      </w:r>
    </w:p>
    <w:p w14:paraId="056BA25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 开工</w:t>
      </w:r>
    </w:p>
    <w:p w14:paraId="6256AE8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7.3.1 开工准备</w:t>
      </w:r>
    </w:p>
    <w:p w14:paraId="632388E8">
      <w:pPr>
        <w:spacing w:line="360" w:lineRule="auto"/>
        <w:ind w:firstLine="645"/>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关于承包人提交</w:t>
      </w:r>
      <w:r>
        <w:rPr>
          <w:rFonts w:hint="eastAsia" w:ascii="宋体" w:hAnsi="宋体" w:cs="宋体"/>
          <w:color w:val="000000" w:themeColor="text1"/>
          <w:kern w:val="0"/>
          <w:sz w:val="24"/>
          <w:szCs w:val="24"/>
          <w:highlight w:val="none"/>
          <w14:textFill>
            <w14:solidFill>
              <w14:schemeClr w14:val="tx1"/>
            </w14:solidFill>
          </w14:textFill>
        </w:rPr>
        <w:t>工程开工报审表的期限：</w:t>
      </w:r>
      <w:r>
        <w:rPr>
          <w:rFonts w:hint="eastAsia" w:ascii="宋体" w:hAnsi="宋体" w:cs="宋体"/>
          <w:color w:val="000000" w:themeColor="text1"/>
          <w:sz w:val="24"/>
          <w:szCs w:val="24"/>
          <w:highlight w:val="none"/>
          <w:u w:val="single"/>
          <w14:textFill>
            <w14:solidFill>
              <w14:schemeClr w14:val="tx1"/>
            </w14:solidFill>
          </w14:textFill>
        </w:rPr>
        <w:t>在工程准备工作完成后，计划开工日期7天前提交开工报审表</w:t>
      </w:r>
      <w:r>
        <w:rPr>
          <w:rFonts w:hint="eastAsia" w:ascii="宋体" w:hAnsi="宋体" w:cs="宋体"/>
          <w:color w:val="000000" w:themeColor="text1"/>
          <w:sz w:val="24"/>
          <w:szCs w:val="24"/>
          <w:highlight w:val="none"/>
          <w14:textFill>
            <w14:solidFill>
              <w14:schemeClr w14:val="tx1"/>
            </w14:solidFill>
          </w14:textFill>
        </w:rPr>
        <w:t>。</w:t>
      </w:r>
    </w:p>
    <w:p w14:paraId="56B9F0EF">
      <w:pPr>
        <w:spacing w:line="360" w:lineRule="auto"/>
        <w:ind w:firstLine="645"/>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关于发包人应完成的其他开工准备工作及期限：</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48A8BA49">
      <w:pPr>
        <w:spacing w:line="360" w:lineRule="auto"/>
        <w:ind w:firstLine="645"/>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关于承包人应完成的其他开工准备工作及期限：</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315E63D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7.3.2开工通知</w:t>
      </w:r>
    </w:p>
    <w:p w14:paraId="21D56F0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因发包人原因造成监理人未能在计划开工日期之日起</w:t>
      </w:r>
      <w:r>
        <w:rPr>
          <w:rFonts w:hint="eastAsia" w:ascii="宋体" w:hAnsi="宋体" w:cs="宋体"/>
          <w:color w:val="000000" w:themeColor="text1"/>
          <w:sz w:val="24"/>
          <w:szCs w:val="24"/>
          <w:highlight w:val="none"/>
          <w:u w:val="single"/>
          <w14:textFill>
            <w14:solidFill>
              <w14:schemeClr w14:val="tx1"/>
            </w14:solidFill>
          </w14:textFill>
        </w:rPr>
        <w:t>90</w:t>
      </w:r>
      <w:r>
        <w:rPr>
          <w:rFonts w:hint="eastAsia" w:ascii="宋体" w:hAnsi="宋体" w:cs="宋体"/>
          <w:color w:val="000000" w:themeColor="text1"/>
          <w:sz w:val="24"/>
          <w:szCs w:val="24"/>
          <w:highlight w:val="none"/>
          <w14:textFill>
            <w14:solidFill>
              <w14:schemeClr w14:val="tx1"/>
            </w14:solidFill>
          </w14:textFill>
        </w:rPr>
        <w:t>天内发出开工通知的，承包人有权提出价格调整要求，或者解除合同。</w:t>
      </w:r>
    </w:p>
    <w:p w14:paraId="0595C99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7.4 测量放线</w:t>
      </w:r>
    </w:p>
    <w:p w14:paraId="7CDCADE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7.4.1发包人通过监理人向承包人提供测量基准点、基准线和水准点及其书面资料的期限：</w:t>
      </w:r>
      <w:r>
        <w:rPr>
          <w:rFonts w:hint="eastAsia" w:ascii="宋体" w:hAnsi="宋体" w:cs="宋体"/>
          <w:color w:val="000000" w:themeColor="text1"/>
          <w:sz w:val="24"/>
          <w:szCs w:val="24"/>
          <w:highlight w:val="none"/>
          <w:u w:val="single"/>
          <w14:textFill>
            <w14:solidFill>
              <w14:schemeClr w14:val="tx1"/>
            </w14:solidFill>
          </w14:textFill>
        </w:rPr>
        <w:t>开工日期7天前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ascii="宋体" w:hAnsi="宋体" w:cs="宋体"/>
          <w:color w:val="000000" w:themeColor="text1"/>
          <w:sz w:val="24"/>
          <w:szCs w:val="24"/>
          <w:highlight w:val="none"/>
          <w14:textFill>
            <w14:solidFill>
              <w14:schemeClr w14:val="tx1"/>
            </w14:solidFill>
          </w14:textFill>
        </w:rPr>
        <w:t>。</w:t>
      </w:r>
    </w:p>
    <w:p w14:paraId="7736B14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 工期延误</w:t>
      </w:r>
    </w:p>
    <w:p w14:paraId="254AF89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7.5.1 因发包人原因导致工期延误</w:t>
      </w:r>
    </w:p>
    <w:p w14:paraId="6981D8AC">
      <w:pPr>
        <w:spacing w:line="360" w:lineRule="auto"/>
        <w:ind w:firstLine="480" w:firstLineChars="200"/>
        <w:jc w:val="left"/>
        <w:rPr>
          <w:rFonts w:ascii="宋体" w:hAnsi="宋体"/>
          <w:color w:val="000000" w:themeColor="text1"/>
          <w:szCs w:val="21"/>
          <w:highlight w:val="none"/>
          <w:u w:val="single" w:color="000000"/>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因发包人原因导致工期延误的其他情形：</w:t>
      </w:r>
      <w:r>
        <w:rPr>
          <w:rFonts w:hint="eastAsia" w:ascii="宋体" w:hAnsi="宋体" w:cs="宋体"/>
          <w:color w:val="000000" w:themeColor="text1"/>
          <w:sz w:val="24"/>
          <w:szCs w:val="24"/>
          <w:highlight w:val="none"/>
          <w:u w:val="single"/>
          <w14:textFill>
            <w14:solidFill>
              <w14:schemeClr w14:val="tx1"/>
            </w14:solidFill>
          </w14:textFill>
        </w:rPr>
        <w:t>非承包人原因造成政府部门指令的停工、暂停施工作业</w:t>
      </w:r>
      <w:r>
        <w:rPr>
          <w:rFonts w:hint="eastAsia" w:ascii="宋体" w:hAnsi="宋体" w:cs="宋体"/>
          <w:color w:val="000000" w:themeColor="text1"/>
          <w:sz w:val="24"/>
          <w:szCs w:val="24"/>
          <w:highlight w:val="none"/>
          <w14:textFill>
            <w14:solidFill>
              <w14:schemeClr w14:val="tx1"/>
            </w14:solidFill>
          </w14:textFill>
        </w:rPr>
        <w:t>。</w:t>
      </w:r>
    </w:p>
    <w:p w14:paraId="72E2284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7.5.2 因承包人原因导致工期延误</w:t>
      </w:r>
    </w:p>
    <w:p w14:paraId="4FCB515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因承包人原因造成工期延误，逾期竣工违约金的计算方法为：</w:t>
      </w:r>
      <w:r>
        <w:rPr>
          <w:rFonts w:hint="eastAsia" w:ascii="宋体" w:hAnsi="宋体" w:cs="宋体"/>
          <w:color w:val="000000" w:themeColor="text1"/>
          <w:sz w:val="24"/>
          <w:szCs w:val="24"/>
          <w:highlight w:val="none"/>
          <w:u w:val="single"/>
          <w14:textFill>
            <w14:solidFill>
              <w14:schemeClr w14:val="tx1"/>
            </w14:solidFill>
          </w14:textFill>
        </w:rPr>
        <w:t>违约金为5000元/天向发包人支付逾期竣工违约金，当工期延误达到九天时，发包人有权要求承包人退场，并赔偿发包人一切损失</w:t>
      </w:r>
      <w:r>
        <w:rPr>
          <w:rFonts w:hint="eastAsia" w:ascii="宋体" w:hAnsi="宋体" w:cs="宋体"/>
          <w:color w:val="000000" w:themeColor="text1"/>
          <w:sz w:val="24"/>
          <w:szCs w:val="24"/>
          <w:highlight w:val="none"/>
          <w14:textFill>
            <w14:solidFill>
              <w14:schemeClr w14:val="tx1"/>
            </w14:solidFill>
          </w14:textFill>
        </w:rPr>
        <w:t>。</w:t>
      </w:r>
    </w:p>
    <w:p w14:paraId="0679F98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因承包人原因造成工期延误，逾期竣工违约金的上限：</w:t>
      </w:r>
      <w:r>
        <w:rPr>
          <w:rFonts w:hint="eastAsia" w:ascii="宋体" w:hAnsi="宋体" w:cs="宋体"/>
          <w:color w:val="000000" w:themeColor="text1"/>
          <w:sz w:val="24"/>
          <w:szCs w:val="24"/>
          <w:highlight w:val="none"/>
          <w:u w:val="single"/>
          <w14:textFill>
            <w14:solidFill>
              <w14:schemeClr w14:val="tx1"/>
            </w14:solidFill>
          </w14:textFill>
        </w:rPr>
        <w:t>总额不超过合同价款的2%</w:t>
      </w:r>
      <w:r>
        <w:rPr>
          <w:rFonts w:hint="eastAsia" w:ascii="宋体" w:hAnsi="宋体" w:cs="宋体"/>
          <w:color w:val="000000" w:themeColor="text1"/>
          <w:sz w:val="24"/>
          <w:szCs w:val="24"/>
          <w:highlight w:val="none"/>
          <w14:textFill>
            <w14:solidFill>
              <w14:schemeClr w14:val="tx1"/>
            </w14:solidFill>
          </w14:textFill>
        </w:rPr>
        <w:t>。</w:t>
      </w:r>
    </w:p>
    <w:p w14:paraId="001F7CE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7.6 不利物质条件</w:t>
      </w:r>
    </w:p>
    <w:p w14:paraId="39AFA6A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不利物质条件的其他情形和有关约定：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425C84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7.7异常恶劣的气候条件</w:t>
      </w:r>
    </w:p>
    <w:p w14:paraId="3DCEFFC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发包人和承包人同意以下情形视为异常恶劣的气候条件：</w:t>
      </w:r>
    </w:p>
    <w:p w14:paraId="63B7DDA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u w:val="single"/>
          <w14:textFill>
            <w14:solidFill>
              <w14:schemeClr w14:val="tx1"/>
            </w14:solidFill>
          </w14:textFill>
        </w:rPr>
        <w:t>6级以上持续24小时的大风；</w:t>
      </w:r>
      <w:r>
        <w:rPr>
          <w:rFonts w:hint="eastAsia" w:ascii="宋体" w:hAnsi="宋体" w:cs="宋体"/>
          <w:color w:val="000000" w:themeColor="text1"/>
          <w:sz w:val="24"/>
          <w:szCs w:val="24"/>
          <w:highlight w:val="none"/>
          <w14:textFill>
            <w14:solidFill>
              <w14:schemeClr w14:val="tx1"/>
            </w14:solidFill>
          </w14:textFill>
        </w:rPr>
        <w:t>；</w:t>
      </w:r>
    </w:p>
    <w:p w14:paraId="7FE7646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持续降雨24小时且降雨量200mm以上；下雪为30mm以上</w:t>
      </w:r>
      <w:r>
        <w:rPr>
          <w:rFonts w:hint="eastAsia" w:ascii="宋体" w:hAnsi="宋体" w:cs="宋体"/>
          <w:color w:val="000000" w:themeColor="text1"/>
          <w:sz w:val="24"/>
          <w:szCs w:val="24"/>
          <w:highlight w:val="none"/>
          <w14:textFill>
            <w14:solidFill>
              <w14:schemeClr w14:val="tx1"/>
            </w14:solidFill>
          </w14:textFill>
        </w:rPr>
        <w:t>；</w:t>
      </w:r>
    </w:p>
    <w:p w14:paraId="2506F30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40℃及以上持续24小时的高温。</w:t>
      </w:r>
    </w:p>
    <w:p w14:paraId="42038BB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7.9 提前竣工的奖励</w:t>
      </w:r>
    </w:p>
    <w:p w14:paraId="4E3A9BB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7.9.2提前竣工的奖励：</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708783E3">
      <w:pPr>
        <w:keepNext/>
        <w:keepLines/>
        <w:numPr>
          <w:ilvl w:val="3"/>
          <w:numId w:val="4"/>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8. 材料与设备</w:t>
      </w:r>
    </w:p>
    <w:p w14:paraId="7579815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8.4材料与工程设备的保管与使用</w:t>
      </w:r>
    </w:p>
    <w:p w14:paraId="3253F6DC">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8.4.1发包人供应的材料设备的保管费用的承担：</w:t>
      </w:r>
      <w:r>
        <w:rPr>
          <w:rFonts w:hint="eastAsia" w:ascii="宋体" w:hAnsi="宋体" w:cs="宋体"/>
          <w:color w:val="000000" w:themeColor="text1"/>
          <w:sz w:val="24"/>
          <w:szCs w:val="24"/>
          <w:highlight w:val="none"/>
          <w:u w:val="single"/>
          <w14:textFill>
            <w14:solidFill>
              <w14:schemeClr w14:val="tx1"/>
            </w14:solidFill>
          </w14:textFill>
        </w:rPr>
        <w:t>发包人供应的材料和工程设备，承包人清点后由承包人妥善保管，保管费用由发包人承担，保管费用为发包人供应的材料和工程设备价的1%。</w:t>
      </w:r>
    </w:p>
    <w:p w14:paraId="1D1287F0">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A、发包方供应的材料按要求及时供应到现场并经验收合格后由承包方材料员及时签收并定期到发包单位材料部门更换正式出库材料单，以便能及时正确的计算其应扣材料款与应支付的工程进度款项。</w:t>
      </w:r>
    </w:p>
    <w:p w14:paraId="4D93BBC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B、每次支付工程款时按投标数量以暂定价格的乘积扣回，工程竣工结算经审计部门审计结束后的付款时，必须扣回全部甲供材料价款；</w:t>
      </w:r>
    </w:p>
    <w:p w14:paraId="41213D2A">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C、如承包人的甲供材实际领用量超出最终审计核定的材料用量，其超出部分按照市场价或暂定价（按价高者计算）增收10％的管理费，予以扣回超领材料款；</w:t>
      </w:r>
    </w:p>
    <w:p w14:paraId="23F0D1DA">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D、如承包人的甲供材实际领用量低于最终审计核定的材料用量，在缺少发包人委托采购的书面证明和材料认价单的前提下，根据审计最终核定的材料用量，一律按照甲供材料暂定价格全部扣回。 </w:t>
      </w:r>
    </w:p>
    <w:p w14:paraId="0A2196D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因承包人原因发生丢失毁损的，由承包人负责赔偿；监理人未通知承包人清点的，承包人不负责材料和工程设备的保管，由此导致丢失毁损的由发包人负责。</w:t>
      </w:r>
    </w:p>
    <w:p w14:paraId="2AC0F99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8.6 样品</w:t>
      </w:r>
    </w:p>
    <w:p w14:paraId="6BEA7F64">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8.6.1</w:t>
      </w:r>
      <w:r>
        <w:rPr>
          <w:rFonts w:hint="eastAsia" w:ascii="宋体" w:hAnsi="宋体" w:cs="宋体"/>
          <w:color w:val="000000" w:themeColor="text1"/>
          <w:kern w:val="0"/>
          <w:sz w:val="24"/>
          <w:szCs w:val="24"/>
          <w:highlight w:val="none"/>
          <w14:textFill>
            <w14:solidFill>
              <w14:schemeClr w14:val="tx1"/>
            </w14:solidFill>
          </w14:textFill>
        </w:rPr>
        <w:tab/>
      </w:r>
      <w:r>
        <w:rPr>
          <w:rFonts w:hint="eastAsia" w:ascii="宋体" w:hAnsi="宋体" w:cs="宋体"/>
          <w:color w:val="000000" w:themeColor="text1"/>
          <w:kern w:val="0"/>
          <w:sz w:val="24"/>
          <w:szCs w:val="24"/>
          <w:highlight w:val="none"/>
          <w14:textFill>
            <w14:solidFill>
              <w14:schemeClr w14:val="tx1"/>
            </w14:solidFill>
          </w14:textFill>
        </w:rPr>
        <w:t>样品的报送与封存</w:t>
      </w:r>
    </w:p>
    <w:p w14:paraId="05F0EF20">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需要承包人报送样品的材料或工程设备，样品的种类、名称、规格、数量要求：</w:t>
      </w:r>
      <w:r>
        <w:rPr>
          <w:rFonts w:hint="eastAsia" w:ascii="宋体" w:hAnsi="宋体" w:cs="宋体"/>
          <w:color w:val="000000" w:themeColor="text1"/>
          <w:sz w:val="24"/>
          <w:szCs w:val="24"/>
          <w:highlight w:val="none"/>
          <w:u w:val="single"/>
          <w14:textFill>
            <w14:solidFill>
              <w14:schemeClr w14:val="tx1"/>
            </w14:solidFill>
          </w14:textFill>
        </w:rPr>
        <w:t>在施工过程中按发包人需求确定</w:t>
      </w:r>
      <w:r>
        <w:rPr>
          <w:rFonts w:hint="eastAsia" w:ascii="宋体" w:hAnsi="宋体" w:cs="宋体"/>
          <w:color w:val="000000" w:themeColor="text1"/>
          <w:sz w:val="24"/>
          <w:szCs w:val="24"/>
          <w:highlight w:val="none"/>
          <w14:textFill>
            <w14:solidFill>
              <w14:schemeClr w14:val="tx1"/>
            </w14:solidFill>
          </w14:textFill>
        </w:rPr>
        <w:t>。</w:t>
      </w:r>
    </w:p>
    <w:p w14:paraId="28E5380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8.8 施工设备和临时设施</w:t>
      </w:r>
    </w:p>
    <w:p w14:paraId="649B2EE3">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8.8.1 承包人提供的施工设备和临时设施</w:t>
      </w:r>
    </w:p>
    <w:p w14:paraId="22BED800">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关于修建临时设施费用承担的约定：</w:t>
      </w:r>
      <w:r>
        <w:rPr>
          <w:rFonts w:hint="eastAsia" w:ascii="宋体" w:hAnsi="宋体" w:cs="宋体"/>
          <w:color w:val="000000" w:themeColor="text1"/>
          <w:sz w:val="24"/>
          <w:szCs w:val="24"/>
          <w:highlight w:val="none"/>
          <w:u w:val="single"/>
          <w14:textFill>
            <w14:solidFill>
              <w14:schemeClr w14:val="tx1"/>
            </w14:solidFill>
          </w14:textFill>
        </w:rPr>
        <w:t>承包人自行承担</w:t>
      </w:r>
      <w:r>
        <w:rPr>
          <w:rFonts w:hint="eastAsia" w:ascii="宋体" w:hAnsi="宋体" w:cs="宋体"/>
          <w:color w:val="000000" w:themeColor="text1"/>
          <w:sz w:val="24"/>
          <w:szCs w:val="24"/>
          <w:highlight w:val="none"/>
          <w14:textFill>
            <w14:solidFill>
              <w14:schemeClr w14:val="tx1"/>
            </w14:solidFill>
          </w14:textFill>
        </w:rPr>
        <w:t>。</w:t>
      </w:r>
    </w:p>
    <w:p w14:paraId="2936F926">
      <w:pPr>
        <w:keepNext/>
        <w:keepLines/>
        <w:numPr>
          <w:ilvl w:val="3"/>
          <w:numId w:val="4"/>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9. 试验与检验</w:t>
      </w:r>
    </w:p>
    <w:p w14:paraId="3624226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9.1试验设备与试验人员</w:t>
      </w:r>
    </w:p>
    <w:p w14:paraId="1F20443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9.1.2 试验设备</w:t>
      </w:r>
    </w:p>
    <w:p w14:paraId="2468191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施工现场需要配置的试验场所：</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A67D53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施工现场需要配备的试验设备：</w:t>
      </w:r>
      <w:r>
        <w:rPr>
          <w:rFonts w:hint="eastAsia" w:ascii="宋体" w:hAnsi="宋体"/>
          <w:color w:val="000000" w:themeColor="text1"/>
          <w:kern w:val="0"/>
          <w:szCs w:val="21"/>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E53294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施工现场需要具备的其他试验条件：</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903E78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9.4 现场工艺试验 </w:t>
      </w:r>
    </w:p>
    <w:p w14:paraId="4E0F5EE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现场工艺试验的有关约定：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1106AF2">
      <w:pPr>
        <w:keepNext/>
        <w:keepLines/>
        <w:numPr>
          <w:ilvl w:val="3"/>
          <w:numId w:val="4"/>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10. 变更</w:t>
      </w:r>
    </w:p>
    <w:p w14:paraId="45448DE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10.1变更的范围</w:t>
      </w:r>
    </w:p>
    <w:p w14:paraId="78218B63">
      <w:pPr>
        <w:spacing w:line="360" w:lineRule="auto"/>
        <w:ind w:firstLine="6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关于变更的范围的约定：</w:t>
      </w:r>
      <w:r>
        <w:rPr>
          <w:rFonts w:hint="eastAsia" w:ascii="宋体" w:hAnsi="宋体" w:cs="宋体"/>
          <w:color w:val="000000" w:themeColor="text1"/>
          <w:sz w:val="24"/>
          <w:szCs w:val="24"/>
          <w:highlight w:val="none"/>
          <w:u w:val="single"/>
          <w14:textFill>
            <w14:solidFill>
              <w14:schemeClr w14:val="tx1"/>
            </w14:solidFill>
          </w14:textFill>
        </w:rPr>
        <w:t>（1）增加或减少合同中任何工作，或追加额外的工作；（2）取消合同中任何工作，但转由他人实施的工作除外；（3）改变合同中任何工作的质量标准或其他特性；（4）改变工程的基线、标高、位置和尺寸</w:t>
      </w:r>
      <w:r>
        <w:rPr>
          <w:rFonts w:hint="eastAsia" w:ascii="宋体" w:hAnsi="宋体" w:cs="宋体"/>
          <w:color w:val="000000" w:themeColor="text1"/>
          <w:sz w:val="24"/>
          <w:szCs w:val="24"/>
          <w:highlight w:val="none"/>
          <w14:textFill>
            <w14:solidFill>
              <w14:schemeClr w14:val="tx1"/>
            </w14:solidFill>
          </w14:textFill>
        </w:rPr>
        <w:t>。</w:t>
      </w:r>
    </w:p>
    <w:p w14:paraId="4CB8138A">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10.4 变更估价</w:t>
      </w:r>
    </w:p>
    <w:p w14:paraId="405473C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10.4.1 变更估价原则</w:t>
      </w:r>
    </w:p>
    <w:p w14:paraId="63F90CEC">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关于变更估价的约定</w:t>
      </w: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1）已标价工程量清单中有相同项目的，按照相同项目</w:t>
      </w:r>
      <w:r>
        <w:rPr>
          <w:rFonts w:hint="eastAsia" w:ascii="宋体" w:hAnsi="宋体" w:cs="宋体"/>
          <w:color w:val="000000" w:themeColor="text1"/>
          <w:sz w:val="24"/>
          <w:highlight w:val="none"/>
          <w:u w:val="single"/>
          <w14:textFill>
            <w14:solidFill>
              <w14:schemeClr w14:val="tx1"/>
            </w14:solidFill>
          </w14:textFill>
        </w:rPr>
        <w:t>综合</w:t>
      </w:r>
      <w:r>
        <w:rPr>
          <w:rFonts w:ascii="宋体" w:hAnsi="宋体" w:cs="宋体"/>
          <w:color w:val="000000" w:themeColor="text1"/>
          <w:sz w:val="24"/>
          <w:highlight w:val="none"/>
          <w:u w:val="single"/>
          <w14:textFill>
            <w14:solidFill>
              <w14:schemeClr w14:val="tx1"/>
            </w14:solidFill>
          </w14:textFill>
        </w:rPr>
        <w:t>单价认定</w:t>
      </w: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p>
    <w:p w14:paraId="4833CDC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 xml:space="preserve">2）已标价工程量清单中无相同项目，但有类似项目的，可在合理范围内参照类似项目的单价认定； </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p>
    <w:p w14:paraId="38AD2F0A">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上述的与投标报价中项目类似的新增项目，指与投标分部分项工程量清单项目编码一至九位完全相同的新增的分部分项工程。</w:t>
      </w:r>
    </w:p>
    <w:p w14:paraId="176F192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上述的与新增项目相同的或者类似的投标报价，若人、材、机消耗量明显偏高相关定额的消耗量，人、材、机单价明显高于市场行情。发包人有权对“与投标报价中项目相同或类似的”新增项目计价执行本条目第（3）款。</w:t>
      </w:r>
    </w:p>
    <w:p w14:paraId="3DD92AA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3）已标价工程量清单中无相同项目及类似项目的，按</w:t>
      </w:r>
      <w:r>
        <w:rPr>
          <w:rFonts w:hint="eastAsia" w:ascii="宋体" w:hAnsi="宋体" w:cs="宋体"/>
          <w:color w:val="000000" w:themeColor="text1"/>
          <w:sz w:val="24"/>
          <w:highlight w:val="none"/>
          <w:u w:val="single"/>
          <w14:textFill>
            <w14:solidFill>
              <w14:schemeClr w14:val="tx1"/>
            </w14:solidFill>
          </w14:textFill>
        </w:rPr>
        <w:t>照下列载明方法应由承包人根据变更工程资料（施工图变更文件和项目监理人批复的工程变更施工方案）、执行《建设工程工程量清单计价规范》（GB50500-2013）、《江苏省建设工程费用定额》（2014年）、《江苏省建筑与装饰工程计价定额》（2014年）、《江苏省安装工程计价定额》（2014年）、《江苏省市政工程计价定额》（2014年）、《江苏省仿古建筑与园林工程计价定额》（2007年）等规定和相关为基准，材料单价以施工前最近一期的南京工程造价管理机构发布的信息价格，按承包人报价浮动率【</w:t>
      </w:r>
      <w:r>
        <w:rPr>
          <w:rFonts w:ascii="宋体" w:hAnsi="宋体" w:cs="宋体"/>
          <w:color w:val="000000" w:themeColor="text1"/>
          <w:sz w:val="24"/>
          <w:highlight w:val="none"/>
          <w:u w:val="single"/>
          <w14:textFill>
            <w14:solidFill>
              <w14:schemeClr w14:val="tx1"/>
            </w14:solidFill>
          </w14:textFill>
        </w:rPr>
        <w:t>L＝</w:t>
      </w:r>
      <w:r>
        <w:rPr>
          <w:rFonts w:hint="eastAsia" w:ascii="宋体" w:hAnsi="宋体" w:cs="宋体"/>
          <w:color w:val="000000" w:themeColor="text1"/>
          <w:sz w:val="24"/>
          <w:szCs w:val="24"/>
          <w:highlight w:val="none"/>
          <w:u w:val="single"/>
          <w14:textFill>
            <w14:solidFill>
              <w14:schemeClr w14:val="tx1"/>
            </w14:solidFill>
          </w14:textFill>
        </w:rPr>
        <w:t>（1－</w:t>
      </w:r>
      <w:r>
        <w:rPr>
          <w:rFonts w:hint="eastAsia"/>
          <w:color w:val="000000" w:themeColor="text1"/>
          <w:sz w:val="24"/>
          <w:szCs w:val="24"/>
          <w:highlight w:val="none"/>
          <w:u w:val="single"/>
          <w14:textFill>
            <w14:solidFill>
              <w14:schemeClr w14:val="tx1"/>
            </w14:solidFill>
          </w14:textFill>
        </w:rPr>
        <w:t>（最后投标报价</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暂列金额</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专业工程暂估价）</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（招标控制价</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暂列金额</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专业工程暂估价）</w:t>
      </w:r>
      <w:r>
        <w:rPr>
          <w:rFonts w:hint="eastAsia" w:ascii="宋体" w:hAnsi="宋体" w:cs="宋体"/>
          <w:color w:val="000000" w:themeColor="text1"/>
          <w:sz w:val="24"/>
          <w:szCs w:val="24"/>
          <w:highlight w:val="none"/>
          <w:u w:val="single"/>
          <w14:textFill>
            <w14:solidFill>
              <w14:schemeClr w14:val="tx1"/>
            </w14:solidFill>
          </w14:textFill>
        </w:rPr>
        <w:t>）×100%</w:t>
      </w:r>
      <w:r>
        <w:rPr>
          <w:rFonts w:ascii="宋体" w:hAnsi="宋体" w:cs="宋体"/>
          <w:color w:val="000000" w:themeColor="text1"/>
          <w:sz w:val="24"/>
          <w:highlight w:val="none"/>
          <w:u w:val="single"/>
          <w14:textFill>
            <w14:solidFill>
              <w14:schemeClr w14:val="tx1"/>
            </w14:solidFill>
          </w14:textFill>
        </w:rPr>
        <w:t>】提出变更工程项目的单价，报发包人</w:t>
      </w:r>
      <w:r>
        <w:rPr>
          <w:rFonts w:hint="eastAsia" w:ascii="宋体" w:hAnsi="宋体" w:cs="宋体"/>
          <w:color w:val="000000" w:themeColor="text1"/>
          <w:sz w:val="24"/>
          <w:highlight w:val="none"/>
          <w:u w:val="single"/>
          <w14:textFill>
            <w14:solidFill>
              <w14:schemeClr w14:val="tx1"/>
            </w14:solidFill>
          </w14:textFill>
        </w:rPr>
        <w:t>、监理人及跟踪审计</w:t>
      </w:r>
      <w:r>
        <w:rPr>
          <w:rFonts w:ascii="宋体" w:hAnsi="宋体" w:cs="宋体"/>
          <w:color w:val="000000" w:themeColor="text1"/>
          <w:sz w:val="24"/>
          <w:highlight w:val="none"/>
          <w:u w:val="single"/>
          <w14:textFill>
            <w14:solidFill>
              <w14:schemeClr w14:val="tx1"/>
            </w14:solidFill>
          </w14:textFill>
        </w:rPr>
        <w:t>确认</w:t>
      </w:r>
      <w:r>
        <w:rPr>
          <w:rFonts w:hint="eastAsia" w:ascii="宋体" w:hAnsi="宋体" w:cs="宋体"/>
          <w:color w:val="000000" w:themeColor="text1"/>
          <w:sz w:val="24"/>
          <w:highlight w:val="none"/>
          <w:u w:val="single"/>
          <w14:textFill>
            <w14:solidFill>
              <w14:schemeClr w14:val="tx1"/>
            </w14:solidFill>
          </w14:textFill>
        </w:rPr>
        <w:t>，确认后的变更报价作为结算依据。</w:t>
      </w:r>
      <w:r>
        <w:rPr>
          <w:rFonts w:ascii="宋体" w:hAnsi="宋体" w:cs="宋体"/>
          <w:color w:val="000000" w:themeColor="text1"/>
          <w:sz w:val="24"/>
          <w:highlight w:val="none"/>
          <w:u w:val="single"/>
          <w14:textFill>
            <w14:solidFill>
              <w14:schemeClr w14:val="tx1"/>
            </w14:solidFill>
          </w14:textFill>
        </w:rPr>
        <w:t xml:space="preserve"> </w:t>
      </w:r>
    </w:p>
    <w:p w14:paraId="506D3F0A">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a）综合单价依据《建设工程工程量清单计价规范》（GB50500-2013）和《江苏省建筑与装饰工程计价定额》（2014年）《江苏省安装工程计价定额》（2014年）</w:t>
      </w: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《江苏省建设工程费用定额》（2014年）</w:t>
      </w:r>
      <w:r>
        <w:rPr>
          <w:rFonts w:hint="eastAsia" w:ascii="宋体" w:hAnsi="宋体" w:cs="宋体"/>
          <w:color w:val="000000" w:themeColor="text1"/>
          <w:sz w:val="24"/>
          <w:highlight w:val="none"/>
          <w:u w:val="single"/>
          <w14:textFill>
            <w14:solidFill>
              <w14:schemeClr w14:val="tx1"/>
            </w14:solidFill>
          </w14:textFill>
        </w:rPr>
        <w:t>等9本工程量计算规范的贯彻意见（苏建价（2014）448号）</w:t>
      </w:r>
      <w:r>
        <w:rPr>
          <w:rFonts w:ascii="宋体" w:hAnsi="宋体" w:cs="宋体"/>
          <w:color w:val="000000" w:themeColor="text1"/>
          <w:sz w:val="24"/>
          <w:highlight w:val="none"/>
          <w:u w:val="single"/>
          <w14:textFill>
            <w14:solidFill>
              <w14:schemeClr w14:val="tx1"/>
            </w14:solidFill>
          </w14:textFill>
        </w:rPr>
        <w:t xml:space="preserve">编制； </w:t>
      </w:r>
    </w:p>
    <w:p w14:paraId="0A59D993">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b</w:t>
      </w:r>
      <w:r>
        <w:rPr>
          <w:rFonts w:ascii="宋体" w:hAnsi="宋体" w:cs="宋体"/>
          <w:color w:val="000000" w:themeColor="text1"/>
          <w:sz w:val="24"/>
          <w:highlight w:val="none"/>
          <w:u w:val="single"/>
          <w14:textFill>
            <w14:solidFill>
              <w14:schemeClr w14:val="tx1"/>
            </w14:solidFill>
          </w14:textFill>
        </w:rPr>
        <w:t xml:space="preserve">）人工、机械价格依据合同基准期江苏省、南京市的相关文件执行； </w:t>
      </w:r>
    </w:p>
    <w:p w14:paraId="30C4773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c</w:t>
      </w:r>
      <w:r>
        <w:rPr>
          <w:rFonts w:ascii="宋体" w:hAnsi="宋体" w:cs="宋体"/>
          <w:color w:val="000000" w:themeColor="text1"/>
          <w:sz w:val="24"/>
          <w:highlight w:val="none"/>
          <w:u w:val="single"/>
          <w14:textFill>
            <w14:solidFill>
              <w14:schemeClr w14:val="tx1"/>
            </w14:solidFill>
          </w14:textFill>
        </w:rPr>
        <w:t>）施工方案及施工措施涉及到费用的，须经发包人批准后实施并计价；措施项目费应按下列原则调整：①单价措施项目变更原则同分部分项工程</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r>
        <w:rPr>
          <w:rFonts w:ascii="宋体" w:hAnsi="宋体" w:cs="宋体"/>
          <w:color w:val="000000" w:themeColor="text1"/>
          <w:sz w:val="24"/>
          <w:highlight w:val="none"/>
          <w:u w:val="single"/>
          <w14:textFill>
            <w14:solidFill>
              <w14:schemeClr w14:val="tx1"/>
            </w14:solidFill>
          </w14:textFill>
        </w:rPr>
        <w:t>;②总价措施项目中以费率报价的,费率不变;总价项目中以费用报价的,按投标时口径折算成费率调整</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r>
        <w:rPr>
          <w:rFonts w:ascii="宋体" w:hAnsi="宋体" w:cs="宋体"/>
          <w:color w:val="000000" w:themeColor="text1"/>
          <w:sz w:val="24"/>
          <w:highlight w:val="none"/>
          <w:u w:val="single"/>
          <w14:textFill>
            <w14:solidFill>
              <w14:schemeClr w14:val="tx1"/>
            </w14:solidFill>
          </w14:textFill>
        </w:rPr>
        <w:t>;③原措施费中没有的措施项目,由承包人根据措施项目变更情况，提出适当的措施费变更，经发包人确认后调整</w:t>
      </w:r>
      <w:r>
        <w:rPr>
          <w:rFonts w:hint="eastAsia" w:ascii="宋体" w:hAnsi="宋体" w:cs="宋体"/>
          <w:color w:val="000000" w:themeColor="text1"/>
          <w:sz w:val="24"/>
          <w:highlight w:val="none"/>
          <w:u w:val="single"/>
          <w14:textFill>
            <w14:solidFill>
              <w14:schemeClr w14:val="tx1"/>
            </w14:solidFill>
          </w14:textFill>
        </w:rPr>
        <w:t>。如果承包人未事先将拟实施的方案提交给发包人确认，则应视为工程变更不引起措施项目费的调整或承包人放弃调整措施项目费的权利。</w:t>
      </w:r>
    </w:p>
    <w:p w14:paraId="57E195B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d</w:t>
      </w:r>
      <w:r>
        <w:rPr>
          <w:rFonts w:ascii="宋体" w:hAnsi="宋体" w:cs="宋体"/>
          <w:color w:val="000000" w:themeColor="text1"/>
          <w:sz w:val="24"/>
          <w:highlight w:val="none"/>
          <w:u w:val="single"/>
          <w14:textFill>
            <w14:solidFill>
              <w14:schemeClr w14:val="tx1"/>
            </w14:solidFill>
          </w14:textFill>
        </w:rPr>
        <w:t xml:space="preserve">) 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 </w:t>
      </w:r>
    </w:p>
    <w:p w14:paraId="0BF97F23">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e</w:t>
      </w:r>
      <w:r>
        <w:rPr>
          <w:rFonts w:ascii="宋体" w:hAnsi="宋体" w:cs="宋体"/>
          <w:color w:val="000000" w:themeColor="text1"/>
          <w:sz w:val="24"/>
          <w:highlight w:val="none"/>
          <w:u w:val="single"/>
          <w14:textFill>
            <w14:solidFill>
              <w14:schemeClr w14:val="tx1"/>
            </w14:solidFill>
          </w14:textFill>
        </w:rPr>
        <w:t>）具体价格调整的方法按本合同12.1.1条执行。</w:t>
      </w:r>
    </w:p>
    <w:p w14:paraId="7F181DC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10.5承包人的合理化建议</w:t>
      </w:r>
    </w:p>
    <w:p w14:paraId="260701E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监理人审查承包人合理化建议的期限：</w:t>
      </w:r>
      <w:r>
        <w:rPr>
          <w:rFonts w:hint="eastAsia" w:ascii="宋体" w:hAnsi="宋体" w:cs="宋体"/>
          <w:color w:val="000000" w:themeColor="text1"/>
          <w:sz w:val="24"/>
          <w:szCs w:val="24"/>
          <w:highlight w:val="none"/>
          <w:u w:val="single"/>
          <w14:textFill>
            <w14:solidFill>
              <w14:schemeClr w14:val="tx1"/>
            </w14:solidFill>
          </w14:textFill>
        </w:rPr>
        <w:t>收到承包人提交的合理化建议后7天内</w:t>
      </w:r>
      <w:r>
        <w:rPr>
          <w:rFonts w:hint="eastAsia" w:ascii="宋体" w:hAnsi="宋体" w:cs="宋体"/>
          <w:color w:val="000000" w:themeColor="text1"/>
          <w:sz w:val="24"/>
          <w:szCs w:val="24"/>
          <w:highlight w:val="none"/>
          <w14:textFill>
            <w14:solidFill>
              <w14:schemeClr w14:val="tx1"/>
            </w14:solidFill>
          </w14:textFill>
        </w:rPr>
        <w:t>。</w:t>
      </w:r>
    </w:p>
    <w:p w14:paraId="62BB445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发包人审批承包人合理化建议的期限：</w:t>
      </w:r>
      <w:r>
        <w:rPr>
          <w:rFonts w:hint="eastAsia" w:ascii="宋体" w:hAnsi="宋体" w:cs="宋体"/>
          <w:color w:val="000000" w:themeColor="text1"/>
          <w:sz w:val="24"/>
          <w:szCs w:val="24"/>
          <w:highlight w:val="none"/>
          <w:u w:val="single"/>
          <w14:textFill>
            <w14:solidFill>
              <w14:schemeClr w14:val="tx1"/>
            </w14:solidFill>
          </w14:textFill>
        </w:rPr>
        <w:t>收到监理人报送的合理化建议后7天内</w:t>
      </w:r>
      <w:r>
        <w:rPr>
          <w:rFonts w:hint="eastAsia" w:ascii="宋体" w:hAnsi="宋体" w:cs="宋体"/>
          <w:color w:val="000000" w:themeColor="text1"/>
          <w:sz w:val="24"/>
          <w:szCs w:val="24"/>
          <w:highlight w:val="none"/>
          <w14:textFill>
            <w14:solidFill>
              <w14:schemeClr w14:val="tx1"/>
            </w14:solidFill>
          </w14:textFill>
        </w:rPr>
        <w:t>。</w:t>
      </w:r>
    </w:p>
    <w:p w14:paraId="1F023E0D">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承包人提出的合理化建议降低了合同价格或者提高了工程经济效益的奖励的方法和金额为：</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2F964ED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 暂估价</w:t>
      </w:r>
    </w:p>
    <w:p w14:paraId="612B131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暂估价材料和工程设备的明细详见：《</w:t>
      </w:r>
      <w:r>
        <w:rPr>
          <w:rFonts w:hint="eastAsia" w:ascii="宋体" w:hAnsi="宋体" w:cs="宋体"/>
          <w:color w:val="000000" w:themeColor="text1"/>
          <w:sz w:val="24"/>
          <w:szCs w:val="24"/>
          <w:highlight w:val="none"/>
          <w14:textFill>
            <w14:solidFill>
              <w14:schemeClr w14:val="tx1"/>
            </w14:solidFill>
          </w14:textFill>
        </w:rPr>
        <w:t>暂估价一览表》</w:t>
      </w:r>
      <w:r>
        <w:rPr>
          <w:rFonts w:hint="eastAsia" w:ascii="宋体" w:hAnsi="宋体" w:cs="宋体"/>
          <w:color w:val="000000" w:themeColor="text1"/>
          <w:kern w:val="0"/>
          <w:sz w:val="24"/>
          <w:szCs w:val="24"/>
          <w:highlight w:val="none"/>
          <w14:textFill>
            <w14:solidFill>
              <w14:schemeClr w14:val="tx1"/>
            </w14:solidFill>
          </w14:textFill>
        </w:rPr>
        <w:t>。</w:t>
      </w:r>
    </w:p>
    <w:p w14:paraId="469C4D2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10.7.1 依法必须招标的暂估价项目</w:t>
      </w:r>
    </w:p>
    <w:p w14:paraId="1703EF6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对于依法必须招标的暂估价项目的确认和批准采取第</w:t>
      </w:r>
      <w:r>
        <w:rPr>
          <w:rFonts w:hint="eastAsia"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种方式确定。</w:t>
      </w:r>
    </w:p>
    <w:p w14:paraId="275A553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10.7.2 不属于依法必须招标的暂估价项目</w:t>
      </w:r>
    </w:p>
    <w:p w14:paraId="442301D0">
      <w:pPr>
        <w:spacing w:after="12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对于不属于依法必须招标的暂估价项目的确认和批准采取第</w:t>
      </w:r>
      <w:r>
        <w:rPr>
          <w:rFonts w:hint="eastAsia"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种方式确定。</w:t>
      </w:r>
    </w:p>
    <w:p w14:paraId="0D2168BD">
      <w:pPr>
        <w:spacing w:after="12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第3种方式：承包人直接实施的暂估价项目</w:t>
      </w:r>
    </w:p>
    <w:p w14:paraId="33E6DF6A">
      <w:pPr>
        <w:spacing w:after="120"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承包人直接实施的暂估价项目的约定：</w:t>
      </w:r>
      <w:r>
        <w:rPr>
          <w:rFonts w:hint="eastAsia" w:ascii="宋体" w:hAnsi="宋体" w:cs="宋体"/>
          <w:color w:val="000000" w:themeColor="text1"/>
          <w:sz w:val="24"/>
          <w:szCs w:val="24"/>
          <w:highlight w:val="none"/>
          <w:u w:val="single"/>
          <w14:textFill>
            <w14:solidFill>
              <w14:schemeClr w14:val="tx1"/>
            </w14:solidFill>
          </w14:textFill>
        </w:rPr>
        <w:t>参考10.4.1 变更估价原则</w:t>
      </w:r>
    </w:p>
    <w:p w14:paraId="73F25A8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10.8 暂列金额</w:t>
      </w:r>
    </w:p>
    <w:p w14:paraId="59A7F8CE">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合同当事人关于暂列金额使用的约定：</w:t>
      </w:r>
      <w:r>
        <w:rPr>
          <w:rFonts w:hint="eastAsia" w:ascii="宋体" w:hAnsi="宋体" w:cs="宋体"/>
          <w:color w:val="000000" w:themeColor="text1"/>
          <w:sz w:val="24"/>
          <w:szCs w:val="24"/>
          <w:highlight w:val="none"/>
          <w:u w:val="single"/>
          <w14:textFill>
            <w14:solidFill>
              <w14:schemeClr w14:val="tx1"/>
            </w14:solidFill>
          </w14:textFill>
        </w:rPr>
        <w:t>暂列金额应按照发包人的要求使用，发包人的要求应通过监理人发出</w:t>
      </w:r>
      <w:r>
        <w:rPr>
          <w:rFonts w:hint="eastAsia" w:ascii="宋体" w:hAnsi="宋体" w:cs="宋体"/>
          <w:color w:val="000000" w:themeColor="text1"/>
          <w:kern w:val="0"/>
          <w:sz w:val="24"/>
          <w:szCs w:val="24"/>
          <w:highlight w:val="none"/>
          <w14:textFill>
            <w14:solidFill>
              <w14:schemeClr w14:val="tx1"/>
            </w14:solidFill>
          </w14:textFill>
        </w:rPr>
        <w:t>。</w:t>
      </w:r>
    </w:p>
    <w:p w14:paraId="03444B6D">
      <w:pPr>
        <w:keepNext/>
        <w:keepLines/>
        <w:numPr>
          <w:ilvl w:val="3"/>
          <w:numId w:val="4"/>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11. 价格调整</w:t>
      </w:r>
    </w:p>
    <w:p w14:paraId="06D958B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 市场价格波动引起的调整</w:t>
      </w:r>
    </w:p>
    <w:p w14:paraId="79636B57">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市场价格波动是否调整合同价格的约定：不调整。</w:t>
      </w:r>
    </w:p>
    <w:p w14:paraId="7685E652">
      <w:pPr>
        <w:keepNext/>
        <w:keepLines/>
        <w:numPr>
          <w:ilvl w:val="3"/>
          <w:numId w:val="4"/>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12. 合同价格、计量与支付</w:t>
      </w:r>
    </w:p>
    <w:p w14:paraId="0207FAF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12.1 合同价格形式</w:t>
      </w:r>
    </w:p>
    <w:p w14:paraId="139B5DC8">
      <w:pPr>
        <w:autoSpaceDE w:val="0"/>
        <w:autoSpaceDN w:val="0"/>
        <w:adjustRightInd w:val="0"/>
        <w:spacing w:before="100" w:after="100" w:line="360" w:lineRule="auto"/>
        <w:ind w:left="655"/>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1、单价合同。</w:t>
      </w:r>
    </w:p>
    <w:p w14:paraId="06FF8F7E">
      <w:pPr>
        <w:autoSpaceDE w:val="0"/>
        <w:autoSpaceDN w:val="0"/>
        <w:adjustRightInd w:val="0"/>
        <w:spacing w:before="100" w:after="100" w:line="360" w:lineRule="auto"/>
        <w:ind w:left="250" w:firstLine="405"/>
        <w:rPr>
          <w:rFonts w:ascii="宋体" w:hAnsi="宋体" w:cs="宋体"/>
          <w:color w:val="000000" w:themeColor="text1"/>
          <w:sz w:val="24"/>
          <w:highlight w:val="none"/>
          <w:u w:val="single" w:color="000000"/>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综合单价包含的风险范围：</w:t>
      </w:r>
      <w:r>
        <w:rPr>
          <w:rFonts w:hint="eastAsia" w:ascii="宋体" w:hAnsi="宋体" w:cs="宋体"/>
          <w:color w:val="000000" w:themeColor="text1"/>
          <w:kern w:val="0"/>
          <w:sz w:val="24"/>
          <w:szCs w:val="24"/>
          <w:highlight w:val="none"/>
          <w:u w:val="single"/>
          <w14:textFill>
            <w14:solidFill>
              <w14:schemeClr w14:val="tx1"/>
            </w14:solidFill>
          </w14:textFill>
        </w:rPr>
        <w:t>由于施工工期较短，综合单价不调整。</w:t>
      </w:r>
    </w:p>
    <w:p w14:paraId="7D647373">
      <w:pPr>
        <w:autoSpaceDE w:val="0"/>
        <w:autoSpaceDN w:val="0"/>
        <w:adjustRightInd w:val="0"/>
        <w:spacing w:before="100" w:after="100" w:line="360" w:lineRule="auto"/>
        <w:ind w:firstLine="720" w:firstLineChars="300"/>
        <w:jc w:val="left"/>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风险费用的计算方法：</w:t>
      </w:r>
      <w:r>
        <w:rPr>
          <w:rFonts w:hint="eastAsia" w:ascii="宋体" w:hAnsi="宋体" w:cs="宋体"/>
          <w:color w:val="000000" w:themeColor="text1"/>
          <w:sz w:val="24"/>
          <w:szCs w:val="24"/>
          <w:highlight w:val="none"/>
          <w:u w:val="single"/>
          <w14:textFill>
            <w14:solidFill>
              <w14:schemeClr w14:val="tx1"/>
            </w14:solidFill>
          </w14:textFill>
        </w:rPr>
        <w:t>以上风险费用已在投标综合单价中考虑，不再另行计取。</w:t>
      </w:r>
    </w:p>
    <w:p w14:paraId="6B9067AF">
      <w:pPr>
        <w:snapToGrid w:val="0"/>
        <w:spacing w:line="360" w:lineRule="auto"/>
        <w:ind w:firstLine="720" w:firstLineChars="300"/>
        <w:rPr>
          <w:rFonts w:ascii="宋体" w:hAnsi="宋体" w:cs="宋体"/>
          <w:color w:val="000000" w:themeColor="text1"/>
          <w:kern w:val="0"/>
          <w:sz w:val="24"/>
          <w:highlight w:val="none"/>
          <w:u w:val="single" w:color="000000"/>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cs="宋体"/>
          <w:color w:val="000000" w:themeColor="text1"/>
          <w:kern w:val="0"/>
          <w:sz w:val="24"/>
          <w:szCs w:val="24"/>
          <w:highlight w:val="none"/>
          <w:u w:val="single" w:color="000000"/>
          <w14:textFill>
            <w14:solidFill>
              <w14:schemeClr w14:val="tx1"/>
            </w14:solidFill>
          </w14:textFill>
        </w:rPr>
        <w:t>实际完成的工程量与招标文件中提供的工程量不一致、有效设计变更、有效现场签证。其他原因不再调整结算价。调整原则：（1）结算时调整项目与已标价工程量清单项目相同或相类似的，按照已标价工程量清单中的综合单价执行，若已标价工程量清单相同清单项目综合单价不一致的，按照最低的综合单价执行。（2）已标价工程量清单中无此清单项目的，调整项目按照《建设工程工程量清单计价规范》（GB50500-2013）第9.3条款的规定结算。（3）总价措施投标文件中相应费率调整；单项措施费按项列项费用无论工程量是否发生变化、设计图纸是否发生变更，结算时将不得调整，这些费用在整个工程中包干；其它按清单工程量的变化比例进行调整。(4)规费和税金按投标文件中相应费率调整（另有规定的按有关规定执行）。</w:t>
      </w:r>
    </w:p>
    <w:p w14:paraId="2E8BEBAF">
      <w:pPr>
        <w:snapToGrid w:val="0"/>
        <w:spacing w:line="360" w:lineRule="auto"/>
        <w:ind w:firstLine="720" w:firstLineChars="3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u w:val="single" w:color="000000"/>
          <w14:textFill>
            <w14:solidFill>
              <w14:schemeClr w14:val="tx1"/>
            </w14:solidFill>
          </w14:textFill>
        </w:rPr>
        <w:t>新增地材执行施工期间当地指导价，其他材料（特别是饰面材料）由施工单位根据设计单位和业主要求的质量和品牌报价，监理单位、跟踪审计单位根据符合要求现场实际使用材料质量和品牌市场价审核，报发包人审定。</w:t>
      </w:r>
    </w:p>
    <w:p w14:paraId="4FE5BAD3">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8）不可抗力事件导致的费用，发、承包双方按以下原则分别承担并调整合同价格： </w:t>
      </w:r>
    </w:p>
    <w:p w14:paraId="02FA8CB9">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a、工程本身的损害、因工程损害导致第三方人员伤亡和财产损失以及运至施工场地用于施工的材料和待安装的设备的损害，由发包人承担； </w:t>
      </w:r>
    </w:p>
    <w:p w14:paraId="6C385C26">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b、发包人、承包人人员伤亡由其所在单位负责，并承担相应费用； </w:t>
      </w:r>
    </w:p>
    <w:p w14:paraId="551F2B28">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c、承包人的施工机械设备损坏及停工损失，由承包人承担； </w:t>
      </w:r>
    </w:p>
    <w:p w14:paraId="49C144EC">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d、停工期间，承包人应发包人要求留在施工场地的必要的管理人员及保卫人员的费用，由发包人承担； </w:t>
      </w:r>
    </w:p>
    <w:p w14:paraId="310D94DF">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e、工程所需清理、修复费用，由发包人承担。</w:t>
      </w:r>
    </w:p>
    <w:p w14:paraId="2F8EFA64">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9）环境保护税：结算时，按相关部门实际收取的规费调整。此项费用报价包含在投标报价中。 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p>
    <w:p w14:paraId="01C1761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w:t>
      </w:r>
    </w:p>
    <w:p w14:paraId="7A98748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总价包含的风险范围：</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010F777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风险费用的计算方法：</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25980AC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5CEAD03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3、其他价格方式：</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7111453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 预付款</w:t>
      </w:r>
    </w:p>
    <w:p w14:paraId="47412D7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12.2.1 预付款的支付</w:t>
      </w:r>
    </w:p>
    <w:p w14:paraId="5FA0037F">
      <w:pPr>
        <w:pStyle w:val="9"/>
        <w:ind w:firstLine="480" w:firstLineChars="20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预付款支付比例或金额：</w:t>
      </w:r>
      <w:r>
        <w:rPr>
          <w:rFonts w:hint="eastAsia" w:ascii="宋体" w:hAnsi="宋体" w:cs="宋体"/>
          <w:color w:val="000000" w:themeColor="text1"/>
          <w:sz w:val="24"/>
          <w:szCs w:val="24"/>
          <w:highlight w:val="none"/>
          <w:u w:val="single"/>
          <w14:textFill>
            <w14:solidFill>
              <w14:schemeClr w14:val="tx1"/>
            </w14:solidFill>
          </w14:textFill>
        </w:rPr>
        <w:t>签约合同价的30%作为工程预付款（含安全文明施工费用总额的60%）。</w:t>
      </w:r>
    </w:p>
    <w:p w14:paraId="0D3DE7B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预付款支付期限：</w:t>
      </w:r>
      <w:r>
        <w:rPr>
          <w:rFonts w:hint="eastAsia" w:ascii="宋体" w:hAnsi="宋体" w:cs="宋体"/>
          <w:color w:val="000000" w:themeColor="text1"/>
          <w:sz w:val="24"/>
          <w:szCs w:val="24"/>
          <w:highlight w:val="none"/>
          <w:u w:val="single"/>
          <w14:textFill>
            <w14:solidFill>
              <w14:schemeClr w14:val="tx1"/>
            </w14:solidFill>
          </w14:textFill>
        </w:rPr>
        <w:t>合同签订后。</w:t>
      </w:r>
    </w:p>
    <w:p w14:paraId="44AEEF7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预付款扣回的方式：</w:t>
      </w:r>
      <w:r>
        <w:rPr>
          <w:rFonts w:hint="eastAsia" w:ascii="宋体" w:hAnsi="宋体" w:eastAsia="宋体" w:cs="宋体"/>
          <w:color w:val="000000" w:themeColor="text1"/>
          <w:kern w:val="2"/>
          <w:sz w:val="24"/>
          <w:szCs w:val="24"/>
          <w:highlight w:val="none"/>
          <w:u w:val="single"/>
          <w:lang w:val="en-US" w:eastAsia="zh-CN" w:bidi="ar-SA"/>
          <w14:textFill>
            <w14:solidFill>
              <w14:schemeClr w14:val="tx1"/>
            </w14:solidFill>
          </w14:textFill>
        </w:rPr>
        <w:t>竣工结算一次性全额扣回。</w:t>
      </w:r>
    </w:p>
    <w:p w14:paraId="1166E8F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12.2.2 预付款担保</w:t>
      </w:r>
    </w:p>
    <w:p w14:paraId="0B4BCB0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承包人提交预付款担保的期限：</w:t>
      </w:r>
      <w:r>
        <w:rPr>
          <w:rFonts w:hint="eastAsia" w:ascii="宋体" w:hAnsi="宋体" w:cs="宋体"/>
          <w:color w:val="000000" w:themeColor="text1"/>
          <w:sz w:val="24"/>
          <w:szCs w:val="24"/>
          <w:highlight w:val="none"/>
          <w:u w:val="single"/>
          <w14:textFill>
            <w14:solidFill>
              <w14:schemeClr w14:val="tx1"/>
            </w14:solidFill>
          </w14:textFill>
        </w:rPr>
        <w:t>在承包人递交付款申请时提交。</w:t>
      </w:r>
    </w:p>
    <w:p w14:paraId="1855115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预付款担保的形式为：</w:t>
      </w:r>
      <w:r>
        <w:rPr>
          <w:rFonts w:hint="eastAsia" w:ascii="宋体" w:hAnsi="宋体" w:cs="宋体"/>
          <w:color w:val="000000" w:themeColor="text1"/>
          <w:kern w:val="0"/>
          <w:sz w:val="24"/>
          <w:szCs w:val="24"/>
          <w:highlight w:val="none"/>
          <w:u w:val="single"/>
          <w14:textFill>
            <w14:solidFill>
              <w14:schemeClr w14:val="tx1"/>
            </w14:solidFill>
          </w14:textFill>
        </w:rPr>
        <w:t>以现金、银行保函、电子汇款等形式</w:t>
      </w:r>
      <w:r>
        <w:rPr>
          <w:rFonts w:hint="eastAsia" w:ascii="宋体" w:hAnsi="宋体" w:cs="宋体"/>
          <w:color w:val="000000" w:themeColor="text1"/>
          <w:sz w:val="24"/>
          <w:szCs w:val="24"/>
          <w:highlight w:val="none"/>
          <w:u w:val="single"/>
          <w14:textFill>
            <w14:solidFill>
              <w14:schemeClr w14:val="tx1"/>
            </w14:solidFill>
          </w14:textFill>
        </w:rPr>
        <w:t>，预付款担保在预付款完全扣回14日内退还。</w:t>
      </w:r>
    </w:p>
    <w:p w14:paraId="4F1B703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 计量</w:t>
      </w:r>
    </w:p>
    <w:p w14:paraId="790547E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12.3.1 计量原则</w:t>
      </w:r>
    </w:p>
    <w:p w14:paraId="432B9DF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工程量计算规则：</w:t>
      </w:r>
      <w:r>
        <w:rPr>
          <w:rFonts w:hint="eastAsia" w:ascii="宋体" w:hAnsi="宋体" w:cs="宋体"/>
          <w:color w:val="000000" w:themeColor="text1"/>
          <w:sz w:val="24"/>
          <w:szCs w:val="24"/>
          <w:highlight w:val="none"/>
          <w:u w:val="single"/>
          <w14:textFill>
            <w14:solidFill>
              <w14:schemeClr w14:val="tx1"/>
            </w14:solidFill>
          </w14:textFill>
        </w:rPr>
        <w:t>按苏建价（2014）448号《省住房城乡建设厅关于〈建设工程工程量清单计价规范〉（GB50500-2013）及其9本工程量计算规范的贯彻意见》执行。其中模板工程量的计量以实际接触面积为准。</w:t>
      </w:r>
      <w:r>
        <w:rPr>
          <w:rFonts w:hint="eastAsia" w:ascii="宋体" w:hAnsi="宋体" w:cs="宋体"/>
          <w:color w:val="000000" w:themeColor="text1"/>
          <w:sz w:val="24"/>
          <w:szCs w:val="24"/>
          <w:highlight w:val="none"/>
          <w14:textFill>
            <w14:solidFill>
              <w14:schemeClr w14:val="tx1"/>
            </w14:solidFill>
          </w14:textFill>
        </w:rPr>
        <w:t>。</w:t>
      </w:r>
    </w:p>
    <w:p w14:paraId="0F1E006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12.3.2 计量周期</w:t>
      </w:r>
    </w:p>
    <w:p w14:paraId="1A0D026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关于计量周期的约定：</w:t>
      </w:r>
      <w:r>
        <w:rPr>
          <w:rFonts w:hint="eastAsia" w:ascii="宋体" w:hAnsi="宋体" w:cs="宋体"/>
          <w:color w:val="000000" w:themeColor="text1"/>
          <w:sz w:val="24"/>
          <w:szCs w:val="24"/>
          <w:highlight w:val="none"/>
          <w:u w:val="single"/>
          <w14:textFill>
            <w14:solidFill>
              <w14:schemeClr w14:val="tx1"/>
            </w14:solidFill>
          </w14:textFill>
        </w:rPr>
        <w:t>工程量的计量按月进行。隐蔽工程工程量的计量与现场签收必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hint="eastAsia" w:ascii="宋体" w:hAnsi="宋体" w:cs="宋体"/>
          <w:color w:val="000000" w:themeColor="text1"/>
          <w:sz w:val="24"/>
          <w:szCs w:val="24"/>
          <w:highlight w:val="none"/>
          <w14:textFill>
            <w14:solidFill>
              <w14:schemeClr w14:val="tx1"/>
            </w14:solidFill>
          </w14:textFill>
        </w:rPr>
        <w:t>。</w:t>
      </w:r>
    </w:p>
    <w:p w14:paraId="491726F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12.3.3 单价合同的计量</w:t>
      </w:r>
    </w:p>
    <w:p w14:paraId="4D4A8B1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关于单价合同计量的约定：</w:t>
      </w:r>
      <w:r>
        <w:rPr>
          <w:rFonts w:hint="eastAsia" w:ascii="宋体" w:hAnsi="宋体" w:cs="宋体"/>
          <w:color w:val="000000" w:themeColor="text1"/>
          <w:sz w:val="24"/>
          <w:szCs w:val="24"/>
          <w:highlight w:val="none"/>
          <w:u w:val="single"/>
          <w14:textFill>
            <w14:solidFill>
              <w14:schemeClr w14:val="tx1"/>
            </w14:solidFill>
          </w14:textFill>
        </w:rPr>
        <w:t>（1）承包人应于每月25日向监理人报送上月20日至当月19日已完成的工程量报告，并附具进度付款申请单、已完成工程量报表和有关资料。（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未在收到承包人提交的工程量报表后的7天内完成审核的，承包人报送的工程量报告中的工程量视为承包人实际完成的工程量，据此计算工程价款。</w:t>
      </w:r>
      <w:r>
        <w:rPr>
          <w:rFonts w:hint="eastAsia" w:ascii="宋体" w:hAnsi="宋体" w:cs="宋体"/>
          <w:color w:val="000000" w:themeColor="text1"/>
          <w:sz w:val="24"/>
          <w:szCs w:val="24"/>
          <w:highlight w:val="none"/>
          <w14:textFill>
            <w14:solidFill>
              <w14:schemeClr w14:val="tx1"/>
            </w14:solidFill>
          </w14:textFill>
        </w:rPr>
        <w:t>。</w:t>
      </w:r>
    </w:p>
    <w:p w14:paraId="14ED4EF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12.3.4 总价合同的计量</w:t>
      </w:r>
    </w:p>
    <w:p w14:paraId="58D1730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关于总价合同计量的约定：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4648C2C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12.3.5总价合同采用支付分解表计量支付的，是否适用第</w:t>
      </w:r>
      <w:r>
        <w:rPr>
          <w:rFonts w:hint="eastAsia" w:ascii="宋体" w:hAnsi="宋体" w:cs="宋体"/>
          <w:color w:val="000000" w:themeColor="text1"/>
          <w:kern w:val="0"/>
          <w:sz w:val="24"/>
          <w:szCs w:val="24"/>
          <w:highlight w:val="none"/>
          <w14:textFill>
            <w14:solidFill>
              <w14:schemeClr w14:val="tx1"/>
            </w14:solidFill>
          </w14:textFill>
        </w:rPr>
        <w:t xml:space="preserve">12.3.4 </w:t>
      </w:r>
      <w:r>
        <w:rPr>
          <w:rFonts w:hint="eastAsia" w:ascii="宋体" w:hAnsi="宋体" w:cs="宋体"/>
          <w:color w:val="000000" w:themeColor="text1"/>
          <w:sz w:val="24"/>
          <w:szCs w:val="24"/>
          <w:highlight w:val="none"/>
          <w14:textFill>
            <w14:solidFill>
              <w14:schemeClr w14:val="tx1"/>
            </w14:solidFill>
          </w14:textFill>
        </w:rPr>
        <w:t>项</w:t>
      </w:r>
      <w:r>
        <w:rPr>
          <w:rFonts w:hint="eastAsia" w:ascii="宋体" w:hAnsi="宋体" w:cs="宋体"/>
          <w:color w:val="000000" w:themeColor="text1"/>
          <w:kern w:val="0"/>
          <w:sz w:val="24"/>
          <w:szCs w:val="24"/>
          <w:highlight w:val="none"/>
          <w14:textFill>
            <w14:solidFill>
              <w14:schemeClr w14:val="tx1"/>
            </w14:solidFill>
          </w14:textFill>
        </w:rPr>
        <w:t>〔总价合同的计量〕</w:t>
      </w:r>
      <w:r>
        <w:rPr>
          <w:rFonts w:hint="eastAsia" w:ascii="宋体" w:hAnsi="宋体" w:cs="宋体"/>
          <w:color w:val="000000" w:themeColor="text1"/>
          <w:sz w:val="24"/>
          <w:szCs w:val="24"/>
          <w:highlight w:val="none"/>
          <w14:textFill>
            <w14:solidFill>
              <w14:schemeClr w14:val="tx1"/>
            </w14:solidFill>
          </w14:textFill>
        </w:rPr>
        <w:t>约定进行计量：</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3303937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12.3.6 其他价格形式合同的计量</w:t>
      </w:r>
    </w:p>
    <w:p w14:paraId="37FBE2C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其他价格形式的计量方式和程序：</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bookmarkEnd w:id="51"/>
    <w:p w14:paraId="2537A4EB">
      <w:pPr>
        <w:spacing w:after="120" w:line="360" w:lineRule="auto"/>
        <w:ind w:firstLine="480" w:firstLineChars="20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 工程进度款支付</w:t>
      </w:r>
    </w:p>
    <w:p w14:paraId="6BE8D63C">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12.4.1 付款周期</w:t>
      </w:r>
    </w:p>
    <w:p w14:paraId="05090AA4">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关于付款周期的约定：</w:t>
      </w:r>
    </w:p>
    <w:p w14:paraId="734EACFB">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bookmarkStart w:id="52" w:name="_Toc296944550"/>
      <w:bookmarkStart w:id="53" w:name="_Toc296346712"/>
      <w:bookmarkStart w:id="54" w:name="_Toc297048397"/>
      <w:bookmarkStart w:id="55" w:name="_Toc292559921"/>
      <w:bookmarkStart w:id="56" w:name="_Toc292559416"/>
      <w:bookmarkStart w:id="57" w:name="_Toc300935006"/>
      <w:bookmarkStart w:id="58" w:name="_Toc296503211"/>
      <w:bookmarkStart w:id="59" w:name="_Toc303539163"/>
      <w:bookmarkStart w:id="60" w:name="_Toc297216215"/>
      <w:bookmarkStart w:id="61" w:name="_Toc296891251"/>
      <w:bookmarkStart w:id="62" w:name="_Toc297123556"/>
      <w:bookmarkStart w:id="63" w:name="_Toc296347210"/>
      <w:bookmarkStart w:id="64" w:name="_Toc296891039"/>
      <w:bookmarkStart w:id="65" w:name="_Toc297120511"/>
      <w:r>
        <w:rPr>
          <w:rFonts w:hint="eastAsia" w:ascii="宋体" w:hAnsi="宋体" w:cs="宋体"/>
          <w:color w:val="000000" w:themeColor="text1"/>
          <w:kern w:val="0"/>
          <w:sz w:val="24"/>
          <w:szCs w:val="24"/>
          <w:highlight w:val="none"/>
          <w14:textFill>
            <w14:solidFill>
              <w14:schemeClr w14:val="tx1"/>
            </w14:solidFill>
          </w14:textFill>
        </w:rPr>
        <w:t>A、合同生效成交供应商递交付款申请及预付款担保后，</w:t>
      </w:r>
      <w:r>
        <w:rPr>
          <w:rFonts w:hint="eastAsia" w:ascii="宋体" w:hAnsi="宋体" w:cs="宋体"/>
          <w:color w:val="000000" w:themeColor="text1"/>
          <w:kern w:val="0"/>
          <w:sz w:val="24"/>
          <w:szCs w:val="24"/>
          <w:highlight w:val="none"/>
          <w:lang w:eastAsia="zh-CN"/>
          <w14:textFill>
            <w14:solidFill>
              <w14:schemeClr w14:val="tx1"/>
            </w14:solidFill>
          </w14:textFill>
        </w:rPr>
        <w:t>发包人</w:t>
      </w:r>
      <w:r>
        <w:rPr>
          <w:rFonts w:hint="eastAsia" w:ascii="宋体" w:hAnsi="宋体" w:cs="宋体"/>
          <w:color w:val="000000" w:themeColor="text1"/>
          <w:kern w:val="0"/>
          <w:sz w:val="24"/>
          <w:szCs w:val="24"/>
          <w:highlight w:val="none"/>
          <w14:textFill>
            <w14:solidFill>
              <w14:schemeClr w14:val="tx1"/>
            </w14:solidFill>
          </w14:textFill>
        </w:rPr>
        <w:t>支付合同价的30%作为工程预付款（含安全文明施工费用总额的60%）。</w:t>
      </w:r>
    </w:p>
    <w:p w14:paraId="0544E7F4">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B、工程竣工验收合格后，</w:t>
      </w:r>
      <w:r>
        <w:rPr>
          <w:rFonts w:hint="eastAsia" w:ascii="宋体" w:hAnsi="宋体" w:cs="宋体"/>
          <w:color w:val="000000" w:themeColor="text1"/>
          <w:kern w:val="0"/>
          <w:sz w:val="24"/>
          <w:szCs w:val="24"/>
          <w:highlight w:val="none"/>
          <w:lang w:eastAsia="zh-CN"/>
          <w14:textFill>
            <w14:solidFill>
              <w14:schemeClr w14:val="tx1"/>
            </w14:solidFill>
          </w14:textFill>
        </w:rPr>
        <w:t>发包人</w:t>
      </w:r>
      <w:r>
        <w:rPr>
          <w:rFonts w:hint="eastAsia" w:ascii="宋体" w:hAnsi="宋体" w:cs="宋体"/>
          <w:color w:val="000000" w:themeColor="text1"/>
          <w:kern w:val="0"/>
          <w:sz w:val="24"/>
          <w:szCs w:val="24"/>
          <w:highlight w:val="none"/>
          <w14:textFill>
            <w14:solidFill>
              <w14:schemeClr w14:val="tx1"/>
            </w14:solidFill>
          </w14:textFill>
        </w:rPr>
        <w:t>30个工作日内支付至合同总价（扣除暂列金额）的</w:t>
      </w:r>
      <w:r>
        <w:rPr>
          <w:rFonts w:hint="eastAsia" w:ascii="宋体" w:hAnsi="宋体" w:cs="宋体"/>
          <w:color w:val="000000" w:themeColor="text1"/>
          <w:kern w:val="0"/>
          <w:sz w:val="24"/>
          <w:szCs w:val="24"/>
          <w:highlight w:val="none"/>
          <w:lang w:val="en-US" w:eastAsia="zh-CN"/>
          <w14:textFill>
            <w14:solidFill>
              <w14:schemeClr w14:val="tx1"/>
            </w14:solidFill>
          </w14:textFill>
        </w:rPr>
        <w:t>7</w:t>
      </w:r>
      <w:r>
        <w:rPr>
          <w:rFonts w:hint="eastAsia" w:ascii="宋体" w:hAnsi="宋体" w:cs="宋体"/>
          <w:color w:val="000000" w:themeColor="text1"/>
          <w:kern w:val="0"/>
          <w:sz w:val="24"/>
          <w:szCs w:val="24"/>
          <w:highlight w:val="none"/>
          <w14:textFill>
            <w14:solidFill>
              <w14:schemeClr w14:val="tx1"/>
            </w14:solidFill>
          </w14:textFill>
        </w:rPr>
        <w:t>0%；</w:t>
      </w:r>
    </w:p>
    <w:p w14:paraId="0B3C294F">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C、竣工结算经审计部门审计结束，</w:t>
      </w:r>
      <w:r>
        <w:rPr>
          <w:rFonts w:hint="eastAsia" w:ascii="宋体" w:hAnsi="宋体" w:cs="宋体"/>
          <w:color w:val="000000" w:themeColor="text1"/>
          <w:kern w:val="0"/>
          <w:sz w:val="24"/>
          <w:szCs w:val="24"/>
          <w:highlight w:val="none"/>
          <w:lang w:eastAsia="zh-CN"/>
          <w14:textFill>
            <w14:solidFill>
              <w14:schemeClr w14:val="tx1"/>
            </w14:solidFill>
          </w14:textFill>
        </w:rPr>
        <w:t>承包人</w:t>
      </w:r>
      <w:r>
        <w:rPr>
          <w:rFonts w:hint="eastAsia" w:ascii="宋体" w:hAnsi="宋体" w:cs="宋体"/>
          <w:color w:val="000000" w:themeColor="text1"/>
          <w:kern w:val="0"/>
          <w:sz w:val="24"/>
          <w:szCs w:val="24"/>
          <w:highlight w:val="none"/>
          <w14:textFill>
            <w14:solidFill>
              <w14:schemeClr w14:val="tx1"/>
            </w14:solidFill>
          </w14:textFill>
        </w:rPr>
        <w:t>分别提交水电费、违约金（如有）、质量保证金（结算审定价的3%）至</w:t>
      </w:r>
      <w:r>
        <w:rPr>
          <w:rFonts w:hint="eastAsia" w:ascii="宋体" w:hAnsi="宋体" w:cs="宋体"/>
          <w:color w:val="000000" w:themeColor="text1"/>
          <w:kern w:val="0"/>
          <w:sz w:val="24"/>
          <w:szCs w:val="24"/>
          <w:highlight w:val="none"/>
          <w:lang w:eastAsia="zh-CN"/>
          <w14:textFill>
            <w14:solidFill>
              <w14:schemeClr w14:val="tx1"/>
            </w14:solidFill>
          </w14:textFill>
        </w:rPr>
        <w:t>发包人</w:t>
      </w:r>
      <w:r>
        <w:rPr>
          <w:rFonts w:hint="eastAsia" w:ascii="宋体" w:hAnsi="宋体" w:cs="宋体"/>
          <w:color w:val="000000" w:themeColor="text1"/>
          <w:kern w:val="0"/>
          <w:sz w:val="24"/>
          <w:szCs w:val="24"/>
          <w:highlight w:val="none"/>
          <w14:textFill>
            <w14:solidFill>
              <w14:schemeClr w14:val="tx1"/>
            </w14:solidFill>
          </w14:textFill>
        </w:rPr>
        <w:t>账户，并按照要求提交所有竣工资料后，付至工程结算审定价款的100%；</w:t>
      </w:r>
    </w:p>
    <w:p w14:paraId="2B2107BB">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D</w:t>
      </w:r>
      <w:r>
        <w:rPr>
          <w:rFonts w:hint="eastAsia" w:ascii="宋体" w:hAnsi="宋体" w:cs="宋体"/>
          <w:color w:val="000000" w:themeColor="text1"/>
          <w:kern w:val="0"/>
          <w:sz w:val="24"/>
          <w:szCs w:val="24"/>
          <w:highlight w:val="none"/>
          <w14:textFill>
            <w14:solidFill>
              <w14:schemeClr w14:val="tx1"/>
            </w14:solidFill>
          </w14:textFill>
        </w:rPr>
        <w:t>、所有合同外增加的工作内容施工项目，一律不得作为进度款支付的计算基数，待竣工结算审计后方可进行价款结算。</w:t>
      </w:r>
    </w:p>
    <w:p w14:paraId="7E976277">
      <w:pPr>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u w:val="single"/>
          <w14:textFill>
            <w14:solidFill>
              <w14:schemeClr w14:val="tx1"/>
            </w14:solidFill>
          </w14:textFill>
        </w:rPr>
        <w:t>注：水电费按工程审定额的千分之一点五计取。水电费在审定价款支付前，由承包人直接支付至发包人指定账户。</w:t>
      </w:r>
    </w:p>
    <w:p w14:paraId="32CEA62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12.4.2 进度付款申请单的编制</w:t>
      </w:r>
    </w:p>
    <w:p w14:paraId="1D65B50C">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关于进度付款申请单编制的约定：</w:t>
      </w:r>
      <w:r>
        <w:rPr>
          <w:rFonts w:hint="eastAsia" w:ascii="宋体" w:hAnsi="宋体" w:cs="宋体"/>
          <w:color w:val="000000" w:themeColor="text1"/>
          <w:sz w:val="24"/>
          <w:szCs w:val="24"/>
          <w:highlight w:val="none"/>
          <w:u w:val="single"/>
          <w14:textFill>
            <w14:solidFill>
              <w14:schemeClr w14:val="tx1"/>
            </w14:solidFill>
          </w14:textFill>
        </w:rPr>
        <w:t>（1）截至本次付款周期已完成工作对应的金额；</w:t>
      </w:r>
    </w:p>
    <w:p w14:paraId="08539D6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 xml:space="preserve">）预付款约定应支付的预付款和扣减的返还预付款； </w:t>
      </w:r>
    </w:p>
    <w:p w14:paraId="168645AE">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）对已签发的进度款支付证书中出现错误的修正，应在本次进度付款中支付或扣除的金额；</w:t>
      </w:r>
    </w:p>
    <w:p w14:paraId="3D447E6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4</w:t>
      </w:r>
      <w:r>
        <w:rPr>
          <w:rFonts w:hint="eastAsia" w:ascii="宋体" w:hAnsi="宋体" w:cs="宋体"/>
          <w:color w:val="000000" w:themeColor="text1"/>
          <w:sz w:val="24"/>
          <w:szCs w:val="24"/>
          <w:highlight w:val="none"/>
          <w:u w:val="single"/>
          <w14:textFill>
            <w14:solidFill>
              <w14:schemeClr w14:val="tx1"/>
            </w14:solidFill>
          </w14:textFill>
        </w:rPr>
        <w:t>）根据合同约定应增加和扣减的其他金额</w:t>
      </w:r>
      <w:r>
        <w:rPr>
          <w:rFonts w:hint="eastAsia" w:ascii="宋体" w:hAnsi="宋体" w:cs="宋体"/>
          <w:color w:val="000000" w:themeColor="text1"/>
          <w:sz w:val="24"/>
          <w:szCs w:val="24"/>
          <w:highlight w:val="none"/>
          <w14:textFill>
            <w14:solidFill>
              <w14:schemeClr w14:val="tx1"/>
            </w14:solidFill>
          </w14:textFill>
        </w:rPr>
        <w:t>。</w:t>
      </w:r>
    </w:p>
    <w:p w14:paraId="6DA0539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bookmarkEnd w:id="52"/>
      <w:bookmarkEnd w:id="53"/>
      <w:bookmarkEnd w:id="54"/>
      <w:bookmarkEnd w:id="55"/>
      <w:bookmarkEnd w:id="56"/>
      <w:bookmarkEnd w:id="57"/>
      <w:bookmarkEnd w:id="58"/>
      <w:bookmarkEnd w:id="59"/>
      <w:bookmarkEnd w:id="60"/>
      <w:bookmarkEnd w:id="61"/>
      <w:bookmarkEnd w:id="62"/>
      <w:bookmarkEnd w:id="63"/>
      <w:bookmarkEnd w:id="64"/>
      <w:bookmarkEnd w:id="65"/>
      <w:r>
        <w:rPr>
          <w:rFonts w:hint="eastAsia" w:ascii="宋体" w:hAnsi="宋体" w:cs="宋体"/>
          <w:color w:val="000000" w:themeColor="text1"/>
          <w:sz w:val="24"/>
          <w:szCs w:val="24"/>
          <w:highlight w:val="none"/>
          <w14:textFill>
            <w14:solidFill>
              <w14:schemeClr w14:val="tx1"/>
            </w14:solidFill>
          </w14:textFill>
        </w:rPr>
        <w:t>2.4.3 进度付款申请单的提交</w:t>
      </w:r>
    </w:p>
    <w:p w14:paraId="06869CF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（1）单价合同进度付款申请单提交的约定：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按月向监理人提交，并附上已完成工程量报表和有关资料</w:t>
      </w:r>
      <w:r>
        <w:rPr>
          <w:rFonts w:hint="eastAsia" w:ascii="宋体" w:hAnsi="宋体" w:cs="宋体"/>
          <w:color w:val="000000" w:themeColor="text1"/>
          <w:sz w:val="24"/>
          <w:szCs w:val="24"/>
          <w:highlight w:val="none"/>
          <w14:textFill>
            <w14:solidFill>
              <w14:schemeClr w14:val="tx1"/>
            </w14:solidFill>
          </w14:textFill>
        </w:rPr>
        <w:t>。</w:t>
      </w:r>
    </w:p>
    <w:p w14:paraId="642A198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7B24B29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（3）其他价格形式合同进度付款申请单提交的约定：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0C2E665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12.4.4 进度款审核和支付</w:t>
      </w:r>
    </w:p>
    <w:p w14:paraId="7D6BB0D5">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（1）监理人审查并报送发包人的期限：</w:t>
      </w:r>
      <w:r>
        <w:rPr>
          <w:rFonts w:hint="eastAsia" w:ascii="宋体" w:hAnsi="宋体" w:cs="宋体"/>
          <w:color w:val="000000" w:themeColor="text1"/>
          <w:sz w:val="24"/>
          <w:szCs w:val="24"/>
          <w:highlight w:val="none"/>
          <w:u w:val="single"/>
          <w14:textFill>
            <w14:solidFill>
              <w14:schemeClr w14:val="tx1"/>
            </w14:solidFill>
          </w14:textFill>
        </w:rPr>
        <w:t>监理人应在收到承包人进度付款申请单以及相关资料后7天内完成审查并报送发包人</w:t>
      </w:r>
      <w:r>
        <w:rPr>
          <w:rFonts w:hint="eastAsia" w:ascii="宋体" w:hAnsi="宋体" w:cs="宋体"/>
          <w:color w:val="000000" w:themeColor="text1"/>
          <w:sz w:val="24"/>
          <w:szCs w:val="24"/>
          <w:highlight w:val="none"/>
          <w14:textFill>
            <w14:solidFill>
              <w14:schemeClr w14:val="tx1"/>
            </w14:solidFill>
          </w14:textFill>
        </w:rPr>
        <w:t>。</w:t>
      </w:r>
    </w:p>
    <w:p w14:paraId="2A6A6DC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发包人完成审批并签发进度款支付证书的期限：</w:t>
      </w:r>
      <w:r>
        <w:rPr>
          <w:rFonts w:hint="eastAsia" w:ascii="宋体" w:hAnsi="宋体" w:cs="宋体"/>
          <w:color w:val="000000" w:themeColor="text1"/>
          <w:sz w:val="24"/>
          <w:szCs w:val="24"/>
          <w:highlight w:val="none"/>
          <w:u w:val="single"/>
          <w14:textFill>
            <w14:solidFill>
              <w14:schemeClr w14:val="tx1"/>
            </w14:solidFill>
          </w14:textFill>
        </w:rPr>
        <w:t>发包人应在收到后7天内完成审批并签发进度款支付证书</w:t>
      </w:r>
      <w:r>
        <w:rPr>
          <w:rFonts w:hint="eastAsia" w:ascii="宋体" w:hAnsi="宋体" w:cs="宋体"/>
          <w:color w:val="000000" w:themeColor="text1"/>
          <w:sz w:val="24"/>
          <w:szCs w:val="24"/>
          <w:highlight w:val="none"/>
          <w14:textFill>
            <w14:solidFill>
              <w14:schemeClr w14:val="tx1"/>
            </w14:solidFill>
          </w14:textFill>
        </w:rPr>
        <w:t>。</w:t>
      </w:r>
    </w:p>
    <w:p w14:paraId="1C7B1DB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（2）发包人支付进度款的期限：</w:t>
      </w:r>
      <w:r>
        <w:rPr>
          <w:rFonts w:hint="eastAsia" w:ascii="宋体" w:hAnsi="宋体" w:cs="宋体"/>
          <w:color w:val="000000" w:themeColor="text1"/>
          <w:sz w:val="24"/>
          <w:szCs w:val="24"/>
          <w:highlight w:val="none"/>
          <w:u w:val="single"/>
          <w14:textFill>
            <w14:solidFill>
              <w14:schemeClr w14:val="tx1"/>
            </w14:solidFill>
          </w14:textFill>
        </w:rPr>
        <w:t>发包人应在进度款支付证书签发后14天内完成支付</w:t>
      </w:r>
      <w:r>
        <w:rPr>
          <w:rFonts w:hint="eastAsia" w:ascii="宋体" w:hAnsi="宋体" w:cs="宋体"/>
          <w:color w:val="000000" w:themeColor="text1"/>
          <w:sz w:val="24"/>
          <w:szCs w:val="24"/>
          <w:highlight w:val="none"/>
          <w14:textFill>
            <w14:solidFill>
              <w14:schemeClr w14:val="tx1"/>
            </w14:solidFill>
          </w14:textFill>
        </w:rPr>
        <w:t>。</w:t>
      </w:r>
    </w:p>
    <w:p w14:paraId="6E1BA28F">
      <w:pPr>
        <w:spacing w:line="360" w:lineRule="auto"/>
        <w:ind w:firstLine="600" w:firstLineChars="2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发包人逾期支付进度款的违约金的计算方式：</w:t>
      </w:r>
      <w:r>
        <w:rPr>
          <w:rFonts w:hint="eastAsia" w:ascii="宋体" w:hAnsi="宋体" w:cs="宋体"/>
          <w:color w:val="000000" w:themeColor="text1"/>
          <w:sz w:val="24"/>
          <w:szCs w:val="24"/>
          <w:highlight w:val="none"/>
          <w:u w:val="single"/>
          <w14:textFill>
            <w14:solidFill>
              <w14:schemeClr w14:val="tx1"/>
            </w14:solidFill>
          </w14:textFill>
        </w:rPr>
        <w:t>按照中国人民银行同期同类贷款基准利率计算</w:t>
      </w:r>
      <w:r>
        <w:rPr>
          <w:rFonts w:hint="eastAsia" w:ascii="宋体" w:hAnsi="宋体" w:cs="宋体"/>
          <w:color w:val="000000" w:themeColor="text1"/>
          <w:sz w:val="24"/>
          <w:szCs w:val="24"/>
          <w:highlight w:val="none"/>
          <w14:textFill>
            <w14:solidFill>
              <w14:schemeClr w14:val="tx1"/>
            </w14:solidFill>
          </w14:textFill>
        </w:rPr>
        <w:t>。</w:t>
      </w:r>
    </w:p>
    <w:p w14:paraId="29BD0FE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12.4.6 支付分解表的编制</w:t>
      </w:r>
    </w:p>
    <w:p w14:paraId="40C8746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2、总价合同支付分解表的编制与审批：</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6814965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3、单价合同的总价项目支付分解表的编制与审批：</w:t>
      </w:r>
      <w:r>
        <w:rPr>
          <w:rFonts w:hint="eastAsia" w:ascii="宋体" w:hAnsi="宋体" w:cs="宋体"/>
          <w:color w:val="000000" w:themeColor="text1"/>
          <w:sz w:val="24"/>
          <w:szCs w:val="24"/>
          <w:highlight w:val="none"/>
          <w:u w:val="single"/>
          <w14:textFill>
            <w14:solidFill>
              <w14:schemeClr w14:val="tx1"/>
            </w14:solidFill>
          </w14:textFill>
        </w:rPr>
        <w:t>单价合同中的总价项目按月进行支付分解，并汇总列入当期进度付款申请单</w:t>
      </w:r>
      <w:r>
        <w:rPr>
          <w:rFonts w:hint="eastAsia" w:ascii="宋体" w:hAnsi="宋体" w:cs="宋体"/>
          <w:color w:val="000000" w:themeColor="text1"/>
          <w:sz w:val="24"/>
          <w:szCs w:val="24"/>
          <w:highlight w:val="none"/>
          <w14:textFill>
            <w14:solidFill>
              <w14:schemeClr w14:val="tx1"/>
            </w14:solidFill>
          </w14:textFill>
        </w:rPr>
        <w:t>。</w:t>
      </w:r>
    </w:p>
    <w:p w14:paraId="189C5884">
      <w:pPr>
        <w:pStyle w:val="5"/>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66" w:name="_Toc351203645"/>
      <w:bookmarkStart w:id="67" w:name="_Toc300935015"/>
      <w:bookmarkStart w:id="68" w:name="_Toc296944558"/>
      <w:bookmarkStart w:id="69" w:name="_Toc297216223"/>
      <w:bookmarkStart w:id="70" w:name="_Toc312678053"/>
      <w:bookmarkStart w:id="71" w:name="_Toc296891047"/>
      <w:bookmarkStart w:id="72" w:name="_Toc292559929"/>
      <w:bookmarkStart w:id="73" w:name="_Toc296346720"/>
      <w:bookmarkStart w:id="74" w:name="_Toc297123564"/>
      <w:bookmarkStart w:id="75" w:name="_Toc297048405"/>
      <w:bookmarkStart w:id="76" w:name="_Toc296891259"/>
      <w:bookmarkStart w:id="77" w:name="_Toc297120519"/>
      <w:bookmarkStart w:id="78" w:name="_Toc296503219"/>
      <w:bookmarkStart w:id="79" w:name="_Toc304295593"/>
      <w:bookmarkStart w:id="80" w:name="_Toc292559424"/>
      <w:bookmarkStart w:id="81" w:name="_Toc303539172"/>
      <w:bookmarkStart w:id="82" w:name="_Toc296347218"/>
      <w:r>
        <w:rPr>
          <w:rFonts w:hint="eastAsia" w:ascii="宋体" w:hAnsi="宋体" w:eastAsia="宋体" w:cs="宋体"/>
          <w:bCs/>
          <w:color w:val="000000" w:themeColor="text1"/>
          <w:sz w:val="24"/>
          <w:szCs w:val="24"/>
          <w:highlight w:val="none"/>
          <w14:textFill>
            <w14:solidFill>
              <w14:schemeClr w14:val="tx1"/>
            </w14:solidFill>
          </w14:textFill>
        </w:rPr>
        <w:t>13. 验收和工程试车</w:t>
      </w:r>
      <w:bookmarkEnd w:id="66"/>
    </w:p>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14:paraId="6D62BA8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13.1 分部分项工程验收</w:t>
      </w:r>
    </w:p>
    <w:p w14:paraId="5595767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13.1.2监理人不能按时进行验收时，应提前</w:t>
      </w:r>
      <w:r>
        <w:rPr>
          <w:rFonts w:hint="eastAsia" w:ascii="宋体" w:hAnsi="宋体" w:cs="宋体"/>
          <w:color w:val="000000" w:themeColor="text1"/>
          <w:sz w:val="24"/>
          <w:szCs w:val="24"/>
          <w:highlight w:val="none"/>
          <w:u w:val="single"/>
          <w14:textFill>
            <w14:solidFill>
              <w14:schemeClr w14:val="tx1"/>
            </w14:solidFill>
          </w14:textFill>
        </w:rPr>
        <w:t>24</w:t>
      </w:r>
      <w:r>
        <w:rPr>
          <w:rFonts w:hint="eastAsia" w:ascii="宋体" w:hAnsi="宋体" w:cs="宋体"/>
          <w:color w:val="000000" w:themeColor="text1"/>
          <w:sz w:val="24"/>
          <w:szCs w:val="24"/>
          <w:highlight w:val="none"/>
          <w14:textFill>
            <w14:solidFill>
              <w14:schemeClr w14:val="tx1"/>
            </w14:solidFill>
          </w14:textFill>
        </w:rPr>
        <w:t>小时提交书面延期要求。</w:t>
      </w:r>
    </w:p>
    <w:p w14:paraId="73E9F51F">
      <w:pPr>
        <w:spacing w:line="360" w:lineRule="auto"/>
        <w:ind w:firstLine="480" w:firstLineChars="200"/>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关于延期最长不得超过：</w:t>
      </w:r>
      <w:r>
        <w:rPr>
          <w:rFonts w:hint="eastAsia" w:ascii="宋体" w:hAnsi="宋体" w:cs="宋体"/>
          <w:color w:val="000000" w:themeColor="text1"/>
          <w:sz w:val="24"/>
          <w:szCs w:val="24"/>
          <w:highlight w:val="none"/>
          <w:u w:val="single"/>
          <w14:textFill>
            <w14:solidFill>
              <w14:schemeClr w14:val="tx1"/>
            </w14:solidFill>
          </w14:textFill>
        </w:rPr>
        <w:t>48</w:t>
      </w:r>
      <w:r>
        <w:rPr>
          <w:rFonts w:hint="eastAsia" w:ascii="宋体" w:hAnsi="宋体" w:cs="宋体"/>
          <w:color w:val="000000" w:themeColor="text1"/>
          <w:sz w:val="24"/>
          <w:szCs w:val="24"/>
          <w:highlight w:val="none"/>
          <w14:textFill>
            <w14:solidFill>
              <w14:schemeClr w14:val="tx1"/>
            </w14:solidFill>
          </w14:textFill>
        </w:rPr>
        <w:t>小时。</w:t>
      </w:r>
    </w:p>
    <w:p w14:paraId="1F0436B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bookmarkStart w:id="83" w:name="_Toc297216224"/>
      <w:bookmarkStart w:id="84" w:name="_Toc303539173"/>
      <w:bookmarkStart w:id="85" w:name="_Toc296503223"/>
      <w:bookmarkStart w:id="86" w:name="_Toc297048409"/>
      <w:bookmarkStart w:id="87" w:name="_Toc296944562"/>
      <w:bookmarkStart w:id="88" w:name="_Toc297123565"/>
      <w:bookmarkStart w:id="89" w:name="_Toc296346724"/>
      <w:bookmarkStart w:id="90" w:name="_Toc292559428"/>
      <w:bookmarkStart w:id="91" w:name="_Toc296891051"/>
      <w:bookmarkStart w:id="92" w:name="_Toc304295596"/>
      <w:bookmarkStart w:id="93" w:name="_Toc297120523"/>
      <w:bookmarkStart w:id="94" w:name="_Toc296891263"/>
      <w:bookmarkStart w:id="95" w:name="_Toc300935016"/>
      <w:bookmarkStart w:id="96" w:name="_Toc292559933"/>
      <w:bookmarkStart w:id="97" w:name="_Toc312678056"/>
      <w:bookmarkStart w:id="98" w:name="_Toc296347222"/>
      <w:bookmarkStart w:id="99" w:name="_Toc267251475"/>
      <w:bookmarkStart w:id="100" w:name="_Toc267251472"/>
      <w:bookmarkStart w:id="101" w:name="_Toc267251470"/>
      <w:bookmarkStart w:id="102" w:name="_Toc267251471"/>
      <w:bookmarkStart w:id="103" w:name="_Toc267251474"/>
      <w:bookmarkStart w:id="104" w:name="_Toc267251473"/>
      <w:bookmarkStart w:id="105" w:name="_Toc267251476"/>
      <w:r>
        <w:rPr>
          <w:rFonts w:hint="eastAsia" w:ascii="宋体" w:hAnsi="宋体" w:cs="宋体"/>
          <w:color w:val="000000" w:themeColor="text1"/>
          <w:sz w:val="24"/>
          <w:szCs w:val="24"/>
          <w:highlight w:val="none"/>
          <w14:textFill>
            <w14:solidFill>
              <w14:schemeClr w14:val="tx1"/>
            </w14:solidFill>
          </w14:textFill>
        </w:rPr>
        <w:t>13.2 竣工验收</w:t>
      </w:r>
    </w:p>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14:paraId="4EB3402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bookmarkStart w:id="106" w:name="_Toc280868704"/>
      <w:bookmarkStart w:id="107" w:name="_Toc280868705"/>
      <w:bookmarkStart w:id="108" w:name="_Toc280868706"/>
      <w:bookmarkStart w:id="109" w:name="_Toc280868707"/>
      <w:bookmarkStart w:id="110" w:name="_Toc280868708"/>
      <w:bookmarkStart w:id="111" w:name="_Toc280868709"/>
      <w:r>
        <w:rPr>
          <w:rFonts w:hint="eastAsia" w:ascii="宋体" w:hAnsi="宋体" w:cs="宋体"/>
          <w:color w:val="000000" w:themeColor="text1"/>
          <w:sz w:val="24"/>
          <w:szCs w:val="24"/>
          <w:highlight w:val="none"/>
          <w14:textFill>
            <w14:solidFill>
              <w14:schemeClr w14:val="tx1"/>
            </w14:solidFill>
          </w14:textFill>
        </w:rPr>
        <w:t>13.2.2竣工验收程序</w:t>
      </w:r>
    </w:p>
    <w:bookmarkEnd w:id="106"/>
    <w:p w14:paraId="56EA8C6B">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关于竣工验收程序的约定：</w:t>
      </w:r>
      <w:r>
        <w:rPr>
          <w:rFonts w:hint="eastAsia" w:ascii="宋体" w:hAnsi="宋体" w:cs="宋体"/>
          <w:color w:val="000000" w:themeColor="text1"/>
          <w:sz w:val="24"/>
          <w:szCs w:val="24"/>
          <w:highlight w:val="none"/>
          <w:u w:val="single"/>
          <w14:textFill>
            <w14:solidFill>
              <w14:schemeClr w14:val="tx1"/>
            </w14:solidFill>
          </w14:textFill>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4DAD1DF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监理人审查后认为已具备竣工验收条件的，应将竣工验收申请报告提交发包人，发包人应在收到经监理人审核的竣工验收申请报告后28天内审批完毕并组织监理人、承包人、勘察、设计人等相关单位完成竣工验收。</w:t>
      </w:r>
    </w:p>
    <w:p w14:paraId="377D3BE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（3）竣工验收合格的，发包人应在验收合格后14天内向承包人签发工程接收证书。发包人无正当理由逾期不颁发工程接收证书的，自验收合格后第15天起视为已颁发工程接收证书。</w:t>
      </w:r>
    </w:p>
    <w:p w14:paraId="6CC0CC3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4）竣工验收不合格的，监理人应按照验收意见发出指示，要求承包人对不合格工程返工、修复或采取其他补救措施，由此增加的费用和延误的工期由承包人承担。承包人在完成不合格工程的返工、修复或采取其他补救措施后，应重新提交竣工验收申请报告，并按本项约定的程序重新进行验收。</w:t>
      </w:r>
    </w:p>
    <w:p w14:paraId="6C65D3D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41CACFF5">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发包人不按照本项约定组织竣工验收、颁发工程接收证书的违约金的计算方法：</w:t>
      </w:r>
      <w:r>
        <w:rPr>
          <w:rFonts w:hint="eastAsia" w:ascii="宋体" w:hAnsi="宋体" w:cs="宋体"/>
          <w:color w:val="000000" w:themeColor="text1"/>
          <w:sz w:val="24"/>
          <w:szCs w:val="24"/>
          <w:highlight w:val="none"/>
          <w:u w:val="single"/>
          <w14:textFill>
            <w14:solidFill>
              <w14:schemeClr w14:val="tx1"/>
            </w14:solidFill>
          </w14:textFill>
        </w:rPr>
        <w:t>每逾期一天，应以签约合同价为基数，按照中国人民银行发布的同期同类贷款基准利率支付违约金</w:t>
      </w:r>
      <w:r>
        <w:rPr>
          <w:rFonts w:hint="eastAsia" w:ascii="宋体" w:hAnsi="宋体" w:cs="宋体"/>
          <w:color w:val="000000" w:themeColor="text1"/>
          <w:sz w:val="24"/>
          <w:szCs w:val="24"/>
          <w:highlight w:val="none"/>
          <w14:textFill>
            <w14:solidFill>
              <w14:schemeClr w14:val="tx1"/>
            </w14:solidFill>
          </w14:textFill>
        </w:rPr>
        <w:t>。</w:t>
      </w:r>
    </w:p>
    <w:bookmarkEnd w:id="107"/>
    <w:p w14:paraId="2FE1A84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13.2.5移交、接收全部与部分工程</w:t>
      </w:r>
    </w:p>
    <w:bookmarkEnd w:id="108"/>
    <w:p w14:paraId="58F14F31">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承包人向发包人移交工程的期限：</w:t>
      </w:r>
      <w:r>
        <w:rPr>
          <w:rFonts w:hint="eastAsia" w:ascii="宋体" w:hAnsi="宋体" w:cs="宋体"/>
          <w:color w:val="000000" w:themeColor="text1"/>
          <w:sz w:val="24"/>
          <w:szCs w:val="24"/>
          <w:highlight w:val="none"/>
          <w:u w:val="single"/>
          <w14:textFill>
            <w14:solidFill>
              <w14:schemeClr w14:val="tx1"/>
            </w14:solidFill>
          </w14:textFill>
        </w:rPr>
        <w:t>自竣工验收合格之日起20天内</w:t>
      </w:r>
      <w:r>
        <w:rPr>
          <w:rFonts w:hint="eastAsia" w:ascii="宋体" w:hAnsi="宋体" w:cs="宋体"/>
          <w:color w:val="000000" w:themeColor="text1"/>
          <w:sz w:val="24"/>
          <w:szCs w:val="24"/>
          <w:highlight w:val="none"/>
          <w14:textFill>
            <w14:solidFill>
              <w14:schemeClr w14:val="tx1"/>
            </w14:solidFill>
          </w14:textFill>
        </w:rPr>
        <w:t>。</w:t>
      </w:r>
    </w:p>
    <w:p w14:paraId="502B0DDC">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发包人未按本合同约定接收全部或部分工程的，违约金的计算方法为：</w:t>
      </w:r>
      <w:r>
        <w:rPr>
          <w:rFonts w:hint="eastAsia" w:ascii="宋体" w:hAnsi="宋体" w:cs="宋体"/>
          <w:color w:val="000000" w:themeColor="text1"/>
          <w:sz w:val="24"/>
          <w:szCs w:val="24"/>
          <w:highlight w:val="none"/>
          <w:u w:val="single"/>
          <w14:textFill>
            <w14:solidFill>
              <w14:schemeClr w14:val="tx1"/>
            </w14:solidFill>
          </w14:textFill>
        </w:rPr>
        <w:t>按照中国人民银行发布的同期同类贷款基准利率支付违约金</w:t>
      </w:r>
      <w:r>
        <w:rPr>
          <w:rFonts w:hint="eastAsia" w:ascii="宋体" w:hAnsi="宋体" w:cs="宋体"/>
          <w:color w:val="000000" w:themeColor="text1"/>
          <w:sz w:val="24"/>
          <w:szCs w:val="24"/>
          <w:highlight w:val="none"/>
          <w14:textFill>
            <w14:solidFill>
              <w14:schemeClr w14:val="tx1"/>
            </w14:solidFill>
          </w14:textFill>
        </w:rPr>
        <w:t>。</w:t>
      </w:r>
    </w:p>
    <w:bookmarkEnd w:id="109"/>
    <w:p w14:paraId="5B819EF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承包人未按时移交工程的，违约金的计算方法为：</w:t>
      </w:r>
      <w:r>
        <w:rPr>
          <w:rFonts w:hint="eastAsia" w:ascii="宋体" w:hAnsi="宋体" w:cs="宋体"/>
          <w:color w:val="000000" w:themeColor="text1"/>
          <w:sz w:val="24"/>
          <w:szCs w:val="24"/>
          <w:highlight w:val="none"/>
          <w:u w:val="single"/>
          <w14:textFill>
            <w14:solidFill>
              <w14:schemeClr w14:val="tx1"/>
            </w14:solidFill>
          </w14:textFill>
        </w:rPr>
        <w:t>如承包人不能及时拆除或清理，对于占用的范围发包人将收取100元/平方米·天的租金，发包人有权派人强行拆除并清理，造成的费用和损失由承包人承担</w:t>
      </w:r>
      <w:r>
        <w:rPr>
          <w:rFonts w:hint="eastAsia" w:ascii="宋体" w:hAnsi="宋体" w:cs="宋体"/>
          <w:color w:val="000000" w:themeColor="text1"/>
          <w:sz w:val="24"/>
          <w:szCs w:val="24"/>
          <w:highlight w:val="none"/>
          <w14:textFill>
            <w14:solidFill>
              <w14:schemeClr w14:val="tx1"/>
            </w14:solidFill>
          </w14:textFill>
        </w:rPr>
        <w:t>。</w:t>
      </w:r>
    </w:p>
    <w:p w14:paraId="6EB2D6ED">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13.3 工程试车</w:t>
      </w:r>
    </w:p>
    <w:bookmarkEnd w:id="110"/>
    <w:p w14:paraId="6E81ECBA">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13.3.1 试车程序</w:t>
      </w:r>
    </w:p>
    <w:p w14:paraId="0FDD7594">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工程试车内容：</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DEB2ECB">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（1）单机无负荷试车费用由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承担；</w:t>
      </w:r>
    </w:p>
    <w:p w14:paraId="65531F86">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（2）无负荷联动试车费用由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承担。</w:t>
      </w:r>
    </w:p>
    <w:p w14:paraId="108C79DB">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13.3.3 投料试车</w:t>
      </w:r>
    </w:p>
    <w:p w14:paraId="6080FEC3">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关于投料试车相关事项的约定：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31FAABE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13.6 竣工退场</w:t>
      </w:r>
    </w:p>
    <w:p w14:paraId="098388CD">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13.6.1 竣工退场</w:t>
      </w:r>
    </w:p>
    <w:p w14:paraId="57994D4F">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承包人完成竣工退场的期限：</w:t>
      </w:r>
      <w:r>
        <w:rPr>
          <w:rFonts w:hint="eastAsia" w:ascii="宋体" w:hAnsi="宋体" w:cs="宋体"/>
          <w:color w:val="000000" w:themeColor="text1"/>
          <w:sz w:val="24"/>
          <w:szCs w:val="24"/>
          <w:highlight w:val="none"/>
          <w:u w:val="single"/>
          <w14:textFill>
            <w14:solidFill>
              <w14:schemeClr w14:val="tx1"/>
            </w14:solidFill>
          </w14:textFill>
        </w:rPr>
        <w:t>自验收结束之日起20天内承包人将工程移交给发包人，撤出全部临建、施工人员、施工机械和剩余材料，并将施工现场及临时占地范围内的所有场地清理干净。</w:t>
      </w:r>
    </w:p>
    <w:p w14:paraId="1C9CDE12">
      <w:pPr>
        <w:pStyle w:val="5"/>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112" w:name="_Toc351203646"/>
      <w:r>
        <w:rPr>
          <w:rFonts w:hint="eastAsia" w:ascii="宋体" w:hAnsi="宋体" w:eastAsia="宋体" w:cs="宋体"/>
          <w:bCs/>
          <w:color w:val="000000" w:themeColor="text1"/>
          <w:sz w:val="24"/>
          <w:szCs w:val="24"/>
          <w:highlight w:val="none"/>
          <w14:textFill>
            <w14:solidFill>
              <w14:schemeClr w14:val="tx1"/>
            </w14:solidFill>
          </w14:textFill>
        </w:rPr>
        <w:t>14. 竣工结算</w:t>
      </w:r>
      <w:bookmarkEnd w:id="112"/>
    </w:p>
    <w:p w14:paraId="210F701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14.1 竣工结算申请</w:t>
      </w:r>
    </w:p>
    <w:p w14:paraId="4DE61765">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承包人提交竣工结算申请单的期限：</w:t>
      </w:r>
      <w:r>
        <w:rPr>
          <w:rFonts w:hint="eastAsia" w:ascii="宋体" w:hAnsi="宋体" w:cs="宋体"/>
          <w:color w:val="000000" w:themeColor="text1"/>
          <w:sz w:val="24"/>
          <w:szCs w:val="24"/>
          <w:highlight w:val="none"/>
          <w:u w:val="single"/>
          <w14:textFill>
            <w14:solidFill>
              <w14:schemeClr w14:val="tx1"/>
            </w14:solidFill>
          </w14:textFill>
        </w:rPr>
        <w:t>承包人应在工程竣工验收合格后28天内向发包人和监理人提交竣工结算申请单，并提交完整的结算资料。</w:t>
      </w:r>
    </w:p>
    <w:p w14:paraId="57A47F08">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审计过程中发包人不再接受承包人提交的任何补充资料，所有遗漏的结算资料均视为承包人做出的优惠，如承包人在两个月内不能交付上述文件资料，则当年不予结算。</w:t>
      </w:r>
    </w:p>
    <w:p w14:paraId="6DF5E2E1">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本工程实行项目施工过程的跟踪审计，涉及工程价款变化和调整的所有资料，未经项目跟踪审计人员签字确认，一律不得作为调整竣工结算价款的依据。</w:t>
      </w:r>
    </w:p>
    <w:p w14:paraId="02D3402C">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本项目竣工结算必须按省住建厅《省住房城乡建设厅关于建筑业实施营改增后江苏省建设工程计价依据调整的通知》（苏建价〔2016〕154号）文件规定执行，采用一般计税方法计算增值税。</w:t>
      </w:r>
    </w:p>
    <w:p w14:paraId="1DB16247">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竣工结算申请单应包括的内容：</w:t>
      </w:r>
      <w:r>
        <w:rPr>
          <w:rFonts w:hint="eastAsia" w:ascii="宋体" w:hAnsi="宋体" w:cs="宋体"/>
          <w:color w:val="000000" w:themeColor="text1"/>
          <w:sz w:val="24"/>
          <w:szCs w:val="24"/>
          <w:highlight w:val="none"/>
          <w:u w:val="single"/>
          <w14:textFill>
            <w14:solidFill>
              <w14:schemeClr w14:val="tx1"/>
            </w14:solidFill>
          </w14:textFill>
        </w:rPr>
        <w:t>结算总价、已支付的工程价款、应支付的竣工付款金额等。如有其它需要，另行协商。承包人应保证竣工结算的确性，如施工单位所报结算经审计后，若审减额(送审额与审定额之差)超过5% (含5%)时(包含图纸变更、材料核价、签证变更核价、合同外增加项目核价等一切中途变更审计内容)</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审计费用全部由承包人支付，审计费的计取标准按照苏价服2014 (383)号文件中工程结算审核的计费标准计取（含基本收费和效益收费）并由承包人直接支付给结算审计咨询单位。结算过程中，审计部门通知承包人核对工程结算，承包人应主动积极配合结算审计工作，如发生不予配合的情况处以5000元/次违约金。</w:t>
      </w:r>
    </w:p>
    <w:p w14:paraId="265FBEB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14.2 竣工结算审核</w:t>
      </w:r>
    </w:p>
    <w:p w14:paraId="213DE8BF">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发包人审批竣工付款申请单的期限：</w:t>
      </w:r>
      <w:r>
        <w:rPr>
          <w:rFonts w:hint="eastAsia" w:ascii="宋体" w:hAnsi="宋体" w:cs="宋体"/>
          <w:color w:val="000000" w:themeColor="text1"/>
          <w:sz w:val="24"/>
          <w:szCs w:val="24"/>
          <w:highlight w:val="none"/>
          <w:u w:val="single"/>
          <w14:textFill>
            <w14:solidFill>
              <w14:schemeClr w14:val="tx1"/>
            </w14:solidFill>
          </w14:textFill>
        </w:rPr>
        <w:t>合同工程完工后，承包人应在竣工验收合格之日起28天内向发包人提交竣工结算报告和完整的竣工结算资料。发包人应在收到承包人提交的竣工结算报告和完整的竣工结算资料后45天内进行审核（或委托审核），并提出初审意见。双方遵守下列规定：</w:t>
      </w:r>
    </w:p>
    <w:p w14:paraId="0C7B15DF">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 发包人、承包人对初审结果无异议的，应在7天内在竣工结算文件上签字确认，竣工结算办理完毕；</w:t>
      </w:r>
    </w:p>
    <w:p w14:paraId="1EDAC598">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 发包人或承包人对初审结果有异议的，无异议部分可按照前款规定办理不完全竣工结算，有异议部分由发承包双方协商解决；协商不成的，按照合同约定的争议解决方式处理；</w:t>
      </w:r>
    </w:p>
    <w:p w14:paraId="13D1CC39">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如承包人自收到初审报告后10天内拒不在竣工结算文件上签署确认，也不能提出具体、详细的不同意见，视同承包人无异议。发包人要求办理竣工验收备案的，承包人不得拒绝提供竣工验收资料，否则，由此造成的损失，承包人承担相应责任；</w:t>
      </w:r>
    </w:p>
    <w:p w14:paraId="050E2632">
      <w:pPr>
        <w:pStyle w:val="27"/>
        <w:ind w:firstLine="480"/>
        <w:rPr>
          <w:color w:val="000000" w:themeColor="text1"/>
          <w:highlight w:val="none"/>
          <w14:textFill>
            <w14:solidFill>
              <w14:schemeClr w14:val="tx1"/>
            </w14:solidFill>
          </w14:textFill>
        </w:rPr>
      </w:pPr>
      <w:r>
        <w:rPr>
          <w:rFonts w:hint="eastAsia" w:cs="宋体"/>
          <w:color w:val="000000" w:themeColor="text1"/>
          <w:sz w:val="24"/>
          <w:szCs w:val="24"/>
          <w:highlight w:val="none"/>
          <w:u w:val="single"/>
          <w14:textFill>
            <w14:solidFill>
              <w14:schemeClr w14:val="tx1"/>
            </w14:solidFill>
          </w14:textFill>
        </w:rPr>
        <w:t>4）结算综合单价={（最后投标报价-暂列金额-专业工程暂估价）/（首轮投标报价-暂列金额-专业工程暂估价）}*首轮报价中的综合单价。</w:t>
      </w:r>
    </w:p>
    <w:p w14:paraId="0C46A65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发包人、承包人对竣工结算审核审计结果无异议的，发包人应在双方签认后14天内，向承包人出具竣工付款证书。</w:t>
      </w:r>
    </w:p>
    <w:p w14:paraId="653DB4A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发包人完成竣工付款的期限：</w:t>
      </w:r>
      <w:r>
        <w:rPr>
          <w:rFonts w:hint="eastAsia" w:ascii="宋体" w:hAnsi="宋体" w:cs="宋体"/>
          <w:color w:val="000000" w:themeColor="text1"/>
          <w:sz w:val="24"/>
          <w:szCs w:val="24"/>
          <w:highlight w:val="none"/>
          <w:u w:val="single"/>
          <w14:textFill>
            <w14:solidFill>
              <w14:schemeClr w14:val="tx1"/>
            </w14:solidFill>
          </w14:textFill>
        </w:rPr>
        <w:t>发包人应在签发竣工付款证书后的14 天内，完成对承包人的竣工付款。发包人逾期支付的，按照中国人民银行发布的同期同类贷款基准利率支付违约金。</w:t>
      </w:r>
    </w:p>
    <w:p w14:paraId="2073544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关于竣工付款证书异议部分复核的方式和程序：</w:t>
      </w:r>
      <w:r>
        <w:rPr>
          <w:rFonts w:hint="eastAsia" w:ascii="宋体" w:hAnsi="宋体" w:cs="宋体"/>
          <w:color w:val="000000" w:themeColor="text1"/>
          <w:sz w:val="24"/>
          <w:szCs w:val="24"/>
          <w:highlight w:val="none"/>
          <w:u w:val="single"/>
          <w14:textFill>
            <w14:solidFill>
              <w14:schemeClr w14:val="tx1"/>
            </w14:solidFill>
          </w14:textFill>
        </w:rPr>
        <w:t>对于有异议部分应在收到发包人签认的竣工付款证书后7天内提出异议，并共同委托给第三方或建设工程造价管理部门鉴证，或按照第20条（争议解决）约定处理。</w:t>
      </w:r>
    </w:p>
    <w:p w14:paraId="2B22AF3D">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14.4 最终结清</w:t>
      </w:r>
    </w:p>
    <w:p w14:paraId="31F7DA3B">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14.4.1 最终结清申请单</w:t>
      </w:r>
    </w:p>
    <w:p w14:paraId="0632106D">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承包人提交最终结清申请单的份数：</w:t>
      </w:r>
      <w:r>
        <w:rPr>
          <w:rFonts w:hint="eastAsia" w:ascii="宋体" w:hAnsi="宋体" w:cs="宋体"/>
          <w:color w:val="000000" w:themeColor="text1"/>
          <w:sz w:val="24"/>
          <w:szCs w:val="24"/>
          <w:highlight w:val="none"/>
          <w:u w:val="single"/>
          <w14:textFill>
            <w14:solidFill>
              <w14:schemeClr w14:val="tx1"/>
            </w14:solidFill>
          </w14:textFill>
        </w:rPr>
        <w:t>5份</w:t>
      </w:r>
      <w:r>
        <w:rPr>
          <w:rFonts w:hint="eastAsia" w:ascii="宋体" w:hAnsi="宋体" w:cs="宋体"/>
          <w:color w:val="000000" w:themeColor="text1"/>
          <w:sz w:val="24"/>
          <w:szCs w:val="24"/>
          <w:highlight w:val="none"/>
          <w14:textFill>
            <w14:solidFill>
              <w14:schemeClr w14:val="tx1"/>
            </w14:solidFill>
          </w14:textFill>
        </w:rPr>
        <w:t>。</w:t>
      </w:r>
    </w:p>
    <w:p w14:paraId="66F039D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承包人提交最终结算申请单的期限：</w:t>
      </w:r>
      <w:r>
        <w:rPr>
          <w:rFonts w:hint="eastAsia" w:ascii="宋体" w:hAnsi="宋体" w:cs="宋体"/>
          <w:color w:val="000000" w:themeColor="text1"/>
          <w:sz w:val="24"/>
          <w:szCs w:val="24"/>
          <w:highlight w:val="none"/>
          <w:u w:val="single"/>
          <w14:textFill>
            <w14:solidFill>
              <w14:schemeClr w14:val="tx1"/>
            </w14:solidFill>
          </w14:textFill>
        </w:rPr>
        <w:t>承包人应在缺陷责任期终止证书颁发后7天内。</w:t>
      </w:r>
    </w:p>
    <w:p w14:paraId="4995E2C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14.4.2 最终结清证书和支付</w:t>
      </w:r>
    </w:p>
    <w:p w14:paraId="7F9786E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（1）发包人完成最终结清申请单的审批并颁发最终结清证书的期限：</w:t>
      </w:r>
      <w:r>
        <w:rPr>
          <w:rFonts w:hint="eastAsia" w:ascii="宋体" w:hAnsi="宋体" w:cs="宋体"/>
          <w:color w:val="000000" w:themeColor="text1"/>
          <w:sz w:val="24"/>
          <w:szCs w:val="24"/>
          <w:highlight w:val="none"/>
          <w:u w:val="single"/>
          <w14:textFill>
            <w14:solidFill>
              <w14:schemeClr w14:val="tx1"/>
            </w14:solidFill>
          </w14:textFill>
        </w:rPr>
        <w:t>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cs="宋体"/>
          <w:color w:val="000000" w:themeColor="text1"/>
          <w:sz w:val="24"/>
          <w:szCs w:val="24"/>
          <w:highlight w:val="none"/>
          <w14:textFill>
            <w14:solidFill>
              <w14:schemeClr w14:val="tx1"/>
            </w14:solidFill>
          </w14:textFill>
        </w:rPr>
        <w:t>。</w:t>
      </w:r>
    </w:p>
    <w:p w14:paraId="20181B8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（2）发包人完成支付的期限：</w:t>
      </w:r>
      <w:r>
        <w:rPr>
          <w:rFonts w:hint="eastAsia" w:ascii="宋体" w:hAnsi="宋体" w:cs="宋体"/>
          <w:color w:val="000000" w:themeColor="text1"/>
          <w:sz w:val="24"/>
          <w:szCs w:val="24"/>
          <w:highlight w:val="none"/>
          <w:u w:val="single"/>
          <w14:textFill>
            <w14:solidFill>
              <w14:schemeClr w14:val="tx1"/>
            </w14:solidFill>
          </w14:textFill>
        </w:rPr>
        <w:t>发包人应在颁发最终结清证书后7天内完成支付。发包人逾期支付的，按照中国人民银行发布的同期同类贷款基准利率支付违约金。</w:t>
      </w:r>
    </w:p>
    <w:bookmarkEnd w:id="99"/>
    <w:bookmarkEnd w:id="100"/>
    <w:bookmarkEnd w:id="101"/>
    <w:bookmarkEnd w:id="102"/>
    <w:bookmarkEnd w:id="103"/>
    <w:bookmarkEnd w:id="104"/>
    <w:bookmarkEnd w:id="105"/>
    <w:bookmarkEnd w:id="111"/>
    <w:p w14:paraId="20E270EE">
      <w:pPr>
        <w:pStyle w:val="5"/>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113" w:name="_Toc351203647"/>
      <w:bookmarkStart w:id="114" w:name="_Toc267251483"/>
      <w:bookmarkStart w:id="115" w:name="_Toc267251482"/>
      <w:bookmarkStart w:id="116" w:name="_Toc267251484"/>
      <w:bookmarkStart w:id="117" w:name="_Toc267251485"/>
      <w:bookmarkStart w:id="118" w:name="_Toc267251486"/>
      <w:bookmarkStart w:id="119" w:name="_Toc267251489"/>
      <w:bookmarkStart w:id="120" w:name="_Toc267251488"/>
      <w:bookmarkStart w:id="121" w:name="_Toc267251490"/>
      <w:bookmarkStart w:id="122" w:name="_Toc267251491"/>
      <w:bookmarkStart w:id="123" w:name="_Toc267251502"/>
      <w:bookmarkStart w:id="124" w:name="_Toc267251499"/>
      <w:bookmarkStart w:id="125" w:name="_Toc267251495"/>
      <w:bookmarkStart w:id="126" w:name="_Toc267251503"/>
      <w:bookmarkStart w:id="127" w:name="_Toc267251492"/>
      <w:bookmarkStart w:id="128" w:name="_Toc267251498"/>
      <w:bookmarkStart w:id="129" w:name="_Toc267251497"/>
      <w:bookmarkStart w:id="130" w:name="_Toc267251493"/>
      <w:bookmarkStart w:id="131" w:name="_Toc267251501"/>
      <w:bookmarkStart w:id="132" w:name="_Toc267251494"/>
      <w:bookmarkStart w:id="133" w:name="_Toc267251496"/>
      <w:bookmarkStart w:id="134" w:name="_Toc267251506"/>
      <w:bookmarkStart w:id="135" w:name="_Toc267251504"/>
      <w:bookmarkStart w:id="136" w:name="_Toc267251507"/>
      <w:bookmarkStart w:id="137" w:name="_Toc267251508"/>
      <w:bookmarkStart w:id="138" w:name="_Toc267251513"/>
      <w:bookmarkStart w:id="139" w:name="_Toc267251514"/>
      <w:bookmarkStart w:id="140" w:name="_Toc267251510"/>
      <w:bookmarkStart w:id="141" w:name="_Toc267251509"/>
      <w:bookmarkStart w:id="142" w:name="_Toc267251511"/>
      <w:bookmarkStart w:id="143" w:name="_Toc267251515"/>
      <w:r>
        <w:rPr>
          <w:rFonts w:hint="eastAsia" w:ascii="宋体" w:hAnsi="宋体" w:eastAsia="宋体" w:cs="宋体"/>
          <w:bCs/>
          <w:color w:val="000000" w:themeColor="text1"/>
          <w:sz w:val="24"/>
          <w:szCs w:val="24"/>
          <w:highlight w:val="none"/>
          <w14:textFill>
            <w14:solidFill>
              <w14:schemeClr w14:val="tx1"/>
            </w14:solidFill>
          </w14:textFill>
        </w:rPr>
        <w:t>15. 缺陷责任期与保修</w:t>
      </w:r>
      <w:bookmarkEnd w:id="113"/>
    </w:p>
    <w:p w14:paraId="165A5ED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15.2缺陷责任期</w:t>
      </w:r>
      <w:bookmarkEnd w:id="114"/>
    </w:p>
    <w:p w14:paraId="5BF573D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缺陷责任期的具体期限：</w:t>
      </w:r>
      <w:r>
        <w:rPr>
          <w:rFonts w:hint="eastAsia" w:ascii="宋体" w:hAnsi="宋体" w:cs="宋体"/>
          <w:color w:val="000000" w:themeColor="text1"/>
          <w:sz w:val="24"/>
          <w:szCs w:val="24"/>
          <w:highlight w:val="none"/>
          <w:u w:val="single"/>
          <w14:textFill>
            <w14:solidFill>
              <w14:schemeClr w14:val="tx1"/>
            </w14:solidFill>
          </w14:textFill>
        </w:rPr>
        <w:t>自工程竣工验收合格之日起24个月</w:t>
      </w:r>
      <w:r>
        <w:rPr>
          <w:rFonts w:hint="eastAsia" w:ascii="宋体" w:hAnsi="宋体" w:cs="宋体"/>
          <w:color w:val="000000" w:themeColor="text1"/>
          <w:sz w:val="24"/>
          <w:szCs w:val="24"/>
          <w:highlight w:val="none"/>
          <w14:textFill>
            <w14:solidFill>
              <w14:schemeClr w14:val="tx1"/>
            </w14:solidFill>
          </w14:textFill>
        </w:rPr>
        <w:t>。</w:t>
      </w:r>
    </w:p>
    <w:p w14:paraId="11B1EEC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15.3 质量保证金</w:t>
      </w:r>
    </w:p>
    <w:p w14:paraId="3DEE57B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关于是否扣留质量保证金的约定：</w:t>
      </w:r>
      <w:r>
        <w:rPr>
          <w:rFonts w:hint="eastAsia" w:ascii="宋体" w:hAnsi="宋体" w:cs="宋体"/>
          <w:color w:val="000000" w:themeColor="text1"/>
          <w:kern w:val="0"/>
          <w:sz w:val="24"/>
          <w:szCs w:val="24"/>
          <w:highlight w:val="none"/>
          <w:u w:val="single"/>
          <w14:textFill>
            <w14:solidFill>
              <w14:schemeClr w14:val="tx1"/>
            </w14:solidFill>
          </w14:textFill>
        </w:rPr>
        <w:t>竣工结算经审计部门审计结束，</w:t>
      </w:r>
      <w:r>
        <w:rPr>
          <w:rFonts w:hint="eastAsia" w:ascii="宋体" w:hAnsi="宋体" w:cs="宋体"/>
          <w:color w:val="000000" w:themeColor="text1"/>
          <w:kern w:val="0"/>
          <w:sz w:val="24"/>
          <w:szCs w:val="24"/>
          <w:highlight w:val="none"/>
          <w:u w:val="single"/>
          <w:lang w:eastAsia="zh-CN"/>
          <w14:textFill>
            <w14:solidFill>
              <w14:schemeClr w14:val="tx1"/>
            </w14:solidFill>
          </w14:textFill>
        </w:rPr>
        <w:t>承包人</w:t>
      </w:r>
      <w:r>
        <w:rPr>
          <w:rFonts w:hint="eastAsia" w:ascii="宋体" w:hAnsi="宋体" w:cs="宋体"/>
          <w:color w:val="000000" w:themeColor="text1"/>
          <w:kern w:val="0"/>
          <w:sz w:val="24"/>
          <w:szCs w:val="24"/>
          <w:highlight w:val="none"/>
          <w:u w:val="single"/>
          <w14:textFill>
            <w14:solidFill>
              <w14:schemeClr w14:val="tx1"/>
            </w14:solidFill>
          </w14:textFill>
        </w:rPr>
        <w:t>提交质量保证金（结算审定价的3%）至采购人账户</w:t>
      </w:r>
      <w:r>
        <w:rPr>
          <w:rFonts w:hint="eastAsia" w:ascii="宋体" w:hAnsi="宋体" w:cs="宋体"/>
          <w:color w:val="000000" w:themeColor="text1"/>
          <w:sz w:val="24"/>
          <w:szCs w:val="24"/>
          <w:highlight w:val="none"/>
          <w:u w:val="single"/>
          <w14:textFill>
            <w14:solidFill>
              <w14:schemeClr w14:val="tx1"/>
            </w14:solidFill>
          </w14:textFill>
        </w:rPr>
        <w:t>。</w:t>
      </w:r>
    </w:p>
    <w:p w14:paraId="3548F70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15.3.1 承包人提供质量保证金的方式</w:t>
      </w:r>
    </w:p>
    <w:p w14:paraId="41C8EC2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质量保证金采用以下第</w:t>
      </w: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种方式：</w:t>
      </w:r>
    </w:p>
    <w:p w14:paraId="7C78432B">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（1）质量保证金保函，保证金额为：</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 xml:space="preserve">； </w:t>
      </w:r>
    </w:p>
    <w:p w14:paraId="35A7E4E6">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kern w:val="0"/>
          <w:sz w:val="24"/>
          <w:szCs w:val="24"/>
          <w:highlight w:val="none"/>
          <w14:textFill>
            <w14:solidFill>
              <w14:schemeClr w14:val="tx1"/>
            </w14:solidFill>
          </w14:textFill>
        </w:rPr>
        <w:t>%的工程款；</w:t>
      </w:r>
    </w:p>
    <w:p w14:paraId="05EC22C2">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（3）其他方式:</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u w:val="single"/>
          <w14:textFill>
            <w14:solidFill>
              <w14:schemeClr w14:val="tx1"/>
            </w14:solidFill>
          </w14:textFill>
        </w:rPr>
        <w:t>竣工结算经审计部门审计结束，</w:t>
      </w:r>
      <w:r>
        <w:rPr>
          <w:rFonts w:hint="eastAsia" w:ascii="宋体" w:hAnsi="宋体" w:cs="宋体"/>
          <w:color w:val="000000" w:themeColor="text1"/>
          <w:kern w:val="0"/>
          <w:sz w:val="24"/>
          <w:szCs w:val="24"/>
          <w:highlight w:val="none"/>
          <w:u w:val="single"/>
          <w:lang w:eastAsia="zh-CN"/>
          <w14:textFill>
            <w14:solidFill>
              <w14:schemeClr w14:val="tx1"/>
            </w14:solidFill>
          </w14:textFill>
        </w:rPr>
        <w:t>承包人</w:t>
      </w:r>
      <w:r>
        <w:rPr>
          <w:rFonts w:hint="eastAsia" w:ascii="宋体" w:hAnsi="宋体" w:cs="宋体"/>
          <w:color w:val="000000" w:themeColor="text1"/>
          <w:kern w:val="0"/>
          <w:sz w:val="24"/>
          <w:szCs w:val="24"/>
          <w:highlight w:val="none"/>
          <w:u w:val="single"/>
          <w14:textFill>
            <w14:solidFill>
              <w14:schemeClr w14:val="tx1"/>
            </w14:solidFill>
          </w14:textFill>
        </w:rPr>
        <w:t>提交质量保证金（结算审定价的3%）至采购人账户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1222D9D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15.3.2 质量保证金的扣留 </w:t>
      </w:r>
    </w:p>
    <w:p w14:paraId="0494742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质量保证金的扣留采取以下第</w:t>
      </w:r>
      <w:r>
        <w:rPr>
          <w:rFonts w:hint="eastAsia"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种方式：</w:t>
      </w:r>
    </w:p>
    <w:p w14:paraId="48D25871">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（1）在支付工程进度款时逐次扣留，在此情形下，质量保证金的计算基数不包括预付款的支付、扣回以及价格调整的金额；</w:t>
      </w:r>
    </w:p>
    <w:p w14:paraId="635098F2">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（2）工程竣工结算时一次性扣留质量保证金；</w:t>
      </w:r>
    </w:p>
    <w:p w14:paraId="392443C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（3）其他扣留方式:</w:t>
      </w:r>
      <w:r>
        <w:rPr>
          <w:rFonts w:hint="eastAsia" w:ascii="宋体" w:hAnsi="宋体" w:cs="宋体"/>
          <w:color w:val="000000" w:themeColor="text1"/>
          <w:kern w:val="0"/>
          <w:sz w:val="24"/>
          <w:szCs w:val="24"/>
          <w:highlight w:val="none"/>
          <w:u w:val="single"/>
          <w14:textFill>
            <w14:solidFill>
              <w14:schemeClr w14:val="tx1"/>
            </w14:solidFill>
          </w14:textFill>
        </w:rPr>
        <w:t>竣工结算经审计部门审计结束，</w:t>
      </w:r>
      <w:r>
        <w:rPr>
          <w:rFonts w:hint="eastAsia" w:ascii="宋体" w:hAnsi="宋体" w:cs="宋体"/>
          <w:color w:val="000000" w:themeColor="text1"/>
          <w:kern w:val="0"/>
          <w:sz w:val="24"/>
          <w:szCs w:val="24"/>
          <w:highlight w:val="none"/>
          <w:u w:val="single"/>
          <w:lang w:eastAsia="zh-CN"/>
          <w14:textFill>
            <w14:solidFill>
              <w14:schemeClr w14:val="tx1"/>
            </w14:solidFill>
          </w14:textFill>
        </w:rPr>
        <w:t>承包人</w:t>
      </w:r>
      <w:r>
        <w:rPr>
          <w:rFonts w:hint="eastAsia" w:ascii="宋体" w:hAnsi="宋体" w:cs="宋体"/>
          <w:color w:val="000000" w:themeColor="text1"/>
          <w:kern w:val="0"/>
          <w:sz w:val="24"/>
          <w:szCs w:val="24"/>
          <w:highlight w:val="none"/>
          <w:u w:val="single"/>
          <w14:textFill>
            <w14:solidFill>
              <w14:schemeClr w14:val="tx1"/>
            </w14:solidFill>
          </w14:textFill>
        </w:rPr>
        <w:t>提交质量保证金（结算审定价的3%）至采购人账户</w:t>
      </w:r>
      <w:r>
        <w:rPr>
          <w:rFonts w:hint="eastAsia" w:ascii="宋体" w:hAnsi="宋体" w:cs="宋体"/>
          <w:color w:val="000000" w:themeColor="text1"/>
          <w:sz w:val="24"/>
          <w:szCs w:val="24"/>
          <w:highlight w:val="none"/>
          <w:u w:val="single"/>
          <w14:textFill>
            <w14:solidFill>
              <w14:schemeClr w14:val="tx1"/>
            </w14:solidFill>
          </w14:textFill>
        </w:rPr>
        <w:t>。</w:t>
      </w:r>
    </w:p>
    <w:p w14:paraId="07F2D2C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关于质量保证金的补充约定</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kern w:val="0"/>
          <w:sz w:val="24"/>
          <w:szCs w:val="24"/>
          <w:highlight w:val="none"/>
          <w:u w:val="single"/>
          <w14:textFill>
            <w14:solidFill>
              <w14:schemeClr w14:val="tx1"/>
            </w14:solidFill>
          </w14:textFill>
        </w:rPr>
        <w:t>质保期满后</w:t>
      </w:r>
      <w:r>
        <w:rPr>
          <w:rFonts w:ascii="宋体" w:hAnsi="宋体" w:cs="宋体"/>
          <w:color w:val="000000" w:themeColor="text1"/>
          <w:kern w:val="0"/>
          <w:sz w:val="24"/>
          <w:szCs w:val="24"/>
          <w:highlight w:val="none"/>
          <w:u w:val="single"/>
          <w14:textFill>
            <w14:solidFill>
              <w14:schemeClr w14:val="tx1"/>
            </w14:solidFill>
          </w14:textFill>
        </w:rPr>
        <w:t>，无质量问题退还质保金（无息）。</w:t>
      </w:r>
    </w:p>
    <w:bookmarkEnd w:id="115"/>
    <w:bookmarkEnd w:id="116"/>
    <w:p w14:paraId="1BB9614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15.4保修</w:t>
      </w:r>
    </w:p>
    <w:bookmarkEnd w:id="117"/>
    <w:p w14:paraId="34A2209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15.4.1 保修责任</w:t>
      </w:r>
    </w:p>
    <w:p w14:paraId="2B21A82C">
      <w:pPr>
        <w:spacing w:line="360" w:lineRule="auto"/>
        <w:ind w:firstLine="468" w:firstLineChars="195"/>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工程保修期为：</w:t>
      </w:r>
      <w:r>
        <w:rPr>
          <w:rFonts w:hint="eastAsia" w:ascii="宋体" w:hAnsi="宋体" w:cs="宋体"/>
          <w:color w:val="000000" w:themeColor="text1"/>
          <w:sz w:val="24"/>
          <w:szCs w:val="24"/>
          <w:highlight w:val="none"/>
          <w:u w:val="single"/>
          <w14:textFill>
            <w14:solidFill>
              <w14:schemeClr w14:val="tx1"/>
            </w14:solidFill>
          </w14:textFill>
        </w:rPr>
        <w:t>详见“附件1：工程质量保修书”。</w:t>
      </w:r>
    </w:p>
    <w:p w14:paraId="54445DA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15.4.3 修复通知</w:t>
      </w:r>
    </w:p>
    <w:p w14:paraId="434E300E">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承包人收到保修通知并到达工程现场的合理时间：</w:t>
      </w:r>
      <w:r>
        <w:rPr>
          <w:rFonts w:hint="eastAsia" w:ascii="宋体" w:hAnsi="宋体" w:cs="宋体"/>
          <w:color w:val="000000" w:themeColor="text1"/>
          <w:sz w:val="24"/>
          <w:szCs w:val="24"/>
          <w:highlight w:val="none"/>
          <w:u w:val="single"/>
          <w14:textFill>
            <w14:solidFill>
              <w14:schemeClr w14:val="tx1"/>
            </w14:solidFill>
          </w14:textFill>
        </w:rPr>
        <w:t>（1）在质保期内，承包人在接发包人通知后，  小时内响应，省内的在  小时内，省外的在  小时内，赶到甲方现场，免费予以排除故障、修复或更换零部件,还应支付因更换所发生的运输、保险、安装、检测等有关的全部费用。（2）质保期满后，如出现问题，承包人在接发包人通知后，仍应在上述时间内响应、派人赶到现场，帮助排除故障、修复或更换零部件，需购买零部件时，酌情收取成本费。</w:t>
      </w:r>
    </w:p>
    <w:bookmarkEnd w:id="118"/>
    <w:bookmarkEnd w:id="119"/>
    <w:bookmarkEnd w:id="120"/>
    <w:bookmarkEnd w:id="121"/>
    <w:p w14:paraId="78E48E1E">
      <w:pPr>
        <w:pStyle w:val="5"/>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144" w:name="_Toc351203648"/>
      <w:bookmarkStart w:id="145" w:name="_Toc280868717"/>
      <w:bookmarkStart w:id="146" w:name="_Toc280868718"/>
      <w:r>
        <w:rPr>
          <w:rFonts w:hint="eastAsia" w:ascii="宋体" w:hAnsi="宋体" w:eastAsia="宋体" w:cs="宋体"/>
          <w:bCs/>
          <w:color w:val="000000" w:themeColor="text1"/>
          <w:sz w:val="24"/>
          <w:szCs w:val="24"/>
          <w:highlight w:val="none"/>
          <w14:textFill>
            <w14:solidFill>
              <w14:schemeClr w14:val="tx1"/>
            </w14:solidFill>
          </w14:textFill>
        </w:rPr>
        <w:t>16. 违约</w:t>
      </w:r>
      <w:bookmarkEnd w:id="144"/>
    </w:p>
    <w:p w14:paraId="7ED8B96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 发包人违约</w:t>
      </w:r>
    </w:p>
    <w:p w14:paraId="6E0757F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16.1.1发包人违约的情形</w:t>
      </w:r>
    </w:p>
    <w:p w14:paraId="6836CC28">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发包人违约的其他情形：</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kern w:val="0"/>
          <w:sz w:val="24"/>
          <w:szCs w:val="24"/>
          <w:highlight w:val="none"/>
          <w14:textFill>
            <w14:solidFill>
              <w14:schemeClr w14:val="tx1"/>
            </w14:solidFill>
          </w14:textFill>
        </w:rPr>
        <w:t>。</w:t>
      </w:r>
    </w:p>
    <w:p w14:paraId="7D02258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16.1.2 发包人违约的责任</w:t>
      </w:r>
    </w:p>
    <w:p w14:paraId="1E218DD0">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发包人违约责任的承担方式和计算方法：</w:t>
      </w:r>
    </w:p>
    <w:p w14:paraId="10892F49">
      <w:pPr>
        <w:spacing w:line="360" w:lineRule="auto"/>
        <w:ind w:firstLine="480" w:firstLineChars="200"/>
        <w:jc w:val="left"/>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（1）因发包人原因未能在计划开工日期前7天内下达开工通知的违约责任：</w:t>
      </w:r>
      <w:r>
        <w:rPr>
          <w:rFonts w:hint="eastAsia" w:ascii="宋体" w:hAnsi="宋体" w:cs="宋体"/>
          <w:color w:val="000000" w:themeColor="text1"/>
          <w:sz w:val="24"/>
          <w:szCs w:val="24"/>
          <w:highlight w:val="none"/>
          <w:u w:val="single"/>
          <w14:textFill>
            <w14:solidFill>
              <w14:schemeClr w14:val="tx1"/>
            </w14:solidFill>
          </w14:textFill>
        </w:rPr>
        <w:t>相应工期顺延</w:t>
      </w:r>
      <w:r>
        <w:rPr>
          <w:rFonts w:hint="eastAsia" w:ascii="宋体" w:hAnsi="宋体" w:cs="宋体"/>
          <w:color w:val="000000" w:themeColor="text1"/>
          <w:kern w:val="0"/>
          <w:sz w:val="24"/>
          <w:szCs w:val="24"/>
          <w:highlight w:val="none"/>
          <w14:textFill>
            <w14:solidFill>
              <w14:schemeClr w14:val="tx1"/>
            </w14:solidFill>
          </w14:textFill>
        </w:rPr>
        <w:t>。</w:t>
      </w:r>
    </w:p>
    <w:p w14:paraId="3705B1A7">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（2）因发包人原因未能按合同约定支付合同价款的违约责任：</w:t>
      </w:r>
      <w:r>
        <w:rPr>
          <w:rFonts w:hint="eastAsia" w:ascii="宋体" w:hAnsi="宋体" w:cs="宋体"/>
          <w:color w:val="000000" w:themeColor="text1"/>
          <w:sz w:val="24"/>
          <w:szCs w:val="24"/>
          <w:highlight w:val="none"/>
          <w:u w:val="single"/>
          <w14:textFill>
            <w14:solidFill>
              <w14:schemeClr w14:val="tx1"/>
            </w14:solidFill>
          </w14:textFill>
        </w:rPr>
        <w:t>按照中国人民银行发布的同期同类贷款基准利率支付违约金</w:t>
      </w:r>
      <w:r>
        <w:rPr>
          <w:rFonts w:hint="eastAsia" w:ascii="宋体" w:hAnsi="宋体" w:cs="宋体"/>
          <w:color w:val="000000" w:themeColor="text1"/>
          <w:kern w:val="0"/>
          <w:sz w:val="24"/>
          <w:szCs w:val="24"/>
          <w:highlight w:val="none"/>
          <w14:textFill>
            <w14:solidFill>
              <w14:schemeClr w14:val="tx1"/>
            </w14:solidFill>
          </w14:textFill>
        </w:rPr>
        <w:t>。</w:t>
      </w:r>
    </w:p>
    <w:p w14:paraId="7D9D5F8E">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（3）发包人违反第10.1款〔变更的范围〕第（2）项约定，自行实施被取消的工作或转由他人实施的违约责任:</w:t>
      </w:r>
      <w:r>
        <w:rPr>
          <w:rFonts w:hint="eastAsia" w:ascii="宋体" w:hAnsi="宋体" w:cs="宋体"/>
          <w:color w:val="000000" w:themeColor="text1"/>
          <w:sz w:val="24"/>
          <w:szCs w:val="24"/>
          <w:highlight w:val="none"/>
          <w:u w:val="single"/>
          <w14:textFill>
            <w14:solidFill>
              <w14:schemeClr w14:val="tx1"/>
            </w14:solidFill>
          </w14:textFill>
        </w:rPr>
        <w:t>按自行实施被取消的工作或转由他人实施的工程造价的2%支付违约金。</w:t>
      </w:r>
    </w:p>
    <w:p w14:paraId="1EC5433E">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sz w:val="24"/>
          <w:szCs w:val="24"/>
          <w:highlight w:val="none"/>
          <w:u w:val="single"/>
          <w14:textFill>
            <w14:solidFill>
              <w14:schemeClr w14:val="tx1"/>
            </w14:solidFill>
          </w14:textFill>
        </w:rPr>
        <w:t>（1）如造成工期延误的，工期相应顺延，经济损失由承包人自行承担。</w:t>
      </w:r>
    </w:p>
    <w:p w14:paraId="51DF31DC">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（2）当发包人与承包人对乙供材的价格、质量等原因发生争议时，发包人保留将乙供材改为甲供的权利。该部分材料的价格按投标价从承包人的合同价款中扣除。</w:t>
      </w:r>
    </w:p>
    <w:p w14:paraId="083A01A8">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（3）承包人投标报价时必须按清单编制说明中材料品牌要求报品牌，如未按照清单编制说明报价，发包人保留将乙供材改为甲供的权利 ，该部分材料的价格按采购价从承包人的合同价款中扣除。</w:t>
      </w:r>
    </w:p>
    <w:p w14:paraId="43240B68">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（5）因发包人违反合同约定造成暂停施工的违约责任：</w:t>
      </w:r>
      <w:r>
        <w:rPr>
          <w:rFonts w:hint="eastAsia" w:ascii="宋体" w:hAnsi="宋体" w:cs="宋体"/>
          <w:color w:val="000000" w:themeColor="text1"/>
          <w:sz w:val="24"/>
          <w:szCs w:val="24"/>
          <w:highlight w:val="none"/>
          <w:u w:val="single"/>
          <w14:textFill>
            <w14:solidFill>
              <w14:schemeClr w14:val="tx1"/>
            </w14:solidFill>
          </w14:textFill>
        </w:rPr>
        <w:t>如造成工期延误的，工期相应顺延，经济损失由承包人自行承担。</w:t>
      </w:r>
    </w:p>
    <w:p w14:paraId="70025EF4">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（6）发包人无正当理由没有在约定期限内发出复工指示，导致承包人无法复工的违约责任：</w:t>
      </w:r>
      <w:r>
        <w:rPr>
          <w:rFonts w:hint="eastAsia" w:ascii="宋体" w:hAnsi="宋体" w:cs="宋体"/>
          <w:color w:val="000000" w:themeColor="text1"/>
          <w:sz w:val="24"/>
          <w:szCs w:val="24"/>
          <w:highlight w:val="none"/>
          <w:u w:val="single"/>
          <w14:textFill>
            <w14:solidFill>
              <w14:schemeClr w14:val="tx1"/>
            </w14:solidFill>
          </w14:textFill>
        </w:rPr>
        <w:t>如造成工期延误的，工期相应顺延，经济损失由承包人自行承担。</w:t>
      </w:r>
    </w:p>
    <w:p w14:paraId="406889C8">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（7）其他：</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kern w:val="0"/>
          <w:sz w:val="24"/>
          <w:szCs w:val="24"/>
          <w:highlight w:val="none"/>
          <w14:textFill>
            <w14:solidFill>
              <w14:schemeClr w14:val="tx1"/>
            </w14:solidFill>
          </w14:textFill>
        </w:rPr>
        <w:t>。</w:t>
      </w:r>
    </w:p>
    <w:p w14:paraId="6C49AF2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16.1.3 因发包人违约解除合同</w:t>
      </w:r>
    </w:p>
    <w:p w14:paraId="494D45D5">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承包人按16.1.1项〔发包人违约的情形〕约定暂停施工满</w:t>
      </w:r>
      <w:r>
        <w:rPr>
          <w:rFonts w:hint="eastAsia" w:ascii="宋体" w:hAnsi="宋体" w:cs="宋体"/>
          <w:color w:val="000000" w:themeColor="text1"/>
          <w:sz w:val="24"/>
          <w:szCs w:val="24"/>
          <w:highlight w:val="none"/>
          <w:u w:val="single"/>
          <w14:textFill>
            <w14:solidFill>
              <w14:schemeClr w14:val="tx1"/>
            </w14:solidFill>
          </w14:textFill>
        </w:rPr>
        <w:t>28</w:t>
      </w:r>
      <w:r>
        <w:rPr>
          <w:rFonts w:hint="eastAsia" w:ascii="宋体" w:hAnsi="宋体" w:cs="宋体"/>
          <w:color w:val="000000" w:themeColor="text1"/>
          <w:kern w:val="0"/>
          <w:sz w:val="24"/>
          <w:szCs w:val="24"/>
          <w:highlight w:val="none"/>
          <w14:textFill>
            <w14:solidFill>
              <w14:schemeClr w14:val="tx1"/>
            </w14:solidFill>
          </w14:textFill>
        </w:rPr>
        <w:t>天后发包人仍不纠正其违约行为并致使合同目的不能实现的，承包人有权解除合同。</w:t>
      </w:r>
    </w:p>
    <w:p w14:paraId="088DBB4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16.2 承包人违约</w:t>
      </w:r>
    </w:p>
    <w:p w14:paraId="4344F07D">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16.2.1 承包人违约的情形</w:t>
      </w:r>
    </w:p>
    <w:p w14:paraId="1608EBE2">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承包人违约的其他情形：</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kern w:val="0"/>
          <w:sz w:val="24"/>
          <w:szCs w:val="24"/>
          <w:highlight w:val="none"/>
          <w14:textFill>
            <w14:solidFill>
              <w14:schemeClr w14:val="tx1"/>
            </w14:solidFill>
          </w14:textFill>
        </w:rPr>
        <w:t>。</w:t>
      </w:r>
    </w:p>
    <w:p w14:paraId="0FD3138A">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16.2.2承包人违约的责任</w:t>
      </w:r>
    </w:p>
    <w:p w14:paraId="5195675A">
      <w:pPr>
        <w:spacing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承包人违约责任的承担方式和计算方法：</w:t>
      </w:r>
      <w:r>
        <w:rPr>
          <w:rFonts w:hint="eastAsia" w:ascii="宋体" w:hAnsi="宋体" w:cs="宋体"/>
          <w:color w:val="000000" w:themeColor="text1"/>
          <w:sz w:val="24"/>
          <w:szCs w:val="24"/>
          <w:highlight w:val="none"/>
          <w:u w:val="single"/>
          <w14:textFill>
            <w14:solidFill>
              <w14:schemeClr w14:val="tx1"/>
            </w14:solidFill>
          </w14:textFill>
        </w:rPr>
        <w:t>违约金为5000元/天向发包人支付逾期竣工违约金，当工期延误达到九天时，发包人有要求承包人退场，并赔偿发包人一切损失。总额不超过合同价款的2%。</w:t>
      </w:r>
    </w:p>
    <w:p w14:paraId="4C4CA489">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双方约定的承包人其他违约责任：因承包人原因未依据本合同履行义务，完成本工程范围的工作，发包人有权按以下约定向承包人收取违约金。</w:t>
      </w:r>
    </w:p>
    <w:p w14:paraId="19D1E2F3">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A、工期延误：如由于承包人自身原因，在合同履行过程中或至合同计划竣工之日，承包人未能完成按施工组织设计计划累计应完工程量的80%，造成（或可能造成）整个工程不能按合同约定如期竣工，发包人有权停止支付工程款并有权将其中部分工程委托他人进行施工，委托他人进行施工产生的费用加收10%的管理费后从承包人的合同款内扣除。 </w:t>
      </w:r>
    </w:p>
    <w:p w14:paraId="561BBCFC">
      <w:pPr>
        <w:spacing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B、因承包人原因导致技术文件（包括竣工图纸、变更（签证）等）未能按约定时间提交，每迟一天，发包人在支付给承包人的工程款内扣除1000元的违约金。违约金的扣除并不解除承包人继续交付上述技术文件的义务。</w:t>
      </w:r>
    </w:p>
    <w:p w14:paraId="29E5CA46">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C、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70%给予结算，承包人并承担由此而给发包人造成的一切损失。</w:t>
      </w:r>
      <w:r>
        <w:rPr>
          <w:rFonts w:hint="eastAsia" w:ascii="宋体" w:hAnsi="宋体" w:cs="宋体"/>
          <w:color w:val="000000" w:themeColor="text1"/>
          <w:sz w:val="24"/>
          <w:szCs w:val="24"/>
          <w:highlight w:val="none"/>
          <w14:textFill>
            <w14:solidFill>
              <w14:schemeClr w14:val="tx1"/>
            </w14:solidFill>
          </w14:textFill>
        </w:rPr>
        <w:t xml:space="preserve"> </w:t>
      </w:r>
    </w:p>
    <w:p w14:paraId="41A916E9">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ascii="宋体" w:hAnsi="宋体" w:cs="宋体"/>
          <w:color w:val="000000" w:themeColor="text1"/>
          <w:sz w:val="24"/>
          <w:szCs w:val="24"/>
          <w:highlight w:val="none"/>
          <w:u w:val="single"/>
          <w14:textFill>
            <w14:solidFill>
              <w14:schemeClr w14:val="tx1"/>
            </w14:solidFill>
          </w14:textFill>
        </w:rPr>
        <w:t>D</w:t>
      </w:r>
      <w:r>
        <w:rPr>
          <w:rFonts w:hint="eastAsia" w:ascii="宋体" w:hAnsi="宋体" w:cs="宋体"/>
          <w:color w:val="000000" w:themeColor="text1"/>
          <w:sz w:val="24"/>
          <w:szCs w:val="24"/>
          <w:highlight w:val="none"/>
          <w:u w:val="single"/>
          <w14:textFill>
            <w14:solidFill>
              <w14:schemeClr w14:val="tx1"/>
            </w14:solidFill>
          </w14:textFill>
        </w:rPr>
        <w:t>、未经发包人同意，项目使用的设备、材料不符合招投标文件要求，承包人向发包人支付10000元/次的违约金</w:t>
      </w:r>
    </w:p>
    <w:p w14:paraId="7A0FB893">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E、承包人未按合同约定提交符合发包人要求的结算资料的，承包人向发包人支付1万元违约金。</w:t>
      </w:r>
    </w:p>
    <w:p w14:paraId="092DAAC4">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F、承包人</w:t>
      </w:r>
      <w:r>
        <w:rPr>
          <w:rFonts w:ascii="宋体" w:hAnsi="宋体" w:cs="宋体"/>
          <w:color w:val="000000" w:themeColor="text1"/>
          <w:sz w:val="24"/>
          <w:szCs w:val="24"/>
          <w:highlight w:val="none"/>
          <w:u w:val="single"/>
          <w14:textFill>
            <w14:solidFill>
              <w14:schemeClr w14:val="tx1"/>
            </w14:solidFill>
          </w14:textFill>
        </w:rPr>
        <w:t>应充分熟悉图纸，并在合同签订后</w:t>
      </w:r>
      <w:r>
        <w:rPr>
          <w:rFonts w:hint="eastAsia" w:ascii="宋体" w:hAnsi="宋体" w:cs="宋体"/>
          <w:color w:val="000000" w:themeColor="text1"/>
          <w:sz w:val="24"/>
          <w:szCs w:val="24"/>
          <w:highlight w:val="none"/>
          <w:u w:val="single"/>
          <w:lang w:val="en-US" w:eastAsia="zh-CN"/>
          <w14:textFill>
            <w14:solidFill>
              <w14:schemeClr w14:val="tx1"/>
            </w14:solidFill>
          </w14:textFill>
        </w:rPr>
        <w:t>5</w:t>
      </w:r>
      <w:r>
        <w:rPr>
          <w:rFonts w:hint="eastAsia" w:ascii="宋体" w:hAnsi="宋体" w:cs="宋体"/>
          <w:color w:val="000000" w:themeColor="text1"/>
          <w:sz w:val="24"/>
          <w:szCs w:val="24"/>
          <w:highlight w:val="none"/>
          <w:u w:val="single"/>
          <w14:textFill>
            <w14:solidFill>
              <w14:schemeClr w14:val="tx1"/>
            </w14:solidFill>
          </w14:textFill>
        </w:rPr>
        <w:t>天内</w:t>
      </w:r>
      <w:r>
        <w:rPr>
          <w:rFonts w:ascii="宋体" w:hAnsi="宋体" w:cs="宋体"/>
          <w:color w:val="000000" w:themeColor="text1"/>
          <w:sz w:val="24"/>
          <w:szCs w:val="24"/>
          <w:highlight w:val="none"/>
          <w:u w:val="single"/>
          <w14:textFill>
            <w14:solidFill>
              <w14:schemeClr w14:val="tx1"/>
            </w14:solidFill>
          </w14:textFill>
        </w:rPr>
        <w:t>提供工程量清单复核报告，未能及时</w:t>
      </w:r>
      <w:r>
        <w:rPr>
          <w:rFonts w:hint="eastAsia" w:ascii="宋体" w:hAnsi="宋体" w:cs="宋体"/>
          <w:color w:val="000000" w:themeColor="text1"/>
          <w:sz w:val="24"/>
          <w:szCs w:val="24"/>
          <w:highlight w:val="none"/>
          <w:u w:val="single"/>
          <w14:textFill>
            <w14:solidFill>
              <w14:schemeClr w14:val="tx1"/>
            </w14:solidFill>
          </w14:textFill>
        </w:rPr>
        <w:t>提供的每延误一天处以1000元违约金，</w:t>
      </w:r>
      <w:r>
        <w:rPr>
          <w:rFonts w:ascii="宋体" w:hAnsi="宋体" w:cs="宋体"/>
          <w:color w:val="000000" w:themeColor="text1"/>
          <w:sz w:val="24"/>
          <w:szCs w:val="24"/>
          <w:highlight w:val="none"/>
          <w:u w:val="single"/>
          <w14:textFill>
            <w14:solidFill>
              <w14:schemeClr w14:val="tx1"/>
            </w14:solidFill>
          </w14:textFill>
        </w:rPr>
        <w:t>工程量清单复核报告</w:t>
      </w:r>
      <w:r>
        <w:rPr>
          <w:rFonts w:hint="eastAsia" w:ascii="宋体" w:hAnsi="宋体" w:cs="宋体"/>
          <w:color w:val="000000" w:themeColor="text1"/>
          <w:sz w:val="24"/>
          <w:szCs w:val="24"/>
          <w:highlight w:val="none"/>
          <w:u w:val="single"/>
          <w14:textFill>
            <w14:solidFill>
              <w14:schemeClr w14:val="tx1"/>
            </w14:solidFill>
          </w14:textFill>
        </w:rPr>
        <w:t>中未能</w:t>
      </w:r>
      <w:r>
        <w:rPr>
          <w:rFonts w:ascii="宋体" w:hAnsi="宋体" w:cs="宋体"/>
          <w:color w:val="000000" w:themeColor="text1"/>
          <w:sz w:val="24"/>
          <w:szCs w:val="24"/>
          <w:highlight w:val="none"/>
          <w:u w:val="single"/>
          <w14:textFill>
            <w14:solidFill>
              <w14:schemeClr w14:val="tx1"/>
            </w14:solidFill>
          </w14:textFill>
        </w:rPr>
        <w:t>提出工程量清单偏差的项目，</w:t>
      </w:r>
      <w:r>
        <w:rPr>
          <w:rFonts w:hint="eastAsia" w:ascii="宋体" w:hAnsi="宋体" w:cs="宋体"/>
          <w:color w:val="000000" w:themeColor="text1"/>
          <w:sz w:val="24"/>
          <w:szCs w:val="24"/>
          <w:highlight w:val="none"/>
          <w:u w:val="single"/>
          <w14:textFill>
            <w14:solidFill>
              <w14:schemeClr w14:val="tx1"/>
            </w14:solidFill>
          </w14:textFill>
        </w:rPr>
        <w:t>结算时</w:t>
      </w:r>
      <w:r>
        <w:rPr>
          <w:rFonts w:ascii="宋体" w:hAnsi="宋体" w:cs="宋体"/>
          <w:color w:val="000000" w:themeColor="text1"/>
          <w:sz w:val="24"/>
          <w:szCs w:val="24"/>
          <w:highlight w:val="none"/>
          <w:u w:val="single"/>
          <w14:textFill>
            <w14:solidFill>
              <w14:schemeClr w14:val="tx1"/>
            </w14:solidFill>
          </w14:textFill>
        </w:rPr>
        <w:t>按不利于承包人的原则处理</w:t>
      </w:r>
      <w:r>
        <w:rPr>
          <w:rFonts w:hint="eastAsia" w:ascii="宋体" w:hAnsi="宋体" w:cs="宋体"/>
          <w:color w:val="000000" w:themeColor="text1"/>
          <w:sz w:val="24"/>
          <w:szCs w:val="24"/>
          <w:highlight w:val="none"/>
          <w:u w:val="single"/>
          <w14:textFill>
            <w14:solidFill>
              <w14:schemeClr w14:val="tx1"/>
            </w14:solidFill>
          </w14:textFill>
        </w:rPr>
        <w:t>。</w:t>
      </w:r>
    </w:p>
    <w:p w14:paraId="78C7B05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16.2.3 因承包人违约解除合同</w:t>
      </w:r>
    </w:p>
    <w:p w14:paraId="6B5159D4">
      <w:pPr>
        <w:spacing w:before="120" w:after="120"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关于承包人违约解除合同的特别约定：</w:t>
      </w:r>
      <w:r>
        <w:rPr>
          <w:rFonts w:hint="eastAsia" w:ascii="宋体" w:hAnsi="宋体" w:cs="宋体"/>
          <w:color w:val="000000" w:themeColor="text1"/>
          <w:sz w:val="24"/>
          <w:szCs w:val="24"/>
          <w:highlight w:val="none"/>
          <w:u w:val="single"/>
          <w14:textFill>
            <w14:solidFill>
              <w14:schemeClr w14:val="tx1"/>
            </w14:solidFill>
          </w14:textFill>
        </w:rPr>
        <w:t>另行协商</w:t>
      </w:r>
      <w:r>
        <w:rPr>
          <w:rFonts w:hint="eastAsia" w:ascii="宋体" w:hAnsi="宋体" w:cs="宋体"/>
          <w:color w:val="000000" w:themeColor="text1"/>
          <w:kern w:val="0"/>
          <w:sz w:val="24"/>
          <w:szCs w:val="24"/>
          <w:highlight w:val="none"/>
          <w14:textFill>
            <w14:solidFill>
              <w14:schemeClr w14:val="tx1"/>
            </w14:solidFill>
          </w14:textFill>
        </w:rPr>
        <w:t>。</w:t>
      </w:r>
    </w:p>
    <w:p w14:paraId="35941928">
      <w:pPr>
        <w:spacing w:before="120" w:after="120"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发包人继续使用承包人在施工现场的材料、设备、临时工程、承包人文件和由承包人或以其名义编制的其他文件的费用承担方式：</w:t>
      </w:r>
      <w:r>
        <w:rPr>
          <w:rFonts w:hint="eastAsia" w:ascii="宋体" w:hAnsi="宋体" w:cs="宋体"/>
          <w:color w:val="000000" w:themeColor="text1"/>
          <w:sz w:val="24"/>
          <w:szCs w:val="24"/>
          <w:highlight w:val="none"/>
          <w:u w:val="single"/>
          <w14:textFill>
            <w14:solidFill>
              <w14:schemeClr w14:val="tx1"/>
            </w14:solidFill>
          </w14:textFill>
        </w:rPr>
        <w:t>另行协商</w:t>
      </w:r>
      <w:r>
        <w:rPr>
          <w:rFonts w:hint="eastAsia" w:ascii="宋体" w:hAnsi="宋体" w:cs="宋体"/>
          <w:color w:val="000000" w:themeColor="text1"/>
          <w:kern w:val="0"/>
          <w:sz w:val="24"/>
          <w:szCs w:val="24"/>
          <w:highlight w:val="none"/>
          <w14:textFill>
            <w14:solidFill>
              <w14:schemeClr w14:val="tx1"/>
            </w14:solidFill>
          </w14:textFill>
        </w:rPr>
        <w:t>。</w:t>
      </w:r>
    </w:p>
    <w:p w14:paraId="4E5FC0D8">
      <w:pPr>
        <w:pStyle w:val="5"/>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147" w:name="_Toc351203649"/>
      <w:r>
        <w:rPr>
          <w:rFonts w:hint="eastAsia" w:ascii="宋体" w:hAnsi="宋体" w:eastAsia="宋体" w:cs="宋体"/>
          <w:bCs/>
          <w:color w:val="000000" w:themeColor="text1"/>
          <w:sz w:val="24"/>
          <w:szCs w:val="24"/>
          <w:highlight w:val="none"/>
          <w14:textFill>
            <w14:solidFill>
              <w14:schemeClr w14:val="tx1"/>
            </w14:solidFill>
          </w14:textFill>
        </w:rPr>
        <w:t>17. 不可抗力</w:t>
      </w:r>
      <w:bookmarkEnd w:id="145"/>
      <w:bookmarkEnd w:id="147"/>
    </w:p>
    <w:p w14:paraId="218B129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17.1 不可抗力的确认</w:t>
      </w:r>
    </w:p>
    <w:p w14:paraId="034E5C6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除通用合同条款约定的不可抗力事件之外，视为不可抗力的其他情形：</w:t>
      </w:r>
      <w:r>
        <w:rPr>
          <w:rFonts w:hint="eastAsia" w:ascii="宋体" w:hAnsi="宋体" w:cs="宋体"/>
          <w:color w:val="000000" w:themeColor="text1"/>
          <w:sz w:val="24"/>
          <w:szCs w:val="24"/>
          <w:highlight w:val="none"/>
          <w:u w:val="single"/>
          <w14:textFill>
            <w14:solidFill>
              <w14:schemeClr w14:val="tx1"/>
            </w14:solidFill>
          </w14:textFill>
        </w:rPr>
        <w:t xml:space="preserve"> 1、不可抗力包括因战争、动乱、空中飞行物体坠落或其他非发包人承包人责任造成的爆炸、火灾，以及以下方面的自然灾害：</w:t>
      </w:r>
    </w:p>
    <w:p w14:paraId="7CB4DB4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1.1 烈度为6级以上的地震；</w:t>
      </w:r>
    </w:p>
    <w:p w14:paraId="0DB97E1A">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1.2 6级以上持续24小时的大风</w:t>
      </w:r>
    </w:p>
    <w:p w14:paraId="710A55D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1.3 持续降雨24小时且降雨量200mm以上；</w:t>
      </w:r>
    </w:p>
    <w:p w14:paraId="0BCD039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1.4 40℃及以上持续24小时的高温；</w:t>
      </w:r>
    </w:p>
    <w:p w14:paraId="5247F38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p>
    <w:p w14:paraId="317A17FF">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3、因不可抗力事件导致的费用由双方按以下方法分别承担：</w:t>
      </w:r>
    </w:p>
    <w:p w14:paraId="2F7474F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3.1 工程本身（承包人施工质量未达标准除外）的损害、因工程损害导致第三人人员伤亡和财产损失以及运至施工场地用于施工的材料和待安装的设备的损害、清理、修复费用，由发包人承担； </w:t>
      </w:r>
    </w:p>
    <w:p w14:paraId="00724AA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3.2 发包人、承包人人员伤亡由其所在单位负责，并承担相应费用；</w:t>
      </w:r>
    </w:p>
    <w:p w14:paraId="1CE8043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3.3 承包人机械设备损坏及停工损失，由承包人承担；</w:t>
      </w:r>
    </w:p>
    <w:p w14:paraId="73251487">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3.4 停工期间，承包人应监理要求留在施工场地的必要的管理人员及保卫人员的费用由发包人承担；</w:t>
      </w:r>
    </w:p>
    <w:p w14:paraId="7D6873E8">
      <w:pPr>
        <w:spacing w:line="360" w:lineRule="auto"/>
        <w:ind w:firstLine="480" w:firstLineChars="200"/>
        <w:jc w:val="left"/>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3.5 因合同一方迟延履行合同后发生不可抗力的，不能免除迟延履行方的相应责任</w:t>
      </w:r>
      <w:r>
        <w:rPr>
          <w:rFonts w:hint="eastAsia" w:ascii="宋体" w:hAnsi="宋体" w:cs="宋体"/>
          <w:color w:val="000000" w:themeColor="text1"/>
          <w:kern w:val="0"/>
          <w:sz w:val="24"/>
          <w:szCs w:val="24"/>
          <w:highlight w:val="none"/>
          <w14:textFill>
            <w14:solidFill>
              <w14:schemeClr w14:val="tx1"/>
            </w14:solidFill>
          </w14:textFill>
        </w:rPr>
        <w:t>。</w:t>
      </w:r>
    </w:p>
    <w:p w14:paraId="4C6D88B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17.4 因不可抗力解除合同</w:t>
      </w:r>
    </w:p>
    <w:p w14:paraId="6C6B4EF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合同解除后，发包人应在商定或确定发包人应支付款项后</w:t>
      </w:r>
      <w:r>
        <w:rPr>
          <w:rFonts w:hint="eastAsia" w:ascii="宋体" w:hAnsi="宋体" w:cs="宋体"/>
          <w:color w:val="000000" w:themeColor="text1"/>
          <w:sz w:val="24"/>
          <w:szCs w:val="24"/>
          <w:highlight w:val="none"/>
          <w:u w:val="single"/>
          <w14:textFill>
            <w14:solidFill>
              <w14:schemeClr w14:val="tx1"/>
            </w14:solidFill>
          </w14:textFill>
        </w:rPr>
        <w:t>28</w:t>
      </w:r>
      <w:r>
        <w:rPr>
          <w:rFonts w:hint="eastAsia" w:ascii="宋体" w:hAnsi="宋体" w:cs="宋体"/>
          <w:color w:val="000000" w:themeColor="text1"/>
          <w:sz w:val="24"/>
          <w:szCs w:val="24"/>
          <w:highlight w:val="none"/>
          <w14:textFill>
            <w14:solidFill>
              <w14:schemeClr w14:val="tx1"/>
            </w14:solidFill>
          </w14:textFill>
        </w:rPr>
        <w:t>天内完成款项的支付。</w:t>
      </w:r>
    </w:p>
    <w:p w14:paraId="22081F34">
      <w:pPr>
        <w:pStyle w:val="5"/>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148" w:name="_Toc351203650"/>
      <w:r>
        <w:rPr>
          <w:rFonts w:hint="eastAsia" w:ascii="宋体" w:hAnsi="宋体" w:eastAsia="宋体" w:cs="宋体"/>
          <w:bCs/>
          <w:color w:val="000000" w:themeColor="text1"/>
          <w:sz w:val="24"/>
          <w:szCs w:val="24"/>
          <w:highlight w:val="none"/>
          <w14:textFill>
            <w14:solidFill>
              <w14:schemeClr w14:val="tx1"/>
            </w14:solidFill>
          </w14:textFill>
        </w:rPr>
        <w:t>18. 保险</w:t>
      </w:r>
      <w:bookmarkEnd w:id="148"/>
    </w:p>
    <w:bookmarkEnd w:id="146"/>
    <w:p w14:paraId="3C0F4C7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18.1 工程保险</w:t>
      </w:r>
    </w:p>
    <w:p w14:paraId="558DBC6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关于工程保险的特别约定：</w:t>
      </w:r>
      <w:r>
        <w:rPr>
          <w:rFonts w:hint="eastAsia" w:ascii="宋体" w:hAnsi="宋体" w:cs="宋体"/>
          <w:color w:val="000000" w:themeColor="text1"/>
          <w:sz w:val="24"/>
          <w:szCs w:val="24"/>
          <w:highlight w:val="none"/>
          <w:u w:val="single"/>
          <w14:textFill>
            <w14:solidFill>
              <w14:schemeClr w14:val="tx1"/>
            </w14:solidFill>
          </w14:textFill>
        </w:rPr>
        <w:t>承包人必须按照江宁区有关社会保障费的相关规定要求执行，发包人在支付竣工验收工程款时按同等金额扣回。</w:t>
      </w:r>
    </w:p>
    <w:p w14:paraId="2ABE036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承包人投保内容：必须为施工场地内员工办理意外伤害保险，并缴纳保险费。</w:t>
      </w:r>
    </w:p>
    <w:p w14:paraId="280099F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18.3 其他保险</w:t>
      </w:r>
    </w:p>
    <w:p w14:paraId="4583DBFB">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关于其他保险的约定：</w:t>
      </w:r>
      <w:r>
        <w:rPr>
          <w:rFonts w:hint="eastAsia" w:ascii="宋体" w:hAnsi="宋体" w:cs="宋体"/>
          <w:color w:val="000000" w:themeColor="text1"/>
          <w:sz w:val="24"/>
          <w:szCs w:val="24"/>
          <w:highlight w:val="none"/>
          <w:u w:val="single"/>
          <w14:textFill>
            <w14:solidFill>
              <w14:schemeClr w14:val="tx1"/>
            </w14:solidFill>
          </w14:textFill>
        </w:rPr>
        <w:t>按通用条款执行</w:t>
      </w:r>
      <w:r>
        <w:rPr>
          <w:rFonts w:hint="eastAsia" w:ascii="宋体" w:hAnsi="宋体" w:cs="宋体"/>
          <w:color w:val="000000" w:themeColor="text1"/>
          <w:kern w:val="0"/>
          <w:sz w:val="24"/>
          <w:szCs w:val="24"/>
          <w:highlight w:val="none"/>
          <w14:textFill>
            <w14:solidFill>
              <w14:schemeClr w14:val="tx1"/>
            </w14:solidFill>
          </w14:textFill>
        </w:rPr>
        <w:t>。</w:t>
      </w:r>
    </w:p>
    <w:p w14:paraId="1BE750E5">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承包人是否应为其施工设备等办理财产保险：</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sz w:val="24"/>
          <w:szCs w:val="24"/>
          <w:highlight w:val="none"/>
          <w14:textFill>
            <w14:solidFill>
              <w14:schemeClr w14:val="tx1"/>
            </w14:solidFill>
          </w14:textFill>
        </w:rPr>
        <w:t>。</w:t>
      </w:r>
    </w:p>
    <w:p w14:paraId="0922F6C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18.7 通知义务</w:t>
      </w:r>
    </w:p>
    <w:p w14:paraId="030883D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关于变更保险合同时的通知义务的约定：</w:t>
      </w:r>
      <w:r>
        <w:rPr>
          <w:rFonts w:hint="eastAsia" w:ascii="宋体" w:hAnsi="宋体" w:cs="宋体"/>
          <w:color w:val="000000" w:themeColor="text1"/>
          <w:sz w:val="24"/>
          <w:szCs w:val="24"/>
          <w:highlight w:val="none"/>
          <w:u w:val="single"/>
          <w14:textFill>
            <w14:solidFill>
              <w14:schemeClr w14:val="tx1"/>
            </w14:solidFill>
          </w14:textFill>
        </w:rPr>
        <w:t>按通用条款执行</w:t>
      </w:r>
      <w:r>
        <w:rPr>
          <w:rFonts w:hint="eastAsia" w:ascii="宋体" w:hAnsi="宋体" w:cs="宋体"/>
          <w:color w:val="000000" w:themeColor="text1"/>
          <w:sz w:val="24"/>
          <w:szCs w:val="24"/>
          <w:highlight w:val="none"/>
          <w14:textFill>
            <w14:solidFill>
              <w14:schemeClr w14:val="tx1"/>
            </w14:solidFill>
          </w14:textFill>
        </w:rPr>
        <w:t>。</w:t>
      </w:r>
    </w:p>
    <w:bookmarkEnd w:id="122"/>
    <w:bookmarkEnd w:id="123"/>
    <w:bookmarkEnd w:id="124"/>
    <w:bookmarkEnd w:id="125"/>
    <w:bookmarkEnd w:id="126"/>
    <w:bookmarkEnd w:id="127"/>
    <w:bookmarkEnd w:id="128"/>
    <w:bookmarkEnd w:id="129"/>
    <w:bookmarkEnd w:id="130"/>
    <w:bookmarkEnd w:id="131"/>
    <w:bookmarkEnd w:id="132"/>
    <w:bookmarkEnd w:id="133"/>
    <w:p w14:paraId="6771C33A">
      <w:pPr>
        <w:pStyle w:val="5"/>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149" w:name="_Toc351203651"/>
      <w:r>
        <w:rPr>
          <w:rFonts w:hint="eastAsia" w:ascii="宋体" w:hAnsi="宋体" w:eastAsia="宋体" w:cs="宋体"/>
          <w:bCs/>
          <w:color w:val="000000" w:themeColor="text1"/>
          <w:sz w:val="24"/>
          <w:szCs w:val="24"/>
          <w:highlight w:val="none"/>
          <w14:textFill>
            <w14:solidFill>
              <w14:schemeClr w14:val="tx1"/>
            </w14:solidFill>
          </w14:textFill>
        </w:rPr>
        <w:t>19. 争议解决</w:t>
      </w:r>
      <w:bookmarkEnd w:id="149"/>
    </w:p>
    <w:bookmarkEnd w:id="134"/>
    <w:bookmarkEnd w:id="135"/>
    <w:p w14:paraId="0AE03DB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19.1争</w:t>
      </w:r>
      <w:bookmarkEnd w:id="136"/>
      <w:r>
        <w:rPr>
          <w:rFonts w:hint="eastAsia" w:ascii="宋体" w:hAnsi="宋体" w:cs="宋体"/>
          <w:color w:val="000000" w:themeColor="text1"/>
          <w:sz w:val="24"/>
          <w:szCs w:val="24"/>
          <w:highlight w:val="none"/>
          <w14:textFill>
            <w14:solidFill>
              <w14:schemeClr w14:val="tx1"/>
            </w14:solidFill>
          </w14:textFill>
        </w:rPr>
        <w:t>议评审</w:t>
      </w:r>
    </w:p>
    <w:p w14:paraId="34547B77">
      <w:pPr>
        <w:spacing w:line="360" w:lineRule="auto"/>
        <w:ind w:left="149" w:leftChars="71" w:firstLine="360" w:firstLineChars="1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合同当事人是否同意将工程争议提交争议评审小组决定：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1B394C4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19.2.1 争议评审小组的确定</w:t>
      </w:r>
    </w:p>
    <w:p w14:paraId="5988DB5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争议评审小组成员的确定：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592A6B4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选定争议评审员的期限：</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16E6383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争议评审小组成员的报酬承担方式：</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552A44B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其他事项的约定：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3F3609A">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19.2.2 争议评审小组的决定</w:t>
      </w:r>
    </w:p>
    <w:p w14:paraId="3F5F3EA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合同当事人关于本项的约定：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578DCCE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19.4仲裁或诉讼</w:t>
      </w:r>
      <w:bookmarkEnd w:id="137"/>
    </w:p>
    <w:p w14:paraId="7C551D6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因合同及合同有关事项发生的争议，按下列第</w:t>
      </w:r>
      <w:r>
        <w:rPr>
          <w:rFonts w:hint="eastAsia"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种方式解决：</w:t>
      </w:r>
    </w:p>
    <w:p w14:paraId="20C843E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（1）向</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仲裁委员会申请仲裁；</w:t>
      </w:r>
    </w:p>
    <w:p w14:paraId="7968924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（2）向</w:t>
      </w:r>
      <w:r>
        <w:rPr>
          <w:rFonts w:hint="eastAsia" w:ascii="宋体" w:hAnsi="宋体" w:cs="宋体"/>
          <w:color w:val="000000" w:themeColor="text1"/>
          <w:sz w:val="24"/>
          <w:szCs w:val="24"/>
          <w:highlight w:val="none"/>
          <w:u w:val="single"/>
          <w14:textFill>
            <w14:solidFill>
              <w14:schemeClr w14:val="tx1"/>
            </w14:solidFill>
          </w14:textFill>
        </w:rPr>
        <w:t>工程所在地</w:t>
      </w:r>
      <w:r>
        <w:rPr>
          <w:rFonts w:hint="eastAsia" w:ascii="宋体" w:hAnsi="宋体" w:cs="宋体"/>
          <w:color w:val="000000" w:themeColor="text1"/>
          <w:sz w:val="24"/>
          <w:szCs w:val="24"/>
          <w:highlight w:val="none"/>
          <w14:textFill>
            <w14:solidFill>
              <w14:schemeClr w14:val="tx1"/>
            </w14:solidFill>
          </w14:textFill>
        </w:rPr>
        <w:t>人民法院起诉。</w:t>
      </w:r>
      <w:bookmarkEnd w:id="138"/>
      <w:bookmarkEnd w:id="139"/>
      <w:bookmarkEnd w:id="140"/>
      <w:bookmarkEnd w:id="141"/>
      <w:bookmarkEnd w:id="142"/>
      <w:bookmarkEnd w:id="143"/>
    </w:p>
    <w:p w14:paraId="5EB737B0">
      <w:pPr>
        <w:pStyle w:val="5"/>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ascii="宋体" w:hAnsi="宋体" w:eastAsia="宋体" w:cs="宋体"/>
          <w:bCs/>
          <w:color w:val="000000" w:themeColor="text1"/>
          <w:sz w:val="24"/>
          <w:szCs w:val="24"/>
          <w:highlight w:val="none"/>
          <w14:textFill>
            <w14:solidFill>
              <w14:schemeClr w14:val="tx1"/>
            </w14:solidFill>
          </w14:textFill>
        </w:rPr>
        <w:t>0</w:t>
      </w:r>
      <w:r>
        <w:rPr>
          <w:rFonts w:hint="eastAsia" w:ascii="宋体" w:hAnsi="宋体" w:eastAsia="宋体" w:cs="宋体"/>
          <w:bCs/>
          <w:color w:val="000000" w:themeColor="text1"/>
          <w:sz w:val="24"/>
          <w:szCs w:val="24"/>
          <w:highlight w:val="none"/>
          <w14:textFill>
            <w14:solidFill>
              <w14:schemeClr w14:val="tx1"/>
            </w14:solidFill>
          </w14:textFill>
        </w:rPr>
        <w:t>、其它</w:t>
      </w:r>
    </w:p>
    <w:p w14:paraId="37602323">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1</w:t>
      </w:r>
      <w:r>
        <w:rPr>
          <w:rFonts w:hint="eastAsia" w:ascii="宋体" w:hAnsi="宋体" w:cs="宋体"/>
          <w:bCs/>
          <w:color w:val="000000" w:themeColor="text1"/>
          <w:kern w:val="0"/>
          <w:sz w:val="24"/>
          <w:szCs w:val="24"/>
          <w:highlight w:val="none"/>
          <w:u w:val="single" w:color="000000"/>
          <w14:textFill>
            <w14:solidFill>
              <w14:schemeClr w14:val="tx1"/>
            </w14:solidFill>
          </w14:textFill>
        </w:rPr>
        <w:t>)、工程师发出的会议纪要中的决议部分，承包人应将其视为指令执行，如对决议内容有异议，应在收到会议纪要24小时内向工程提出书面意见。</w:t>
      </w:r>
    </w:p>
    <w:p w14:paraId="5DD84242">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2</w:t>
      </w:r>
      <w:r>
        <w:rPr>
          <w:rFonts w:hint="eastAsia" w:ascii="宋体" w:hAnsi="宋体" w:cs="宋体"/>
          <w:bCs/>
          <w:color w:val="000000" w:themeColor="text1"/>
          <w:kern w:val="0"/>
          <w:sz w:val="24"/>
          <w:szCs w:val="24"/>
          <w:highlight w:val="none"/>
          <w:u w:val="single" w:color="000000"/>
          <w14:textFill>
            <w14:solidFill>
              <w14:schemeClr w14:val="tx1"/>
            </w14:solidFill>
          </w14:textFill>
        </w:rPr>
        <w:t>)、工程各分部分项一次检测不合格，承包人除承担返工费用外，还需承担后续检测费用以及因延期交付给发包人或相关单位造成的直接和间接损失的相关费用。</w:t>
      </w:r>
    </w:p>
    <w:p w14:paraId="7158BD01">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3</w:t>
      </w:r>
      <w:r>
        <w:rPr>
          <w:rFonts w:hint="eastAsia" w:ascii="宋体" w:hAnsi="宋体" w:cs="宋体"/>
          <w:bCs/>
          <w:color w:val="000000" w:themeColor="text1"/>
          <w:kern w:val="0"/>
          <w:sz w:val="24"/>
          <w:szCs w:val="24"/>
          <w:highlight w:val="none"/>
          <w:u w:val="single" w:color="000000"/>
          <w14:textFill>
            <w14:solidFill>
              <w14:schemeClr w14:val="tx1"/>
            </w14:solidFill>
          </w14:textFill>
        </w:rPr>
        <w:t>)、如进场施工材料与招投标文件不符，发包人可另行采购，承包人承担材料费及由此造成的一切损失。甲供材的进场质量须由承包人进行复检把关，如遇因质量不合格材料的使用而引起的返工所造成的费用损失及工期延误由承包人负责。</w:t>
      </w:r>
    </w:p>
    <w:p w14:paraId="6C65DB59">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4</w:t>
      </w:r>
      <w:r>
        <w:rPr>
          <w:rFonts w:hint="eastAsia" w:ascii="宋体" w:hAnsi="宋体" w:cs="宋体"/>
          <w:bCs/>
          <w:color w:val="000000" w:themeColor="text1"/>
          <w:kern w:val="0"/>
          <w:sz w:val="24"/>
          <w:szCs w:val="24"/>
          <w:highlight w:val="none"/>
          <w:u w:val="single" w:color="000000"/>
          <w14:textFill>
            <w14:solidFill>
              <w14:schemeClr w14:val="tx1"/>
            </w14:solidFill>
          </w14:textFill>
        </w:rPr>
        <w:t>)、施工过程中承包人必须无条件的执行经发包人确认的变更签证，除非该变更签证属结构性重大变动，同时也符合价款调整的相关条款之规定，否则所有变更签证均不得作为调整措施费用和延长工期的理由。</w:t>
      </w:r>
    </w:p>
    <w:p w14:paraId="526612CA">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5</w:t>
      </w:r>
      <w:r>
        <w:rPr>
          <w:rFonts w:hint="eastAsia" w:ascii="宋体" w:hAnsi="宋体" w:cs="宋体"/>
          <w:bCs/>
          <w:color w:val="000000" w:themeColor="text1"/>
          <w:kern w:val="0"/>
          <w:sz w:val="24"/>
          <w:szCs w:val="24"/>
          <w:highlight w:val="none"/>
          <w:u w:val="single" w:color="000000"/>
          <w14:textFill>
            <w14:solidFill>
              <w14:schemeClr w14:val="tx1"/>
            </w14:solidFill>
          </w14:textFill>
        </w:rPr>
        <w:t>)、发包人应严格按照本合同约定支付工程进度款，承包人必须首先确保施工一线工人的工资发放，不得拖欠民工工资，否则发包人可采取必要的措施予以处理，承包人</w:t>
      </w:r>
      <w:r>
        <w:rPr>
          <w:rFonts w:hint="eastAsia" w:ascii="宋体" w:hAnsi="宋体" w:cs="宋体"/>
          <w:bCs/>
          <w:color w:val="000000" w:themeColor="text1"/>
          <w:kern w:val="0"/>
          <w:sz w:val="24"/>
          <w:szCs w:val="24"/>
          <w:highlight w:val="none"/>
          <w:u w:val="single" w:color="000000"/>
          <w:lang w:eastAsia="zh-CN"/>
          <w14:textFill>
            <w14:solidFill>
              <w14:schemeClr w14:val="tx1"/>
            </w14:solidFill>
          </w14:textFill>
        </w:rPr>
        <w:t>需支付</w:t>
      </w:r>
      <w:r>
        <w:rPr>
          <w:rFonts w:hint="eastAsia" w:ascii="宋体" w:hAnsi="宋体" w:cs="宋体"/>
          <w:bCs/>
          <w:color w:val="000000" w:themeColor="text1"/>
          <w:kern w:val="0"/>
          <w:sz w:val="24"/>
          <w:szCs w:val="24"/>
          <w:highlight w:val="none"/>
          <w:u w:val="single" w:color="000000"/>
          <w14:textFill>
            <w14:solidFill>
              <w14:schemeClr w14:val="tx1"/>
            </w14:solidFill>
          </w14:textFill>
        </w:rPr>
        <w:t>5万</w:t>
      </w:r>
      <w:r>
        <w:rPr>
          <w:rFonts w:hint="eastAsia" w:ascii="宋体" w:hAnsi="宋体" w:cs="宋体"/>
          <w:bCs/>
          <w:color w:val="000000" w:themeColor="text1"/>
          <w:kern w:val="0"/>
          <w:sz w:val="24"/>
          <w:szCs w:val="24"/>
          <w:highlight w:val="none"/>
          <w:u w:val="single" w:color="000000"/>
          <w:lang w:eastAsia="zh-CN"/>
          <w14:textFill>
            <w14:solidFill>
              <w14:schemeClr w14:val="tx1"/>
            </w14:solidFill>
          </w14:textFill>
        </w:rPr>
        <w:t>违约金</w:t>
      </w:r>
      <w:r>
        <w:rPr>
          <w:rFonts w:hint="eastAsia" w:ascii="宋体" w:hAnsi="宋体" w:cs="宋体"/>
          <w:bCs/>
          <w:color w:val="000000" w:themeColor="text1"/>
          <w:kern w:val="0"/>
          <w:sz w:val="24"/>
          <w:szCs w:val="24"/>
          <w:highlight w:val="none"/>
          <w:u w:val="single" w:color="000000"/>
          <w14:textFill>
            <w14:solidFill>
              <w14:schemeClr w14:val="tx1"/>
            </w14:solidFill>
          </w14:textFill>
        </w:rPr>
        <w:t>，发包人保留进一步追究承包人责任的权利。</w:t>
      </w:r>
    </w:p>
    <w:p w14:paraId="495A8E63">
      <w:pPr>
        <w:autoSpaceDE w:val="0"/>
        <w:autoSpaceDN w:val="0"/>
        <w:adjustRightInd w:val="0"/>
        <w:spacing w:before="100" w:after="100" w:line="360" w:lineRule="auto"/>
        <w:ind w:left="250" w:firstLine="405"/>
        <w:jc w:val="left"/>
        <w:rPr>
          <w:rFonts w:ascii="宋体" w:hAnsi="宋体" w:cs="宋体"/>
          <w:bCs/>
          <w:color w:val="000000" w:themeColor="text1"/>
          <w:kern w:val="0"/>
          <w:sz w:val="24"/>
          <w:szCs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6</w:t>
      </w:r>
      <w:r>
        <w:rPr>
          <w:rFonts w:hint="eastAsia" w:ascii="宋体" w:hAnsi="宋体" w:cs="宋体"/>
          <w:bCs/>
          <w:color w:val="000000" w:themeColor="text1"/>
          <w:kern w:val="0"/>
          <w:sz w:val="24"/>
          <w:szCs w:val="24"/>
          <w:highlight w:val="none"/>
          <w:u w:val="single" w:color="000000"/>
          <w14:textFill>
            <w14:solidFill>
              <w14:schemeClr w14:val="tx1"/>
            </w14:solidFill>
          </w14:textFill>
        </w:rPr>
        <w:t>)、承包人施工过程中，应严格按照建设单位变更（签证）管理细则履行变更（签证）手续，并对项目总造价进行控制，及时将项目总造价情况反馈发包人，否则工程结算总价超出合同价部分不予认可。</w:t>
      </w:r>
    </w:p>
    <w:p w14:paraId="70DB8B42">
      <w:pPr>
        <w:widowControl/>
        <w:spacing w:line="360" w:lineRule="auto"/>
        <w:ind w:firstLine="480" w:firstLineChars="200"/>
        <w:rPr>
          <w:rFonts w:ascii="宋体" w:hAnsi="宋体" w:cs="宋体"/>
          <w:bCs/>
          <w:color w:val="000000" w:themeColor="text1"/>
          <w:sz w:val="24"/>
          <w:szCs w:val="24"/>
          <w:highlight w:val="none"/>
          <w:u w:val="single" w:color="000000"/>
          <w14:textFill>
            <w14:solidFill>
              <w14:schemeClr w14:val="tx1"/>
            </w14:solidFill>
          </w14:textFill>
        </w:rPr>
      </w:pPr>
      <w:r>
        <w:rPr>
          <w:rFonts w:hint="eastAsia" w:ascii="宋体" w:hAnsi="宋体" w:cs="宋体"/>
          <w:bCs/>
          <w:color w:val="000000" w:themeColor="text1"/>
          <w:sz w:val="24"/>
          <w:szCs w:val="24"/>
          <w:highlight w:val="none"/>
          <w:u w:val="single" w:color="000000"/>
          <w14:textFill>
            <w14:solidFill>
              <w14:schemeClr w14:val="tx1"/>
            </w14:solidFill>
          </w14:textFill>
        </w:rPr>
        <w:t>(</w:t>
      </w:r>
      <w:r>
        <w:rPr>
          <w:rFonts w:hint="eastAsia" w:ascii="宋体" w:hAnsi="宋体" w:cs="宋体"/>
          <w:bCs/>
          <w:color w:val="000000" w:themeColor="text1"/>
          <w:sz w:val="24"/>
          <w:szCs w:val="24"/>
          <w:highlight w:val="none"/>
          <w:u w:val="single" w:color="000000"/>
          <w:lang w:val="en-US" w:eastAsia="zh-CN"/>
          <w14:textFill>
            <w14:solidFill>
              <w14:schemeClr w14:val="tx1"/>
            </w14:solidFill>
          </w14:textFill>
        </w:rPr>
        <w:t>7</w:t>
      </w:r>
      <w:r>
        <w:rPr>
          <w:rFonts w:hint="eastAsia" w:ascii="宋体" w:hAnsi="宋体" w:cs="宋体"/>
          <w:bCs/>
          <w:color w:val="000000" w:themeColor="text1"/>
          <w:sz w:val="24"/>
          <w:szCs w:val="24"/>
          <w:highlight w:val="none"/>
          <w:u w:val="single" w:color="000000"/>
          <w14:textFill>
            <w14:solidFill>
              <w14:schemeClr w14:val="tx1"/>
            </w14:solidFill>
          </w14:textFill>
        </w:rPr>
        <w:t>)、未尽事宜，如无双方书面形成的补充协议（或会议纪要），一律以本合同专用条款作为价款结算的唯一的解释依据。</w:t>
      </w:r>
    </w:p>
    <w:p w14:paraId="6C837518">
      <w:pPr>
        <w:widowControl/>
        <w:spacing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lang w:val="en-US" w:eastAsia="zh-CN"/>
          <w14:textFill>
            <w14:solidFill>
              <w14:schemeClr w14:val="tx1"/>
            </w14:solidFill>
          </w14:textFill>
        </w:rPr>
        <w:t>8</w:t>
      </w:r>
      <w:r>
        <w:rPr>
          <w:rFonts w:hint="eastAsia" w:ascii="宋体" w:hAnsi="宋体" w:cs="宋体"/>
          <w:color w:val="000000" w:themeColor="text1"/>
          <w:sz w:val="24"/>
          <w:szCs w:val="24"/>
          <w:highlight w:val="none"/>
          <w:u w:val="single"/>
          <w14:textFill>
            <w14:solidFill>
              <w14:schemeClr w14:val="tx1"/>
            </w14:solidFill>
          </w14:textFill>
        </w:rPr>
        <w:t>)包装和运送方案：投标人供货前应对投标设备的包装和运输及存放按规定提出具体方案，以供发包人审批，每件包装外面应清楚地打上货物名称、合同编号、制造厂名称、存放要求的标记，包装费、运输费、保险费应包括在投标总价内。</w:t>
      </w:r>
    </w:p>
    <w:p w14:paraId="1B83E0E6">
      <w:pPr>
        <w:widowControl/>
        <w:spacing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lang w:val="en-US" w:eastAsia="zh-CN"/>
          <w14:textFill>
            <w14:solidFill>
              <w14:schemeClr w14:val="tx1"/>
            </w14:solidFill>
          </w14:textFill>
        </w:rPr>
        <w:t>9</w:t>
      </w:r>
      <w:r>
        <w:rPr>
          <w:rFonts w:hint="eastAsia" w:ascii="宋体" w:hAnsi="宋体" w:cs="宋体"/>
          <w:color w:val="000000" w:themeColor="text1"/>
          <w:sz w:val="24"/>
          <w:szCs w:val="24"/>
          <w:highlight w:val="none"/>
          <w:u w:val="single"/>
          <w14:textFill>
            <w14:solidFill>
              <w14:schemeClr w14:val="tx1"/>
            </w14:solidFill>
          </w14:textFill>
        </w:rPr>
        <w:t>)成交供应商应加强施工人员的安全教育与管理，施工期内发生安全问题，所有责任由供应商承担；</w:t>
      </w:r>
    </w:p>
    <w:p w14:paraId="24974C48">
      <w:pPr>
        <w:rPr>
          <w:color w:val="000000" w:themeColor="text1"/>
          <w:highlight w:val="none"/>
          <w14:textFill>
            <w14:solidFill>
              <w14:schemeClr w14:val="tx1"/>
            </w14:solidFill>
          </w14:textFill>
        </w:rPr>
      </w:pPr>
    </w:p>
    <w:p w14:paraId="0E117986">
      <w:pPr>
        <w:pStyle w:val="16"/>
        <w:spacing w:line="360" w:lineRule="auto"/>
        <w:ind w:left="0" w:firstLine="720" w:firstLineChars="30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r>
      <w:r>
        <w:rPr>
          <w:rFonts w:hint="eastAsia"/>
          <w:color w:val="000000" w:themeColor="text1"/>
          <w:highlight w:val="none"/>
          <w14:textFill>
            <w14:solidFill>
              <w14:schemeClr w14:val="tx1"/>
            </w14:solidFill>
          </w14:textFill>
        </w:rPr>
        <w:t>合同附件：</w:t>
      </w:r>
    </w:p>
    <w:p w14:paraId="2BCE5A07">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专用合同条款附件：</w:t>
      </w:r>
    </w:p>
    <w:p w14:paraId="1F0E1443">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附件1：承包人承揽工程项目一览表</w:t>
      </w:r>
    </w:p>
    <w:p w14:paraId="2639278F">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附件2：发包人供应材料设备一览表</w:t>
      </w:r>
    </w:p>
    <w:p w14:paraId="788C5C58">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附件3：工程质量保修书</w:t>
      </w:r>
    </w:p>
    <w:p w14:paraId="3D1021A5">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附件4：主要建设工程文件目录</w:t>
      </w:r>
    </w:p>
    <w:p w14:paraId="480CB20E">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附件5：承包人用于本工程施工的机械设备表</w:t>
      </w:r>
    </w:p>
    <w:p w14:paraId="0D00C8A3">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附件6：承包人主要施工管理人员表</w:t>
      </w:r>
    </w:p>
    <w:p w14:paraId="5BE2CBCA">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附件7：分包人主要施工管理人员表</w:t>
      </w:r>
    </w:p>
    <w:p w14:paraId="24631B5A">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附件8：履约担保格式</w:t>
      </w:r>
    </w:p>
    <w:p w14:paraId="7E08924F">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附件9：预付款担保格式</w:t>
      </w:r>
    </w:p>
    <w:p w14:paraId="4B74D255">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附件10：支付担保格式</w:t>
      </w:r>
    </w:p>
    <w:p w14:paraId="6161192E">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附件11：暂估价一览表</w:t>
      </w:r>
    </w:p>
    <w:p w14:paraId="5B6F86D2">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附件12：廉政协议书</w:t>
      </w:r>
    </w:p>
    <w:p w14:paraId="5068746A">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附件13：中国药科大学校内工程施工安全生产责任承诺书</w:t>
      </w:r>
    </w:p>
    <w:p w14:paraId="3276274B">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附件14：安全生产责任承诺书</w:t>
      </w:r>
    </w:p>
    <w:p w14:paraId="36822941">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附件15 ：中国药科大学校内工程文明施工承诺书</w:t>
      </w:r>
    </w:p>
    <w:p w14:paraId="485C0E4F">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附件16：施工现场大气污染防治措施承诺书</w:t>
      </w:r>
    </w:p>
    <w:p w14:paraId="0213F7B2">
      <w:pPr>
        <w:spacing w:line="360" w:lineRule="auto"/>
        <w:rPr>
          <w:rFonts w:ascii="宋体" w:hAnsi="宋体"/>
          <w:color w:val="000000" w:themeColor="text1"/>
          <w:sz w:val="24"/>
          <w:szCs w:val="24"/>
          <w:highlight w:val="none"/>
          <w14:textFill>
            <w14:solidFill>
              <w14:schemeClr w14:val="tx1"/>
            </w14:solidFill>
          </w14:textFill>
        </w:rPr>
      </w:pPr>
    </w:p>
    <w:p w14:paraId="4423EC50">
      <w:pPr>
        <w:spacing w:line="400" w:lineRule="exact"/>
        <w:rPr>
          <w:rFonts w:ascii="宋体" w:hAnsi="宋体"/>
          <w:color w:val="000000" w:themeColor="text1"/>
          <w:szCs w:val="21"/>
          <w:highlight w:val="none"/>
          <w14:textFill>
            <w14:solidFill>
              <w14:schemeClr w14:val="tx1"/>
            </w14:solidFill>
          </w14:textFill>
        </w:rPr>
      </w:pPr>
    </w:p>
    <w:p w14:paraId="5100BD26">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36FE0389">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6E353E2D">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23FF5D7E">
      <w:pPr>
        <w:spacing w:before="156" w:beforeLines="50" w:after="156" w:afterLines="50" w:line="360" w:lineRule="auto"/>
        <w:jc w:val="left"/>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附件1：</w:t>
      </w:r>
      <w:r>
        <w:rPr>
          <w:rFonts w:ascii="宋体" w:hAnsi="宋体"/>
          <w:color w:val="000000" w:themeColor="text1"/>
          <w:szCs w:val="21"/>
          <w:highlight w:val="none"/>
          <w14:textFill>
            <w14:solidFill>
              <w14:schemeClr w14:val="tx1"/>
            </w14:solidFill>
          </w14:textFill>
        </w:rPr>
        <w:t>承包人承揽工程项目一览表</w:t>
      </w:r>
    </w:p>
    <w:tbl>
      <w:tblPr>
        <w:tblStyle w:val="28"/>
        <w:tblW w:w="84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28" w:type="dxa"/>
        </w:tblCellMar>
      </w:tblPr>
      <w:tblGrid>
        <w:gridCol w:w="1031"/>
        <w:gridCol w:w="810"/>
        <w:gridCol w:w="874"/>
        <w:gridCol w:w="589"/>
        <w:gridCol w:w="589"/>
        <w:gridCol w:w="809"/>
        <w:gridCol w:w="1030"/>
        <w:gridCol w:w="1069"/>
        <w:gridCol w:w="809"/>
        <w:gridCol w:w="809"/>
      </w:tblGrid>
      <w:tr w14:paraId="2FC8BC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c>
          <w:tcPr>
            <w:tcW w:w="1031" w:type="dxa"/>
            <w:tcBorders>
              <w:top w:val="single" w:color="auto" w:sz="12" w:space="0"/>
              <w:bottom w:val="double" w:color="auto" w:sz="6" w:space="0"/>
            </w:tcBorders>
            <w:vAlign w:val="center"/>
          </w:tcPr>
          <w:p w14:paraId="54872455">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单位工程名称</w:t>
            </w:r>
          </w:p>
        </w:tc>
        <w:tc>
          <w:tcPr>
            <w:tcW w:w="810" w:type="dxa"/>
            <w:tcBorders>
              <w:top w:val="single" w:color="auto" w:sz="12" w:space="0"/>
              <w:bottom w:val="double" w:color="auto" w:sz="6" w:space="0"/>
            </w:tcBorders>
            <w:vAlign w:val="center"/>
          </w:tcPr>
          <w:p w14:paraId="29534AA3">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建设规模</w:t>
            </w:r>
          </w:p>
        </w:tc>
        <w:tc>
          <w:tcPr>
            <w:tcW w:w="874" w:type="dxa"/>
            <w:tcBorders>
              <w:top w:val="single" w:color="auto" w:sz="12" w:space="0"/>
              <w:bottom w:val="double" w:color="auto" w:sz="6" w:space="0"/>
            </w:tcBorders>
            <w:vAlign w:val="center"/>
          </w:tcPr>
          <w:p w14:paraId="46F06595">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建筑面积</w:t>
            </w:r>
          </w:p>
          <w:p w14:paraId="468D20BD">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(平方米)</w:t>
            </w:r>
          </w:p>
        </w:tc>
        <w:tc>
          <w:tcPr>
            <w:tcW w:w="589" w:type="dxa"/>
            <w:tcBorders>
              <w:top w:val="single" w:color="auto" w:sz="12" w:space="0"/>
              <w:bottom w:val="double" w:color="auto" w:sz="6" w:space="0"/>
            </w:tcBorders>
            <w:vAlign w:val="center"/>
          </w:tcPr>
          <w:p w14:paraId="18A31925">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结构</w:t>
            </w:r>
          </w:p>
          <w:p w14:paraId="6C7DDBFD">
            <w:pPr>
              <w:pStyle w:val="10"/>
              <w:keepNext/>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形式</w:t>
            </w:r>
          </w:p>
        </w:tc>
        <w:tc>
          <w:tcPr>
            <w:tcW w:w="589" w:type="dxa"/>
            <w:tcBorders>
              <w:top w:val="single" w:color="auto" w:sz="12" w:space="0"/>
              <w:bottom w:val="double" w:color="auto" w:sz="6" w:space="0"/>
            </w:tcBorders>
            <w:vAlign w:val="center"/>
          </w:tcPr>
          <w:p w14:paraId="205567CD">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层数</w:t>
            </w:r>
          </w:p>
        </w:tc>
        <w:tc>
          <w:tcPr>
            <w:tcW w:w="809" w:type="dxa"/>
            <w:tcBorders>
              <w:top w:val="single" w:color="auto" w:sz="12" w:space="0"/>
              <w:bottom w:val="double" w:color="auto" w:sz="6" w:space="0"/>
            </w:tcBorders>
            <w:vAlign w:val="center"/>
          </w:tcPr>
          <w:p w14:paraId="7EA42084">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生产能力</w:t>
            </w:r>
          </w:p>
        </w:tc>
        <w:tc>
          <w:tcPr>
            <w:tcW w:w="1030" w:type="dxa"/>
            <w:tcBorders>
              <w:top w:val="single" w:color="auto" w:sz="12" w:space="0"/>
              <w:bottom w:val="double" w:color="auto" w:sz="6" w:space="0"/>
            </w:tcBorders>
            <w:vAlign w:val="center"/>
          </w:tcPr>
          <w:p w14:paraId="3AD2C607">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设备安装内容</w:t>
            </w:r>
          </w:p>
        </w:tc>
        <w:tc>
          <w:tcPr>
            <w:tcW w:w="1069" w:type="dxa"/>
            <w:tcBorders>
              <w:top w:val="single" w:color="auto" w:sz="12" w:space="0"/>
              <w:bottom w:val="double" w:color="auto" w:sz="6" w:space="0"/>
            </w:tcBorders>
            <w:vAlign w:val="center"/>
          </w:tcPr>
          <w:p w14:paraId="6842A5B8">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合同价格</w:t>
            </w:r>
          </w:p>
          <w:p w14:paraId="57B89B9C">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（元）</w:t>
            </w:r>
          </w:p>
        </w:tc>
        <w:tc>
          <w:tcPr>
            <w:tcW w:w="809" w:type="dxa"/>
            <w:tcBorders>
              <w:top w:val="single" w:color="auto" w:sz="12" w:space="0"/>
              <w:bottom w:val="double" w:color="auto" w:sz="6" w:space="0"/>
            </w:tcBorders>
          </w:tcPr>
          <w:p w14:paraId="1D6B5BCC">
            <w:pPr>
              <w:pStyle w:val="10"/>
              <w:keepNext/>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开工日期</w:t>
            </w:r>
          </w:p>
        </w:tc>
        <w:tc>
          <w:tcPr>
            <w:tcW w:w="809" w:type="dxa"/>
            <w:tcBorders>
              <w:top w:val="single" w:color="auto" w:sz="12" w:space="0"/>
              <w:bottom w:val="double" w:color="auto" w:sz="6" w:space="0"/>
            </w:tcBorders>
            <w:vAlign w:val="center"/>
          </w:tcPr>
          <w:p w14:paraId="092ABB67">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竣工日期</w:t>
            </w:r>
          </w:p>
        </w:tc>
      </w:tr>
      <w:tr w14:paraId="0E5437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79" w:hRule="atLeast"/>
        </w:trPr>
        <w:tc>
          <w:tcPr>
            <w:tcW w:w="1031" w:type="dxa"/>
            <w:tcBorders>
              <w:top w:val="nil"/>
            </w:tcBorders>
            <w:vAlign w:val="center"/>
          </w:tcPr>
          <w:p w14:paraId="16E07605">
            <w:pPr>
              <w:pStyle w:val="10"/>
              <w:keepNext/>
              <w:ind w:left="63" w:right="63"/>
              <w:jc w:val="left"/>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3813C567">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2D5EDB68">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42CBF7B0">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7EEB1239">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102FE747">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4B6472EE">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3CD3C05D">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6BFA2063">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2EEE8237">
            <w:pPr>
              <w:pStyle w:val="10"/>
              <w:keepNext/>
              <w:ind w:left="63" w:right="63"/>
              <w:rPr>
                <w:rFonts w:ascii="宋体" w:hAnsi="宋体"/>
                <w:color w:val="000000" w:themeColor="text1"/>
                <w:szCs w:val="21"/>
                <w:highlight w:val="none"/>
                <w14:textFill>
                  <w14:solidFill>
                    <w14:schemeClr w14:val="tx1"/>
                  </w14:solidFill>
                </w14:textFill>
              </w:rPr>
            </w:pPr>
          </w:p>
        </w:tc>
      </w:tr>
      <w:tr w14:paraId="365ACF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55EDE46E">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086FBA0E">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5F720BFC">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60CF2375">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0249476">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5FB228C8">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63EA50E9">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31030ADF">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3A7FF389">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45BB05B2">
            <w:pPr>
              <w:pStyle w:val="10"/>
              <w:keepNext/>
              <w:ind w:left="63" w:right="63"/>
              <w:rPr>
                <w:rFonts w:ascii="宋体" w:hAnsi="宋体"/>
                <w:color w:val="000000" w:themeColor="text1"/>
                <w:szCs w:val="21"/>
                <w:highlight w:val="none"/>
                <w14:textFill>
                  <w14:solidFill>
                    <w14:schemeClr w14:val="tx1"/>
                  </w14:solidFill>
                </w14:textFill>
              </w:rPr>
            </w:pPr>
          </w:p>
        </w:tc>
      </w:tr>
      <w:tr w14:paraId="089102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vAlign w:val="center"/>
          </w:tcPr>
          <w:p w14:paraId="7186F231">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vAlign w:val="center"/>
          </w:tcPr>
          <w:p w14:paraId="6DDD865E">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vAlign w:val="center"/>
          </w:tcPr>
          <w:p w14:paraId="4CBB1061">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514EFF85">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6D53F6E4">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267670A4">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vAlign w:val="center"/>
          </w:tcPr>
          <w:p w14:paraId="268DD556">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vAlign w:val="center"/>
          </w:tcPr>
          <w:p w14:paraId="7B9F5ECC">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Pr>
          <w:p w14:paraId="5E1C37A0">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59EAFFCE">
            <w:pPr>
              <w:pStyle w:val="10"/>
              <w:keepNext/>
              <w:ind w:left="63" w:right="63"/>
              <w:rPr>
                <w:rFonts w:ascii="宋体" w:hAnsi="宋体"/>
                <w:color w:val="000000" w:themeColor="text1"/>
                <w:szCs w:val="21"/>
                <w:highlight w:val="none"/>
                <w14:textFill>
                  <w14:solidFill>
                    <w14:schemeClr w14:val="tx1"/>
                  </w14:solidFill>
                </w14:textFill>
              </w:rPr>
            </w:pPr>
          </w:p>
        </w:tc>
      </w:tr>
      <w:tr w14:paraId="29C22A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128E91C6">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46D3567C">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6600C59E">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F7BC165">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74CCD8B">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0C269A2A">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618B49E5">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525B0272">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4EF53038">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382C5FB0">
            <w:pPr>
              <w:pStyle w:val="10"/>
              <w:keepNext/>
              <w:ind w:left="63" w:right="63"/>
              <w:rPr>
                <w:rFonts w:ascii="宋体" w:hAnsi="宋体"/>
                <w:color w:val="000000" w:themeColor="text1"/>
                <w:szCs w:val="21"/>
                <w:highlight w:val="none"/>
                <w14:textFill>
                  <w14:solidFill>
                    <w14:schemeClr w14:val="tx1"/>
                  </w14:solidFill>
                </w14:textFill>
              </w:rPr>
            </w:pPr>
          </w:p>
        </w:tc>
      </w:tr>
      <w:tr w14:paraId="624A72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vAlign w:val="center"/>
          </w:tcPr>
          <w:p w14:paraId="187A3F13">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vAlign w:val="center"/>
          </w:tcPr>
          <w:p w14:paraId="20FA42DE">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vAlign w:val="center"/>
          </w:tcPr>
          <w:p w14:paraId="1AFBC62C">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1D7A7F6C">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77086046">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2D0672B4">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vAlign w:val="center"/>
          </w:tcPr>
          <w:p w14:paraId="75344FB8">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vAlign w:val="center"/>
          </w:tcPr>
          <w:p w14:paraId="2E9127E4">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Pr>
          <w:p w14:paraId="2DB4E94B">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3BED9029">
            <w:pPr>
              <w:pStyle w:val="10"/>
              <w:keepNext/>
              <w:ind w:left="63" w:right="63"/>
              <w:rPr>
                <w:rFonts w:ascii="宋体" w:hAnsi="宋体"/>
                <w:color w:val="000000" w:themeColor="text1"/>
                <w:szCs w:val="21"/>
                <w:highlight w:val="none"/>
                <w14:textFill>
                  <w14:solidFill>
                    <w14:schemeClr w14:val="tx1"/>
                  </w14:solidFill>
                </w14:textFill>
              </w:rPr>
            </w:pPr>
          </w:p>
        </w:tc>
      </w:tr>
      <w:tr w14:paraId="56B69F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52BD7ED4">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5D238FFA">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660AD914">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78405C9C">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692DAD00">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25BD4681">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54690738">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29A39E89">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53B56B44">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42FD3DA5">
            <w:pPr>
              <w:pStyle w:val="10"/>
              <w:keepNext/>
              <w:ind w:left="63" w:right="63"/>
              <w:rPr>
                <w:rFonts w:ascii="宋体" w:hAnsi="宋体"/>
                <w:color w:val="000000" w:themeColor="text1"/>
                <w:szCs w:val="21"/>
                <w:highlight w:val="none"/>
                <w14:textFill>
                  <w14:solidFill>
                    <w14:schemeClr w14:val="tx1"/>
                  </w14:solidFill>
                </w14:textFill>
              </w:rPr>
            </w:pPr>
          </w:p>
        </w:tc>
      </w:tr>
      <w:tr w14:paraId="4819C3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765DDB6A">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05F5FCBA">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4A8149DD">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671321C3">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01C11C12">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01E39BDF">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07BAF7AB">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5ECC303F">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5FD70896">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10DA34EC">
            <w:pPr>
              <w:pStyle w:val="10"/>
              <w:keepNext/>
              <w:ind w:left="63" w:right="63"/>
              <w:rPr>
                <w:rFonts w:ascii="宋体" w:hAnsi="宋体"/>
                <w:color w:val="000000" w:themeColor="text1"/>
                <w:szCs w:val="21"/>
                <w:highlight w:val="none"/>
                <w14:textFill>
                  <w14:solidFill>
                    <w14:schemeClr w14:val="tx1"/>
                  </w14:solidFill>
                </w14:textFill>
              </w:rPr>
            </w:pPr>
          </w:p>
        </w:tc>
      </w:tr>
      <w:tr w14:paraId="565553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vAlign w:val="center"/>
          </w:tcPr>
          <w:p w14:paraId="4708B4F2">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vAlign w:val="center"/>
          </w:tcPr>
          <w:p w14:paraId="6621AC4B">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vAlign w:val="center"/>
          </w:tcPr>
          <w:p w14:paraId="3B037060">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6C697BA9">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0255158C">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4BD44ADD">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vAlign w:val="center"/>
          </w:tcPr>
          <w:p w14:paraId="0FB887B9">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vAlign w:val="center"/>
          </w:tcPr>
          <w:p w14:paraId="70DD7AF0">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Pr>
          <w:p w14:paraId="25F5CDDD">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699C8655">
            <w:pPr>
              <w:pStyle w:val="10"/>
              <w:keepNext/>
              <w:ind w:left="63" w:right="63"/>
              <w:rPr>
                <w:rFonts w:ascii="宋体" w:hAnsi="宋体"/>
                <w:color w:val="000000" w:themeColor="text1"/>
                <w:szCs w:val="21"/>
                <w:highlight w:val="none"/>
                <w14:textFill>
                  <w14:solidFill>
                    <w14:schemeClr w14:val="tx1"/>
                  </w14:solidFill>
                </w14:textFill>
              </w:rPr>
            </w:pPr>
          </w:p>
        </w:tc>
      </w:tr>
    </w:tbl>
    <w:p w14:paraId="3E5928B7">
      <w:pPr>
        <w:rPr>
          <w:color w:val="000000" w:themeColor="text1"/>
          <w:highlight w:val="none"/>
          <w14:textFill>
            <w14:solidFill>
              <w14:schemeClr w14:val="tx1"/>
            </w14:solidFill>
          </w14:textFill>
        </w:rPr>
      </w:pPr>
    </w:p>
    <w:p w14:paraId="7ABCB54D">
      <w:pPr>
        <w:rPr>
          <w:color w:val="000000" w:themeColor="text1"/>
          <w:highlight w:val="none"/>
          <w14:textFill>
            <w14:solidFill>
              <w14:schemeClr w14:val="tx1"/>
            </w14:solidFill>
          </w14:textFill>
        </w:rPr>
      </w:pPr>
    </w:p>
    <w:p w14:paraId="5510D9E9">
      <w:pPr>
        <w:widowControl/>
        <w:jc w:val="left"/>
        <w:rPr>
          <w:rFonts w:ascii="宋体" w:hAnsi="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r>
    </w:p>
    <w:p w14:paraId="2CF0F4D2">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附</w:t>
      </w:r>
      <w:bookmarkStart w:id="150" w:name="_Toc296347224"/>
      <w:bookmarkStart w:id="151" w:name="_Toc296891053"/>
      <w:bookmarkStart w:id="152" w:name="_Toc296346726"/>
      <w:bookmarkStart w:id="153" w:name="_Toc296503225"/>
      <w:bookmarkStart w:id="154" w:name="_Toc296944564"/>
      <w:bookmarkStart w:id="155" w:name="_Toc267261692"/>
      <w:bookmarkStart w:id="156" w:name="_Toc296891265"/>
      <w:r>
        <w:rPr>
          <w:rFonts w:ascii="宋体" w:hAnsi="宋体"/>
          <w:b/>
          <w:color w:val="000000" w:themeColor="text1"/>
          <w:szCs w:val="21"/>
          <w:highlight w:val="none"/>
          <w14:textFill>
            <w14:solidFill>
              <w14:schemeClr w14:val="tx1"/>
            </w14:solidFill>
          </w14:textFill>
        </w:rPr>
        <w:t>件2：</w:t>
      </w:r>
    </w:p>
    <w:bookmarkEnd w:id="150"/>
    <w:bookmarkEnd w:id="151"/>
    <w:bookmarkEnd w:id="152"/>
    <w:bookmarkEnd w:id="153"/>
    <w:bookmarkEnd w:id="154"/>
    <w:bookmarkEnd w:id="155"/>
    <w:bookmarkEnd w:id="156"/>
    <w:p w14:paraId="7F987C39">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发包人供应材料设备一览表</w:t>
      </w:r>
    </w:p>
    <w:tbl>
      <w:tblPr>
        <w:tblStyle w:val="28"/>
        <w:tblpPr w:leftFromText="180" w:rightFromText="180" w:vertAnchor="text" w:horzAnchor="page" w:tblpX="695" w:tblpY="173"/>
        <w:tblOverlap w:val="never"/>
        <w:tblW w:w="1070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527134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51" w:type="dxa"/>
            <w:tcBorders>
              <w:top w:val="single" w:color="auto" w:sz="12" w:space="0"/>
              <w:bottom w:val="double" w:color="auto" w:sz="6" w:space="0"/>
            </w:tcBorders>
            <w:vAlign w:val="center"/>
          </w:tcPr>
          <w:p w14:paraId="3EB7B53A">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序号</w:t>
            </w:r>
          </w:p>
        </w:tc>
        <w:tc>
          <w:tcPr>
            <w:tcW w:w="1276" w:type="dxa"/>
            <w:tcBorders>
              <w:top w:val="single" w:color="auto" w:sz="12" w:space="0"/>
              <w:bottom w:val="double" w:color="auto" w:sz="6" w:space="0"/>
            </w:tcBorders>
            <w:vAlign w:val="center"/>
          </w:tcPr>
          <w:p w14:paraId="5054AF9D">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材料、</w:t>
            </w:r>
          </w:p>
          <w:p w14:paraId="5A121AC4">
            <w:pPr>
              <w:pStyle w:val="10"/>
              <w:keepNext/>
              <w:ind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设备品种</w:t>
            </w:r>
          </w:p>
        </w:tc>
        <w:tc>
          <w:tcPr>
            <w:tcW w:w="1418" w:type="dxa"/>
            <w:tcBorders>
              <w:top w:val="single" w:color="auto" w:sz="12" w:space="0"/>
              <w:bottom w:val="double" w:color="auto" w:sz="6" w:space="0"/>
            </w:tcBorders>
            <w:vAlign w:val="center"/>
          </w:tcPr>
          <w:p w14:paraId="529DED65">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规格型号</w:t>
            </w:r>
          </w:p>
        </w:tc>
        <w:tc>
          <w:tcPr>
            <w:tcW w:w="940" w:type="dxa"/>
            <w:tcBorders>
              <w:top w:val="single" w:color="auto" w:sz="12" w:space="0"/>
              <w:bottom w:val="double" w:color="auto" w:sz="6" w:space="0"/>
            </w:tcBorders>
            <w:vAlign w:val="center"/>
          </w:tcPr>
          <w:p w14:paraId="252B710A">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单位</w:t>
            </w:r>
          </w:p>
        </w:tc>
        <w:tc>
          <w:tcPr>
            <w:tcW w:w="851" w:type="dxa"/>
            <w:tcBorders>
              <w:top w:val="single" w:color="auto" w:sz="12" w:space="0"/>
              <w:bottom w:val="double" w:color="auto" w:sz="6" w:space="0"/>
            </w:tcBorders>
            <w:vAlign w:val="center"/>
          </w:tcPr>
          <w:p w14:paraId="65FBF9BF">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数量</w:t>
            </w:r>
          </w:p>
        </w:tc>
        <w:tc>
          <w:tcPr>
            <w:tcW w:w="1044" w:type="dxa"/>
            <w:tcBorders>
              <w:top w:val="single" w:color="auto" w:sz="12" w:space="0"/>
              <w:bottom w:val="double" w:color="auto" w:sz="6" w:space="0"/>
            </w:tcBorders>
            <w:vAlign w:val="center"/>
          </w:tcPr>
          <w:p w14:paraId="3169ADE0">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单价</w:t>
            </w:r>
            <w:r>
              <w:rPr>
                <w:rFonts w:hint="eastAsia" w:ascii="宋体" w:hAnsi="宋体"/>
                <w:color w:val="000000" w:themeColor="text1"/>
                <w:szCs w:val="21"/>
                <w:highlight w:val="none"/>
                <w14:textFill>
                  <w14:solidFill>
                    <w14:schemeClr w14:val="tx1"/>
                  </w14:solidFill>
                </w14:textFill>
              </w:rPr>
              <w:t>（元）</w:t>
            </w:r>
          </w:p>
        </w:tc>
        <w:tc>
          <w:tcPr>
            <w:tcW w:w="992" w:type="dxa"/>
            <w:tcBorders>
              <w:top w:val="single" w:color="auto" w:sz="12" w:space="0"/>
              <w:bottom w:val="double" w:color="auto" w:sz="6" w:space="0"/>
            </w:tcBorders>
            <w:vAlign w:val="center"/>
          </w:tcPr>
          <w:p w14:paraId="510C50FA">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质量等级</w:t>
            </w:r>
          </w:p>
        </w:tc>
        <w:tc>
          <w:tcPr>
            <w:tcW w:w="851" w:type="dxa"/>
            <w:tcBorders>
              <w:top w:val="single" w:color="auto" w:sz="12" w:space="0"/>
              <w:bottom w:val="double" w:color="auto" w:sz="6" w:space="0"/>
            </w:tcBorders>
            <w:vAlign w:val="center"/>
          </w:tcPr>
          <w:p w14:paraId="5C2331F3">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供应时间</w:t>
            </w:r>
          </w:p>
        </w:tc>
        <w:tc>
          <w:tcPr>
            <w:tcW w:w="1487" w:type="dxa"/>
            <w:tcBorders>
              <w:top w:val="single" w:color="auto" w:sz="12" w:space="0"/>
              <w:bottom w:val="double" w:color="auto" w:sz="6" w:space="0"/>
            </w:tcBorders>
            <w:vAlign w:val="center"/>
          </w:tcPr>
          <w:p w14:paraId="1B142BBF">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送达地点</w:t>
            </w:r>
          </w:p>
        </w:tc>
        <w:tc>
          <w:tcPr>
            <w:tcW w:w="992" w:type="dxa"/>
            <w:tcBorders>
              <w:top w:val="single" w:color="auto" w:sz="12" w:space="0"/>
              <w:bottom w:val="double" w:color="auto" w:sz="6" w:space="0"/>
            </w:tcBorders>
            <w:vAlign w:val="center"/>
          </w:tcPr>
          <w:p w14:paraId="382A8708">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备注</w:t>
            </w:r>
          </w:p>
        </w:tc>
      </w:tr>
      <w:tr w14:paraId="317146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7" w:hRule="atLeast"/>
        </w:trPr>
        <w:tc>
          <w:tcPr>
            <w:tcW w:w="10702" w:type="dxa"/>
            <w:gridSpan w:val="10"/>
            <w:tcBorders>
              <w:top w:val="double" w:color="auto" w:sz="6" w:space="0"/>
            </w:tcBorders>
            <w:vAlign w:val="center"/>
          </w:tcPr>
          <w:p w14:paraId="21491A82">
            <w:pPr>
              <w:spacing w:line="400" w:lineRule="exact"/>
              <w:ind w:firstLine="420" w:firstLineChars="200"/>
              <w:jc w:val="left"/>
              <w:rPr>
                <w:rFonts w:ascii="宋体" w:hAnsi="宋体"/>
                <w:color w:val="000000" w:themeColor="text1"/>
                <w:szCs w:val="21"/>
                <w:highlight w:val="none"/>
                <w14:textFill>
                  <w14:solidFill>
                    <w14:schemeClr w14:val="tx1"/>
                  </w14:solidFill>
                </w14:textFill>
              </w:rPr>
            </w:pPr>
          </w:p>
        </w:tc>
      </w:tr>
    </w:tbl>
    <w:p w14:paraId="3B59C087">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1C53B0A3">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29E8DA6F">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4CF73CAE">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398D8E66">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55B24554">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5520EDD6">
      <w:pPr>
        <w:pageBreakBefore/>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附</w:t>
      </w:r>
      <w:bookmarkStart w:id="157" w:name="_Toc296944565"/>
      <w:bookmarkStart w:id="158" w:name="_Toc296347225"/>
      <w:bookmarkStart w:id="159" w:name="_Toc296346727"/>
      <w:bookmarkStart w:id="160" w:name="_Toc296891054"/>
      <w:bookmarkStart w:id="161" w:name="_Toc296891266"/>
      <w:bookmarkStart w:id="162" w:name="_Toc296503226"/>
      <w:bookmarkStart w:id="163" w:name="_Toc267261693"/>
      <w:r>
        <w:rPr>
          <w:rFonts w:ascii="宋体" w:hAnsi="宋体"/>
          <w:color w:val="000000" w:themeColor="text1"/>
          <w:szCs w:val="21"/>
          <w:highlight w:val="none"/>
          <w14:textFill>
            <w14:solidFill>
              <w14:schemeClr w14:val="tx1"/>
            </w14:solidFill>
          </w14:textFill>
        </w:rPr>
        <w:t>件3：</w:t>
      </w:r>
      <w:bookmarkEnd w:id="157"/>
      <w:bookmarkEnd w:id="158"/>
      <w:bookmarkEnd w:id="159"/>
      <w:bookmarkEnd w:id="160"/>
      <w:bookmarkEnd w:id="161"/>
      <w:bookmarkEnd w:id="162"/>
      <w:bookmarkEnd w:id="163"/>
    </w:p>
    <w:p w14:paraId="3F582BA1">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工程质量保修书</w:t>
      </w:r>
    </w:p>
    <w:p w14:paraId="6FB49A7C">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发包人（全称）：</w:t>
      </w:r>
    </w:p>
    <w:p w14:paraId="6F993615">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承包人（全称）：</w:t>
      </w:r>
    </w:p>
    <w:p w14:paraId="4CDC348A">
      <w:pPr>
        <w:spacing w:line="360" w:lineRule="auto"/>
        <w:rPr>
          <w:rFonts w:ascii="宋体" w:hAnsi="宋体"/>
          <w:color w:val="000000" w:themeColor="text1"/>
          <w:szCs w:val="21"/>
          <w:highlight w:val="none"/>
          <w14:textFill>
            <w14:solidFill>
              <w14:schemeClr w14:val="tx1"/>
            </w14:solidFill>
          </w14:textFill>
        </w:rPr>
      </w:pPr>
    </w:p>
    <w:p w14:paraId="188FB6DE">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发包人和承包人根据《中华人民共和国建筑法》和《建设工程质量管理条例》，经协商一致就</w:t>
      </w:r>
      <w:r>
        <w:rPr>
          <w:rFonts w:hint="eastAsia" w:ascii="宋体" w:hAnsi="宋体"/>
          <w:color w:val="000000" w:themeColor="text1"/>
          <w:szCs w:val="21"/>
          <w:highlight w:val="none"/>
          <w:u w:val="single"/>
          <w:lang w:eastAsia="zh-CN"/>
          <w14:textFill>
            <w14:solidFill>
              <w14:schemeClr w14:val="tx1"/>
            </w14:solidFill>
          </w14:textFill>
        </w:rPr>
        <w:t>中国药科大学江宁校区一食堂三楼部分包间修缮项目</w:t>
      </w:r>
      <w:r>
        <w:rPr>
          <w:rFonts w:ascii="宋体" w:hAnsi="宋体"/>
          <w:color w:val="000000" w:themeColor="text1"/>
          <w:szCs w:val="21"/>
          <w:highlight w:val="none"/>
          <w:u w:val="single"/>
          <w14:textFill>
            <w14:solidFill>
              <w14:schemeClr w14:val="tx1"/>
            </w14:solidFill>
          </w14:textFill>
        </w:rPr>
        <w:t>（</w:t>
      </w:r>
      <w:r>
        <w:rPr>
          <w:rFonts w:ascii="宋体" w:hAnsi="宋体"/>
          <w:color w:val="000000" w:themeColor="text1"/>
          <w:szCs w:val="21"/>
          <w:highlight w:val="none"/>
          <w14:textFill>
            <w14:solidFill>
              <w14:schemeClr w14:val="tx1"/>
            </w14:solidFill>
          </w14:textFill>
        </w:rPr>
        <w:t>工程全称）签订工程质量保修书。</w:t>
      </w:r>
    </w:p>
    <w:p w14:paraId="28765448">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一、工程质量保修范围和内容</w:t>
      </w:r>
    </w:p>
    <w:p w14:paraId="48E0716C">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承包人在质量保修期内，按照有关法律规定和合同约定，承担工程质量保修责任。</w:t>
      </w:r>
    </w:p>
    <w:p w14:paraId="7CCBE1AE">
      <w:pPr>
        <w:spacing w:line="360" w:lineRule="auto"/>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themeColor="text1"/>
          <w:szCs w:val="21"/>
          <w:highlight w:val="none"/>
          <w:u w:val="single"/>
          <w14:textFill>
            <w14:solidFill>
              <w14:schemeClr w14:val="tx1"/>
            </w14:solidFill>
          </w14:textFill>
        </w:rPr>
        <w:t>施工合同约定承包范围内所有施工内容</w:t>
      </w:r>
      <w:r>
        <w:rPr>
          <w:rFonts w:ascii="宋体" w:hAnsi="宋体"/>
          <w:color w:val="000000" w:themeColor="text1"/>
          <w:szCs w:val="21"/>
          <w:highlight w:val="none"/>
          <w14:textFill>
            <w14:solidFill>
              <w14:schemeClr w14:val="tx1"/>
            </w14:solidFill>
          </w14:textFill>
        </w:rPr>
        <w:t>。</w:t>
      </w:r>
    </w:p>
    <w:p w14:paraId="19EA2EA3">
      <w:pPr>
        <w:spacing w:line="360" w:lineRule="auto"/>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w:t>
      </w:r>
      <w:r>
        <w:rPr>
          <w:rFonts w:ascii="宋体" w:hAnsi="宋体"/>
          <w:color w:val="000000" w:themeColor="text1"/>
          <w:szCs w:val="21"/>
          <w:highlight w:val="none"/>
          <w14:textFill>
            <w14:solidFill>
              <w14:schemeClr w14:val="tx1"/>
            </w14:solidFill>
          </w14:textFill>
        </w:rPr>
        <w:t>二、质量保修期</w:t>
      </w:r>
    </w:p>
    <w:p w14:paraId="5D808040">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根据《建设工程质量管理条例》及有关规定，工程的质量保修期如下：</w:t>
      </w:r>
    </w:p>
    <w:p w14:paraId="41E68BB1">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1．地基基础工程和主体结构工程为设计文件规定的工程合理使用年限；</w:t>
      </w:r>
    </w:p>
    <w:p w14:paraId="27A2F513">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2．屋面防水工程、有防水要求的卫生间、房间和外墙面的防渗为</w:t>
      </w:r>
      <w:r>
        <w:rPr>
          <w:rStyle w:val="87"/>
          <w:rFonts w:hint="eastAsia" w:ascii="宋体" w:hAnsi="宋体" w:cs="Arial"/>
          <w:color w:val="000000" w:themeColor="text1"/>
          <w:sz w:val="21"/>
          <w:szCs w:val="21"/>
          <w:highlight w:val="none"/>
          <w14:textFill>
            <w14:solidFill>
              <w14:schemeClr w14:val="tx1"/>
            </w14:solidFill>
          </w14:textFill>
        </w:rPr>
        <w:t xml:space="preserve">  5   </w:t>
      </w:r>
      <w:r>
        <w:rPr>
          <w:rStyle w:val="86"/>
          <w:rFonts w:hint="eastAsia" w:cs="Arial"/>
          <w:color w:val="000000" w:themeColor="text1"/>
          <w:sz w:val="21"/>
          <w:szCs w:val="21"/>
          <w:highlight w:val="none"/>
          <w14:textFill>
            <w14:solidFill>
              <w14:schemeClr w14:val="tx1"/>
            </w14:solidFill>
          </w14:textFill>
        </w:rPr>
        <w:t>年；</w:t>
      </w:r>
    </w:p>
    <w:p w14:paraId="4DD49AC0">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3．装修工程为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年；</w:t>
      </w:r>
    </w:p>
    <w:p w14:paraId="214D0D1D">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4．电气管线、给排水管道、设备安装工程为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年；</w:t>
      </w:r>
    </w:p>
    <w:p w14:paraId="1797CC17">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5．供热与供冷系统为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个采暖期、供冷期；</w:t>
      </w:r>
    </w:p>
    <w:p w14:paraId="2C2667D4">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6．住宅小区内的给排水设施、道路等配套工程为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年；</w:t>
      </w:r>
    </w:p>
    <w:p w14:paraId="2C4F5A5E">
      <w:pPr>
        <w:autoSpaceDE w:val="0"/>
        <w:autoSpaceDN w:val="0"/>
        <w:adjustRightInd w:val="0"/>
        <w:spacing w:line="360" w:lineRule="auto"/>
        <w:ind w:left="-359" w:leftChars="-171" w:right="-178" w:rightChars="-85" w:firstLine="420" w:firstLineChars="200"/>
        <w:rPr>
          <w:rFonts w:ascii="宋体" w:hAnsi="宋体" w:cs="宋体"/>
          <w:bCs/>
          <w:color w:val="000000" w:themeColor="text1"/>
          <w:szCs w:val="21"/>
          <w:highlight w:val="none"/>
          <w:u w:val="single"/>
          <w14:textFill>
            <w14:solidFill>
              <w14:schemeClr w14:val="tx1"/>
            </w14:solidFill>
          </w14:textFill>
        </w:rPr>
      </w:pPr>
      <w:r>
        <w:rPr>
          <w:rStyle w:val="86"/>
          <w:rFonts w:hint="eastAsia" w:cs="Arial"/>
          <w:color w:val="000000" w:themeColor="text1"/>
          <w:szCs w:val="21"/>
          <w:highlight w:val="none"/>
          <w14:textFill>
            <w14:solidFill>
              <w14:schemeClr w14:val="tx1"/>
            </w14:solidFill>
          </w14:textFill>
        </w:rPr>
        <w:t>7．其他项目保修期限约定如下</w:t>
      </w:r>
      <w:r>
        <w:rPr>
          <w:rStyle w:val="86"/>
          <w:rFonts w:hint="eastAsia" w:cs="Arial"/>
          <w:color w:val="000000" w:themeColor="text1"/>
          <w:szCs w:val="21"/>
          <w:highlight w:val="none"/>
          <w:u w:val="single"/>
          <w14:textFill>
            <w14:solidFill>
              <w14:schemeClr w14:val="tx1"/>
            </w14:solidFill>
          </w14:textFill>
        </w:rPr>
        <w:t>：7.1、</w:t>
      </w:r>
      <w:r>
        <w:rPr>
          <w:rFonts w:hint="eastAsia" w:ascii="宋体" w:hAnsi="宋体" w:cs="宋体"/>
          <w:bCs/>
          <w:color w:val="000000" w:themeColor="text1"/>
          <w:szCs w:val="21"/>
          <w:highlight w:val="none"/>
          <w:u w:val="single"/>
          <w14:textFill>
            <w14:solidFill>
              <w14:schemeClr w14:val="tx1"/>
            </w14:solidFill>
          </w14:textFill>
        </w:rPr>
        <w:t>本项目质量保证期为   年，自验收合格起计算。</w:t>
      </w:r>
    </w:p>
    <w:p w14:paraId="0D98BA6E">
      <w:pPr>
        <w:autoSpaceDE w:val="0"/>
        <w:autoSpaceDN w:val="0"/>
        <w:adjustRightInd w:val="0"/>
        <w:spacing w:line="360" w:lineRule="auto"/>
        <w:ind w:left="-359" w:leftChars="-171" w:right="-178" w:rightChars="-85" w:firstLine="420" w:firstLineChars="20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7.2 在质保期内，承包人在接发包人通知后，   小时内响应，省内的在   小时内，省外的在  小时内，赶到甲方现场，免费予以排除故障、修复或更换零部件,还应支付因更换所发生的运输、保险、安装、检测等有关的全部费用。</w:t>
      </w:r>
    </w:p>
    <w:p w14:paraId="288BFF8E">
      <w:pPr>
        <w:autoSpaceDE w:val="0"/>
        <w:autoSpaceDN w:val="0"/>
        <w:adjustRightInd w:val="0"/>
        <w:spacing w:line="360" w:lineRule="auto"/>
        <w:ind w:left="-359" w:leftChars="-171" w:right="-178" w:rightChars="-85" w:firstLine="420" w:firstLineChars="20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7.3质保期满后，如出现问题，承包人在接发包人通知后，仍应在上述时间内响应、派人赶到现场，帮助排除故障、修复或更换，需购买零部件时，酌情收取成本费。</w:t>
      </w:r>
    </w:p>
    <w:p w14:paraId="39BCF8A1">
      <w:pPr>
        <w:autoSpaceDE w:val="0"/>
        <w:autoSpaceDN w:val="0"/>
        <w:adjustRightInd w:val="0"/>
        <w:spacing w:line="360" w:lineRule="auto"/>
        <w:ind w:left="-359" w:leftChars="-171" w:right="-178" w:rightChars="-85"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7.4其他工程的质量保修期根据分包合同中的相应质量保修条款执行，若有冲突以最长质量保修年限为准。除上述规定外，应符合中华人民共和国建设部80号令《房屋建筑工程质量保修办法》关于保修期的规定。若国家、江苏地区，对上述具体工程的保修期有新的规定时，按新规定执行。</w:t>
      </w:r>
    </w:p>
    <w:p w14:paraId="116AC264">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质量保修期自工程竣工验收合格之日起计算。</w:t>
      </w:r>
    </w:p>
    <w:p w14:paraId="7A89B83F">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三、缺陷责任期</w:t>
      </w:r>
    </w:p>
    <w:p w14:paraId="708C247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工程缺陷责任期为</w:t>
      </w:r>
      <w:r>
        <w:rPr>
          <w:rFonts w:hint="eastAsia" w:ascii="宋体" w:hAnsi="宋体"/>
          <w:color w:val="000000" w:themeColor="text1"/>
          <w:szCs w:val="21"/>
          <w:highlight w:val="none"/>
          <w:u w:val="single"/>
          <w14:textFill>
            <w14:solidFill>
              <w14:schemeClr w14:val="tx1"/>
            </w14:solidFill>
          </w14:textFill>
        </w:rPr>
        <w:t>24</w:t>
      </w:r>
      <w:r>
        <w:rPr>
          <w:rFonts w:ascii="宋体" w:hAnsi="宋体"/>
          <w:color w:val="000000" w:themeColor="text1"/>
          <w:szCs w:val="21"/>
          <w:highlight w:val="none"/>
          <w14:textFill>
            <w14:solidFill>
              <w14:schemeClr w14:val="tx1"/>
            </w14:solidFill>
          </w14:textFill>
        </w:rPr>
        <w:t>个月，缺陷责任期自工程竣工验收合格之日起计算。单位工程先于全部工程进行验收，单位工程缺陷责任期自单位工程验收合格之日起算。</w:t>
      </w:r>
    </w:p>
    <w:p w14:paraId="1586EB5B">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四、质量保修责任</w:t>
      </w:r>
    </w:p>
    <w:p w14:paraId="49817590">
      <w:pPr>
        <w:spacing w:line="360" w:lineRule="auto"/>
        <w:ind w:left="105" w:leftChars="50" w:firstLine="430" w:firstLineChars="20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ascii="宋体" w:hAnsi="宋体"/>
          <w:color w:val="000000" w:themeColor="text1"/>
          <w:szCs w:val="21"/>
          <w:highlight w:val="none"/>
          <w14:textFill>
            <w14:solidFill>
              <w14:schemeClr w14:val="tx1"/>
            </w14:solidFill>
          </w14:textFill>
        </w:rPr>
        <w:t>属于保修范围、内容的项目，承包人应当在接到保修通知之日起7天内派人保修。承包人不在约定期限内派人保修的，发包人可以委托他人修理。</w:t>
      </w:r>
    </w:p>
    <w:p w14:paraId="28FCD697">
      <w:pPr>
        <w:spacing w:line="360" w:lineRule="auto"/>
        <w:ind w:left="105" w:leftChars="50" w:firstLine="430" w:firstLineChars="20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w:t>
      </w:r>
      <w:r>
        <w:rPr>
          <w:rFonts w:ascii="宋体" w:hAnsi="宋体"/>
          <w:color w:val="000000" w:themeColor="text1"/>
          <w:szCs w:val="21"/>
          <w:highlight w:val="none"/>
          <w14:textFill>
            <w14:solidFill>
              <w14:schemeClr w14:val="tx1"/>
            </w14:solidFill>
          </w14:textFill>
        </w:rPr>
        <w:t>发生紧急事故需抢修的，承包人在接到事故通知后，应当立即到达事故现场抢修。</w:t>
      </w:r>
    </w:p>
    <w:p w14:paraId="3E0B2AA2">
      <w:pPr>
        <w:spacing w:line="360" w:lineRule="auto"/>
        <w:ind w:left="105" w:leftChars="50" w:firstLine="430" w:firstLineChars="20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r>
        <w:rPr>
          <w:rFonts w:ascii="宋体" w:hAnsi="宋体"/>
          <w:color w:val="000000" w:themeColor="text1"/>
          <w:szCs w:val="21"/>
          <w:highlight w:val="none"/>
          <w14:textFill>
            <w14:solidFill>
              <w14:schemeClr w14:val="tx1"/>
            </w14:solidFill>
          </w14:textFill>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69EE951">
      <w:pPr>
        <w:spacing w:line="360" w:lineRule="auto"/>
        <w:ind w:left="420" w:leftChars="200" w:firstLine="105" w:firstLineChars="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ascii="宋体" w:hAnsi="宋体"/>
          <w:color w:val="000000" w:themeColor="text1"/>
          <w:szCs w:val="21"/>
          <w:highlight w:val="none"/>
          <w14:textFill>
            <w14:solidFill>
              <w14:schemeClr w14:val="tx1"/>
            </w14:solidFill>
          </w14:textFill>
        </w:rPr>
        <w:t>质量保修完成后，由发包人组织验收。</w:t>
      </w:r>
    </w:p>
    <w:p w14:paraId="02AA2549">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五、保修费用</w:t>
      </w:r>
    </w:p>
    <w:p w14:paraId="2F881172">
      <w:pPr>
        <w:spacing w:line="360" w:lineRule="auto"/>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保修费用由造成质量缺陷的责任方承担。</w:t>
      </w:r>
    </w:p>
    <w:p w14:paraId="12DFA93B">
      <w:pPr>
        <w:spacing w:line="360" w:lineRule="auto"/>
        <w:ind w:firstLine="420"/>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六</w:t>
      </w:r>
      <w:r>
        <w:rPr>
          <w:rFonts w:ascii="宋体" w:hAnsi="宋体"/>
          <w:color w:val="000000" w:themeColor="text1"/>
          <w:szCs w:val="21"/>
          <w:highlight w:val="none"/>
          <w14:textFill>
            <w14:solidFill>
              <w14:schemeClr w14:val="tx1"/>
            </w14:solidFill>
          </w14:textFill>
        </w:rPr>
        <w:t>、双方约定的其他工程质量保修事项：</w:t>
      </w:r>
      <w:r>
        <w:rPr>
          <w:rFonts w:hint="eastAsia" w:ascii="宋体" w:hAnsi="宋体"/>
          <w:color w:val="000000" w:themeColor="text1"/>
          <w:szCs w:val="21"/>
          <w:highlight w:val="none"/>
          <w:u w:val="single"/>
          <w14:textFill>
            <w14:solidFill>
              <w14:schemeClr w14:val="tx1"/>
            </w14:solidFill>
          </w14:textFill>
        </w:rPr>
        <w:t>/</w:t>
      </w:r>
      <w:r>
        <w:rPr>
          <w:rFonts w:ascii="宋体" w:hAnsi="宋体"/>
          <w:color w:val="000000" w:themeColor="text1"/>
          <w:szCs w:val="21"/>
          <w:highlight w:val="none"/>
          <w14:textFill>
            <w14:solidFill>
              <w14:schemeClr w14:val="tx1"/>
            </w14:solidFill>
          </w14:textFill>
        </w:rPr>
        <w:t>。</w:t>
      </w:r>
    </w:p>
    <w:p w14:paraId="1C77302B">
      <w:pPr>
        <w:spacing w:line="360" w:lineRule="auto"/>
        <w:ind w:firstLine="399" w:firstLineChars="19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工程质量保修书由发包人、承包人在工程竣工验收前共同签署，作为施工合同附件，其有效期限至保修期满。</w:t>
      </w:r>
    </w:p>
    <w:p w14:paraId="40CE8183">
      <w:pPr>
        <w:spacing w:line="360" w:lineRule="auto"/>
        <w:ind w:firstLine="420"/>
        <w:rPr>
          <w:rFonts w:ascii="宋体" w:hAnsi="宋体"/>
          <w:color w:val="000000" w:themeColor="text1"/>
          <w:szCs w:val="21"/>
          <w:highlight w:val="none"/>
          <w14:textFill>
            <w14:solidFill>
              <w14:schemeClr w14:val="tx1"/>
            </w14:solidFill>
          </w14:textFill>
        </w:rPr>
      </w:pPr>
    </w:p>
    <w:p w14:paraId="30E9171D">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发包人(盖章)：</w:t>
      </w:r>
      <w:r>
        <w:rPr>
          <w:rFonts w:hint="eastAsia" w:ascii="宋体" w:hAnsi="宋体" w:cs="宋体"/>
          <w:color w:val="000000" w:themeColor="text1"/>
          <w:szCs w:val="21"/>
          <w:highlight w:val="none"/>
          <w:u w:val="single"/>
          <w14:textFill>
            <w14:solidFill>
              <w14:schemeClr w14:val="tx1"/>
            </w14:solidFill>
          </w14:textFill>
        </w:rPr>
        <w:t xml:space="preserve">           </w:t>
      </w:r>
      <w:r>
        <w:rPr>
          <w:rFonts w:hint="eastAsia" w:ascii="宋体" w:hAnsi="宋体" w:cs="宋体"/>
          <w:color w:val="000000" w:themeColor="text1"/>
          <w:szCs w:val="21"/>
          <w:highlight w:val="none"/>
          <w14:textFill>
            <w14:solidFill>
              <w14:schemeClr w14:val="tx1"/>
            </w14:solidFill>
          </w14:textFill>
        </w:rPr>
        <w:t xml:space="preserve">   承包人(公章)：</w:t>
      </w:r>
      <w:r>
        <w:rPr>
          <w:rFonts w:hint="eastAsia" w:ascii="宋体" w:hAnsi="宋体" w:cs="宋体"/>
          <w:color w:val="000000" w:themeColor="text1"/>
          <w:szCs w:val="21"/>
          <w:highlight w:val="none"/>
          <w:u w:val="single"/>
          <w14:textFill>
            <w14:solidFill>
              <w14:schemeClr w14:val="tx1"/>
            </w14:solidFill>
          </w14:textFill>
        </w:rPr>
        <w:t xml:space="preserve">                         </w:t>
      </w:r>
    </w:p>
    <w:p w14:paraId="6952B6E9">
      <w:pPr>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地  址：</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04629640">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法定代表人(签字)：</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法定代表人(签字)：</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7C42AC8D">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委托代理人(签字)：</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委托代理人(签字)：</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25625F09">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  话：</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电  话：</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75B63038">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传  真：</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传  真：</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p>
    <w:p w14:paraId="429C3B22">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开户银行：</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开户银行：</w:t>
      </w:r>
      <w:r>
        <w:rPr>
          <w:rFonts w:hint="eastAsia" w:ascii="宋体" w:hAnsi="宋体" w:cs="宋体"/>
          <w:color w:val="000000" w:themeColor="text1"/>
          <w:sz w:val="24"/>
          <w:szCs w:val="24"/>
          <w:highlight w:val="none"/>
          <w:u w:val="single"/>
          <w14:textFill>
            <w14:solidFill>
              <w14:schemeClr w14:val="tx1"/>
            </w14:solidFill>
          </w14:textFill>
        </w:rPr>
        <w:t xml:space="preserve">                 </w:t>
      </w:r>
    </w:p>
    <w:p w14:paraId="4C4D6C6B">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账  号：</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 xml:space="preserve">   账 号：</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0AA44069">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邮政编码：</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 xml:space="preserve">  邮政编码：</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0331A57A">
      <w:pPr>
        <w:spacing w:line="360" w:lineRule="auto"/>
        <w:rPr>
          <w:rFonts w:ascii="宋体" w:hAnsi="宋体"/>
          <w:color w:val="000000" w:themeColor="text1"/>
          <w:szCs w:val="21"/>
          <w:highlight w:val="none"/>
          <w14:textFill>
            <w14:solidFill>
              <w14:schemeClr w14:val="tx1"/>
            </w14:solidFill>
          </w14:textFill>
        </w:rPr>
      </w:pPr>
      <w:r>
        <w:rPr>
          <w:rFonts w:ascii="华文中宋" w:hAnsi="华文中宋" w:eastAsia="华文中宋"/>
          <w:b/>
          <w:color w:val="000000" w:themeColor="text1"/>
          <w:sz w:val="24"/>
          <w:szCs w:val="24"/>
          <w:highlight w:val="none"/>
          <w14:textFill>
            <w14:solidFill>
              <w14:schemeClr w14:val="tx1"/>
            </w14:solidFill>
          </w14:textFill>
        </w:rPr>
        <w:br w:type="page"/>
      </w:r>
      <w:r>
        <w:rPr>
          <w:rFonts w:ascii="宋体" w:hAnsi="宋体"/>
          <w:color w:val="000000" w:themeColor="text1"/>
          <w:szCs w:val="21"/>
          <w:highlight w:val="none"/>
          <w14:textFill>
            <w14:solidFill>
              <w14:schemeClr w14:val="tx1"/>
            </w14:solidFill>
          </w14:textFill>
        </w:rPr>
        <w:t>附件4：</w:t>
      </w:r>
    </w:p>
    <w:p w14:paraId="102E56B9">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主要建设工程文件目录</w:t>
      </w:r>
    </w:p>
    <w:tbl>
      <w:tblPr>
        <w:tblStyle w:val="28"/>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103C31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501B0ED8">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文件名称</w:t>
            </w:r>
          </w:p>
        </w:tc>
        <w:tc>
          <w:tcPr>
            <w:tcW w:w="1276" w:type="dxa"/>
            <w:tcBorders>
              <w:top w:val="single" w:color="auto" w:sz="12" w:space="0"/>
              <w:bottom w:val="double" w:color="auto" w:sz="6" w:space="0"/>
            </w:tcBorders>
            <w:vAlign w:val="center"/>
          </w:tcPr>
          <w:p w14:paraId="04A7EE2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套数</w:t>
            </w:r>
          </w:p>
        </w:tc>
        <w:tc>
          <w:tcPr>
            <w:tcW w:w="1450" w:type="dxa"/>
            <w:tcBorders>
              <w:top w:val="single" w:color="auto" w:sz="12" w:space="0"/>
              <w:bottom w:val="double" w:color="auto" w:sz="6" w:space="0"/>
            </w:tcBorders>
            <w:vAlign w:val="center"/>
          </w:tcPr>
          <w:p w14:paraId="5635D7A5">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费用</w:t>
            </w:r>
            <w:r>
              <w:rPr>
                <w:rFonts w:hint="eastAsia" w:ascii="宋体" w:hAnsi="宋体"/>
                <w:color w:val="000000" w:themeColor="text1"/>
                <w:szCs w:val="21"/>
                <w:highlight w:val="none"/>
                <w14:textFill>
                  <w14:solidFill>
                    <w14:schemeClr w14:val="tx1"/>
                  </w14:solidFill>
                </w14:textFill>
              </w:rPr>
              <w:t>（元）</w:t>
            </w:r>
          </w:p>
        </w:tc>
        <w:tc>
          <w:tcPr>
            <w:tcW w:w="1243" w:type="dxa"/>
            <w:tcBorders>
              <w:top w:val="single" w:color="auto" w:sz="12" w:space="0"/>
              <w:bottom w:val="double" w:color="auto" w:sz="6" w:space="0"/>
            </w:tcBorders>
            <w:vAlign w:val="center"/>
          </w:tcPr>
          <w:p w14:paraId="6E26F17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w:t>
            </w:r>
          </w:p>
        </w:tc>
        <w:tc>
          <w:tcPr>
            <w:tcW w:w="1450" w:type="dxa"/>
            <w:tcBorders>
              <w:top w:val="single" w:color="auto" w:sz="12" w:space="0"/>
              <w:bottom w:val="double" w:color="auto" w:sz="6" w:space="0"/>
            </w:tcBorders>
          </w:tcPr>
          <w:p w14:paraId="1532D561">
            <w:pPr>
              <w:spacing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移交时间</w:t>
            </w:r>
          </w:p>
        </w:tc>
        <w:tc>
          <w:tcPr>
            <w:tcW w:w="1667" w:type="dxa"/>
            <w:tcBorders>
              <w:top w:val="single" w:color="auto" w:sz="12" w:space="0"/>
              <w:bottom w:val="double" w:color="auto" w:sz="6" w:space="0"/>
            </w:tcBorders>
          </w:tcPr>
          <w:p w14:paraId="58C7F384">
            <w:pPr>
              <w:spacing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责任人</w:t>
            </w:r>
          </w:p>
        </w:tc>
      </w:tr>
      <w:tr w14:paraId="0D6994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74D74C30">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项目批文</w:t>
            </w:r>
          </w:p>
        </w:tc>
        <w:tc>
          <w:tcPr>
            <w:tcW w:w="1276" w:type="dxa"/>
            <w:tcBorders>
              <w:top w:val="double" w:color="auto" w:sz="6" w:space="0"/>
              <w:bottom w:val="single" w:color="auto" w:sz="6" w:space="0"/>
            </w:tcBorders>
            <w:vAlign w:val="center"/>
          </w:tcPr>
          <w:p w14:paraId="35359800">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p>
        </w:tc>
        <w:tc>
          <w:tcPr>
            <w:tcW w:w="1450" w:type="dxa"/>
            <w:tcBorders>
              <w:top w:val="double" w:color="auto" w:sz="6" w:space="0"/>
              <w:bottom w:val="single" w:color="auto" w:sz="6" w:space="0"/>
            </w:tcBorders>
            <w:vAlign w:val="center"/>
          </w:tcPr>
          <w:p w14:paraId="6E35316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tcBorders>
              <w:top w:val="double" w:color="auto" w:sz="6" w:space="0"/>
              <w:bottom w:val="single" w:color="auto" w:sz="6" w:space="0"/>
            </w:tcBorders>
            <w:vAlign w:val="center"/>
          </w:tcPr>
          <w:p w14:paraId="34B0389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tcBorders>
              <w:top w:val="double" w:color="auto" w:sz="6" w:space="0"/>
              <w:bottom w:val="single" w:color="auto" w:sz="6" w:space="0"/>
            </w:tcBorders>
            <w:vAlign w:val="center"/>
          </w:tcPr>
          <w:p w14:paraId="131F7D07">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开工前</w:t>
            </w:r>
          </w:p>
        </w:tc>
        <w:tc>
          <w:tcPr>
            <w:tcW w:w="1667" w:type="dxa"/>
            <w:tcBorders>
              <w:top w:val="double" w:color="auto" w:sz="6" w:space="0"/>
              <w:bottom w:val="single" w:color="auto" w:sz="6" w:space="0"/>
            </w:tcBorders>
            <w:vAlign w:val="center"/>
          </w:tcPr>
          <w:p w14:paraId="470CB41C">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w:t>
            </w:r>
          </w:p>
        </w:tc>
      </w:tr>
      <w:tr w14:paraId="49D13B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0CA75934">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图纸</w:t>
            </w:r>
          </w:p>
        </w:tc>
        <w:tc>
          <w:tcPr>
            <w:tcW w:w="1276" w:type="dxa"/>
            <w:tcBorders>
              <w:top w:val="nil"/>
            </w:tcBorders>
            <w:vAlign w:val="center"/>
          </w:tcPr>
          <w:p w14:paraId="3DDA1C6B">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p>
        </w:tc>
        <w:tc>
          <w:tcPr>
            <w:tcW w:w="1450" w:type="dxa"/>
            <w:tcBorders>
              <w:top w:val="nil"/>
            </w:tcBorders>
            <w:vAlign w:val="center"/>
          </w:tcPr>
          <w:p w14:paraId="5672208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tcBorders>
              <w:top w:val="nil"/>
            </w:tcBorders>
            <w:vAlign w:val="center"/>
          </w:tcPr>
          <w:p w14:paraId="731C5BDC">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符合使用要求</w:t>
            </w:r>
          </w:p>
        </w:tc>
        <w:tc>
          <w:tcPr>
            <w:tcW w:w="1450" w:type="dxa"/>
            <w:tcBorders>
              <w:top w:val="nil"/>
            </w:tcBorders>
            <w:vAlign w:val="center"/>
          </w:tcPr>
          <w:p w14:paraId="42A284B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开工前</w:t>
            </w:r>
          </w:p>
        </w:tc>
        <w:tc>
          <w:tcPr>
            <w:tcW w:w="1667" w:type="dxa"/>
            <w:tcBorders>
              <w:top w:val="nil"/>
            </w:tcBorders>
            <w:vAlign w:val="center"/>
          </w:tcPr>
          <w:p w14:paraId="27EACC7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w:t>
            </w:r>
          </w:p>
        </w:tc>
      </w:tr>
      <w:tr w14:paraId="75BA18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E2AD6D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技术文件</w:t>
            </w:r>
          </w:p>
        </w:tc>
        <w:tc>
          <w:tcPr>
            <w:tcW w:w="1276" w:type="dxa"/>
            <w:vAlign w:val="center"/>
          </w:tcPr>
          <w:p w14:paraId="1983B67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23182FD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1C825A8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64B687C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5D04FDD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33786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2998CB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w:t>
            </w:r>
          </w:p>
        </w:tc>
        <w:tc>
          <w:tcPr>
            <w:tcW w:w="1276" w:type="dxa"/>
            <w:vAlign w:val="center"/>
          </w:tcPr>
          <w:p w14:paraId="20596B9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35091A4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68BF7FA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0B6875B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31A0911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3E5CB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BCF214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p>
        </w:tc>
        <w:tc>
          <w:tcPr>
            <w:tcW w:w="1276" w:type="dxa"/>
            <w:vAlign w:val="center"/>
          </w:tcPr>
          <w:p w14:paraId="68ECD1C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16D7C90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4AB38C1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07621DB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7802483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0BB04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69C5F8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76" w:type="dxa"/>
            <w:vAlign w:val="center"/>
          </w:tcPr>
          <w:p w14:paraId="6224FFE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3787379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46EDF06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7C962A0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439C6C8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78AFB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0D56099">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48045876">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21343283">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69AF7B61">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2403BFA8">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088BA6C3">
            <w:pPr>
              <w:spacing w:line="360" w:lineRule="auto"/>
              <w:rPr>
                <w:rFonts w:ascii="宋体" w:hAnsi="宋体"/>
                <w:color w:val="000000" w:themeColor="text1"/>
                <w:szCs w:val="21"/>
                <w:highlight w:val="none"/>
                <w14:textFill>
                  <w14:solidFill>
                    <w14:schemeClr w14:val="tx1"/>
                  </w14:solidFill>
                </w14:textFill>
              </w:rPr>
            </w:pPr>
          </w:p>
        </w:tc>
      </w:tr>
      <w:tr w14:paraId="065464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53EA0E0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76" w:type="dxa"/>
            <w:vAlign w:val="center"/>
          </w:tcPr>
          <w:p w14:paraId="6D12BD9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042A86E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6DC6AD7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2DB4D01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028AD91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D1014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5CE4A6F">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31E2E02D">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3006266E">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1D2680FB">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5EA3A764">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02188C5F">
            <w:pPr>
              <w:spacing w:line="360" w:lineRule="auto"/>
              <w:rPr>
                <w:rFonts w:ascii="宋体" w:hAnsi="宋体"/>
                <w:color w:val="000000" w:themeColor="text1"/>
                <w:szCs w:val="21"/>
                <w:highlight w:val="none"/>
                <w14:textFill>
                  <w14:solidFill>
                    <w14:schemeClr w14:val="tx1"/>
                  </w14:solidFill>
                </w14:textFill>
              </w:rPr>
            </w:pPr>
          </w:p>
        </w:tc>
      </w:tr>
      <w:tr w14:paraId="3C8E25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E7516B6">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07CB23B9">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4D1E66BF">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60141909">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53443CB6">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3B6CFD0E">
            <w:pPr>
              <w:spacing w:line="360" w:lineRule="auto"/>
              <w:rPr>
                <w:rFonts w:ascii="宋体" w:hAnsi="宋体"/>
                <w:color w:val="000000" w:themeColor="text1"/>
                <w:szCs w:val="21"/>
                <w:highlight w:val="none"/>
                <w14:textFill>
                  <w14:solidFill>
                    <w14:schemeClr w14:val="tx1"/>
                  </w14:solidFill>
                </w14:textFill>
              </w:rPr>
            </w:pPr>
          </w:p>
        </w:tc>
      </w:tr>
      <w:tr w14:paraId="1B3A76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053CBCF">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00C90083">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50D0D51">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05080FA2">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FA93DF0">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18A952D1">
            <w:pPr>
              <w:spacing w:line="360" w:lineRule="auto"/>
              <w:rPr>
                <w:rFonts w:ascii="宋体" w:hAnsi="宋体"/>
                <w:color w:val="000000" w:themeColor="text1"/>
                <w:szCs w:val="21"/>
                <w:highlight w:val="none"/>
                <w14:textFill>
                  <w14:solidFill>
                    <w14:schemeClr w14:val="tx1"/>
                  </w14:solidFill>
                </w14:textFill>
              </w:rPr>
            </w:pPr>
          </w:p>
        </w:tc>
      </w:tr>
      <w:tr w14:paraId="46A0B5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6BF0384">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3263D2AA">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0159E99C">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488AAD1A">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6B4B0ED2">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19D5B26A">
            <w:pPr>
              <w:spacing w:line="360" w:lineRule="auto"/>
              <w:rPr>
                <w:rFonts w:ascii="宋体" w:hAnsi="宋体"/>
                <w:color w:val="000000" w:themeColor="text1"/>
                <w:szCs w:val="21"/>
                <w:highlight w:val="none"/>
                <w14:textFill>
                  <w14:solidFill>
                    <w14:schemeClr w14:val="tx1"/>
                  </w14:solidFill>
                </w14:textFill>
              </w:rPr>
            </w:pPr>
          </w:p>
        </w:tc>
      </w:tr>
      <w:tr w14:paraId="221BDA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8C749BE">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517BDF0D">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0BE726BE">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622BC960">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C0AC34C">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69D2FB28">
            <w:pPr>
              <w:spacing w:line="360" w:lineRule="auto"/>
              <w:rPr>
                <w:rFonts w:ascii="宋体" w:hAnsi="宋体"/>
                <w:color w:val="000000" w:themeColor="text1"/>
                <w:szCs w:val="21"/>
                <w:highlight w:val="none"/>
                <w14:textFill>
                  <w14:solidFill>
                    <w14:schemeClr w14:val="tx1"/>
                  </w14:solidFill>
                </w14:textFill>
              </w:rPr>
            </w:pPr>
          </w:p>
        </w:tc>
      </w:tr>
      <w:tr w14:paraId="2A7B34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BA3A994">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4BD6A2B3">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298BBB02">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01FE9333">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72E938D9">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6F1F583C">
            <w:pPr>
              <w:spacing w:line="360" w:lineRule="auto"/>
              <w:rPr>
                <w:rFonts w:ascii="宋体" w:hAnsi="宋体"/>
                <w:color w:val="000000" w:themeColor="text1"/>
                <w:szCs w:val="21"/>
                <w:highlight w:val="none"/>
                <w14:textFill>
                  <w14:solidFill>
                    <w14:schemeClr w14:val="tx1"/>
                  </w14:solidFill>
                </w14:textFill>
              </w:rPr>
            </w:pPr>
          </w:p>
        </w:tc>
      </w:tr>
    </w:tbl>
    <w:p w14:paraId="71B421C6">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506E8752">
      <w:pPr>
        <w:spacing w:line="360" w:lineRule="auto"/>
        <w:rPr>
          <w:rFonts w:ascii="宋体" w:hAnsi="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br w:type="page"/>
      </w:r>
      <w:r>
        <w:rPr>
          <w:rFonts w:ascii="宋体" w:hAnsi="宋体"/>
          <w:color w:val="000000" w:themeColor="text1"/>
          <w:szCs w:val="21"/>
          <w:highlight w:val="none"/>
          <w14:textFill>
            <w14:solidFill>
              <w14:schemeClr w14:val="tx1"/>
            </w14:solidFill>
          </w14:textFill>
        </w:rPr>
        <w:t>附</w:t>
      </w:r>
      <w:bookmarkStart w:id="164" w:name="_Toc296891055"/>
      <w:bookmarkStart w:id="165" w:name="_Toc296347226"/>
      <w:bookmarkStart w:id="166" w:name="_Toc267261698"/>
      <w:bookmarkStart w:id="167" w:name="_Toc296503227"/>
      <w:bookmarkStart w:id="168" w:name="_Toc296944566"/>
      <w:bookmarkStart w:id="169" w:name="_Toc296891267"/>
      <w:bookmarkStart w:id="170" w:name="_Toc296346728"/>
      <w:r>
        <w:rPr>
          <w:rFonts w:ascii="宋体" w:hAnsi="宋体"/>
          <w:color w:val="000000" w:themeColor="text1"/>
          <w:szCs w:val="21"/>
          <w:highlight w:val="none"/>
          <w14:textFill>
            <w14:solidFill>
              <w14:schemeClr w14:val="tx1"/>
            </w14:solidFill>
          </w14:textFill>
        </w:rPr>
        <w:t>件5：</w:t>
      </w:r>
    </w:p>
    <w:bookmarkEnd w:id="164"/>
    <w:bookmarkEnd w:id="165"/>
    <w:bookmarkEnd w:id="166"/>
    <w:bookmarkEnd w:id="167"/>
    <w:bookmarkEnd w:id="168"/>
    <w:bookmarkEnd w:id="169"/>
    <w:bookmarkEnd w:id="170"/>
    <w:p w14:paraId="118096FC">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承包人用于本工程施工的机械设备表</w:t>
      </w:r>
    </w:p>
    <w:tbl>
      <w:tblPr>
        <w:tblStyle w:val="2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3AAFE1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78D1EBE1">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序号</w:t>
            </w:r>
          </w:p>
        </w:tc>
        <w:tc>
          <w:tcPr>
            <w:tcW w:w="1418" w:type="dxa"/>
            <w:tcBorders>
              <w:top w:val="single" w:color="auto" w:sz="12" w:space="0"/>
              <w:bottom w:val="double" w:color="auto" w:sz="6" w:space="0"/>
            </w:tcBorders>
            <w:vAlign w:val="center"/>
          </w:tcPr>
          <w:p w14:paraId="307FDC9C">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机械或设备名称</w:t>
            </w:r>
          </w:p>
        </w:tc>
        <w:tc>
          <w:tcPr>
            <w:tcW w:w="850" w:type="dxa"/>
            <w:tcBorders>
              <w:top w:val="single" w:color="auto" w:sz="12" w:space="0"/>
              <w:bottom w:val="double" w:color="auto" w:sz="6" w:space="0"/>
            </w:tcBorders>
            <w:vAlign w:val="center"/>
          </w:tcPr>
          <w:p w14:paraId="7714BDA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规格型号</w:t>
            </w:r>
          </w:p>
        </w:tc>
        <w:tc>
          <w:tcPr>
            <w:tcW w:w="1058" w:type="dxa"/>
            <w:tcBorders>
              <w:top w:val="single" w:color="auto" w:sz="12" w:space="0"/>
              <w:bottom w:val="double" w:color="auto" w:sz="6" w:space="0"/>
            </w:tcBorders>
            <w:vAlign w:val="center"/>
          </w:tcPr>
          <w:p w14:paraId="7C015781">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数量</w:t>
            </w:r>
          </w:p>
        </w:tc>
        <w:tc>
          <w:tcPr>
            <w:tcW w:w="880" w:type="dxa"/>
            <w:tcBorders>
              <w:top w:val="single" w:color="auto" w:sz="12" w:space="0"/>
              <w:bottom w:val="double" w:color="auto" w:sz="6" w:space="0"/>
            </w:tcBorders>
            <w:vAlign w:val="center"/>
          </w:tcPr>
          <w:p w14:paraId="0FE667BB">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产地</w:t>
            </w:r>
          </w:p>
        </w:tc>
        <w:tc>
          <w:tcPr>
            <w:tcW w:w="1020" w:type="dxa"/>
            <w:tcBorders>
              <w:top w:val="single" w:color="auto" w:sz="12" w:space="0"/>
              <w:bottom w:val="double" w:color="auto" w:sz="6" w:space="0"/>
            </w:tcBorders>
            <w:vAlign w:val="center"/>
          </w:tcPr>
          <w:p w14:paraId="309546C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制造年份</w:t>
            </w:r>
          </w:p>
        </w:tc>
        <w:tc>
          <w:tcPr>
            <w:tcW w:w="1480" w:type="dxa"/>
            <w:tcBorders>
              <w:top w:val="single" w:color="auto" w:sz="12" w:space="0"/>
              <w:bottom w:val="double" w:color="auto" w:sz="6" w:space="0"/>
            </w:tcBorders>
            <w:vAlign w:val="center"/>
          </w:tcPr>
          <w:p w14:paraId="007CD1E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额定功率(kW)</w:t>
            </w:r>
          </w:p>
        </w:tc>
        <w:tc>
          <w:tcPr>
            <w:tcW w:w="1020" w:type="dxa"/>
            <w:tcBorders>
              <w:top w:val="single" w:color="auto" w:sz="12" w:space="0"/>
              <w:bottom w:val="double" w:color="auto" w:sz="6" w:space="0"/>
            </w:tcBorders>
            <w:vAlign w:val="center"/>
          </w:tcPr>
          <w:p w14:paraId="3B08092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生产能力</w:t>
            </w:r>
          </w:p>
        </w:tc>
        <w:tc>
          <w:tcPr>
            <w:tcW w:w="921" w:type="dxa"/>
            <w:tcBorders>
              <w:top w:val="single" w:color="auto" w:sz="12" w:space="0"/>
              <w:bottom w:val="double" w:color="auto" w:sz="6" w:space="0"/>
            </w:tcBorders>
            <w:vAlign w:val="center"/>
          </w:tcPr>
          <w:p w14:paraId="1E78456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备注</w:t>
            </w:r>
          </w:p>
        </w:tc>
      </w:tr>
      <w:tr w14:paraId="6899E2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356BA6D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top w:val="double" w:color="auto" w:sz="6" w:space="0"/>
              <w:bottom w:val="single" w:color="auto" w:sz="6" w:space="0"/>
            </w:tcBorders>
            <w:vAlign w:val="center"/>
          </w:tcPr>
          <w:p w14:paraId="6B26649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tcBorders>
              <w:top w:val="double" w:color="auto" w:sz="6" w:space="0"/>
              <w:bottom w:val="single" w:color="auto" w:sz="6" w:space="0"/>
            </w:tcBorders>
            <w:vAlign w:val="center"/>
          </w:tcPr>
          <w:p w14:paraId="68F772B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tcBorders>
              <w:top w:val="double" w:color="auto" w:sz="6" w:space="0"/>
              <w:bottom w:val="single" w:color="auto" w:sz="6" w:space="0"/>
            </w:tcBorders>
            <w:vAlign w:val="center"/>
          </w:tcPr>
          <w:p w14:paraId="213DC84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tcBorders>
              <w:top w:val="double" w:color="auto" w:sz="6" w:space="0"/>
              <w:bottom w:val="single" w:color="auto" w:sz="6" w:space="0"/>
            </w:tcBorders>
            <w:vAlign w:val="center"/>
          </w:tcPr>
          <w:p w14:paraId="49FEA2F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double" w:color="auto" w:sz="6" w:space="0"/>
              <w:bottom w:val="single" w:color="auto" w:sz="6" w:space="0"/>
            </w:tcBorders>
            <w:vAlign w:val="center"/>
          </w:tcPr>
          <w:p w14:paraId="5ACB168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tcBorders>
              <w:top w:val="double" w:color="auto" w:sz="6" w:space="0"/>
              <w:bottom w:val="single" w:color="auto" w:sz="6" w:space="0"/>
            </w:tcBorders>
            <w:vAlign w:val="center"/>
          </w:tcPr>
          <w:p w14:paraId="651D646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double" w:color="auto" w:sz="6" w:space="0"/>
              <w:bottom w:val="single" w:color="auto" w:sz="6" w:space="0"/>
            </w:tcBorders>
            <w:vAlign w:val="center"/>
          </w:tcPr>
          <w:p w14:paraId="2204892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tcBorders>
              <w:top w:val="double" w:color="auto" w:sz="6" w:space="0"/>
              <w:bottom w:val="single" w:color="auto" w:sz="6" w:space="0"/>
            </w:tcBorders>
            <w:vAlign w:val="center"/>
          </w:tcPr>
          <w:p w14:paraId="6534D17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8D1D4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3B23F7F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top w:val="nil"/>
            </w:tcBorders>
            <w:vAlign w:val="center"/>
          </w:tcPr>
          <w:p w14:paraId="2C95037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tcBorders>
              <w:top w:val="nil"/>
            </w:tcBorders>
            <w:vAlign w:val="center"/>
          </w:tcPr>
          <w:p w14:paraId="1BEC65D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tcBorders>
              <w:top w:val="nil"/>
            </w:tcBorders>
            <w:vAlign w:val="center"/>
          </w:tcPr>
          <w:p w14:paraId="7BE6804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tcBorders>
              <w:top w:val="nil"/>
            </w:tcBorders>
            <w:vAlign w:val="center"/>
          </w:tcPr>
          <w:p w14:paraId="24136B4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nil"/>
            </w:tcBorders>
            <w:vAlign w:val="center"/>
          </w:tcPr>
          <w:p w14:paraId="1125631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tcBorders>
              <w:top w:val="nil"/>
            </w:tcBorders>
            <w:vAlign w:val="center"/>
          </w:tcPr>
          <w:p w14:paraId="4CF42FE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nil"/>
            </w:tcBorders>
            <w:vAlign w:val="center"/>
          </w:tcPr>
          <w:p w14:paraId="744EF4C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tcBorders>
              <w:top w:val="nil"/>
            </w:tcBorders>
            <w:vAlign w:val="center"/>
          </w:tcPr>
          <w:p w14:paraId="684362E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B8E45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8B224F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074729B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57A9EB1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7579333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228B5FF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1E07078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5537AE8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0C6A674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5515112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4DD66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62244D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32955D2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32C6893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6502B40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40FB19B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2D690A8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36A9356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3FB8230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20EF64C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49A6C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4C620C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619311B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441A533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1EC4D99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31A710C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105EE74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1A033B8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5C0393D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1B735E7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13E95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A2D9EE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765BA7B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06E0D0B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73C735D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1DA14E0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410A071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484F07E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2F41FA5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38D0E07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3E048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3C7EDFC">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0734C62A">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3F8880E8">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4CF5FC56">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5B998DCA">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39DE2EE2">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467D439C">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7ED792D6">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52DD3FB0">
            <w:pPr>
              <w:spacing w:line="360" w:lineRule="auto"/>
              <w:rPr>
                <w:rFonts w:ascii="宋体" w:hAnsi="宋体"/>
                <w:color w:val="000000" w:themeColor="text1"/>
                <w:szCs w:val="21"/>
                <w:highlight w:val="none"/>
                <w14:textFill>
                  <w14:solidFill>
                    <w14:schemeClr w14:val="tx1"/>
                  </w14:solidFill>
                </w14:textFill>
              </w:rPr>
            </w:pPr>
          </w:p>
        </w:tc>
      </w:tr>
      <w:tr w14:paraId="6A04EA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036C54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2672A4F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42D33DB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268F9CF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11EB1E5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0D4ACE3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4383E23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6A567FD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31D0736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D3829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329D075">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6A104B79">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26128C36">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79E293F5">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3F074DCF">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4FBEA4E9">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5E3D8B1B">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6A82DD8A">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7BF1552B">
            <w:pPr>
              <w:spacing w:line="360" w:lineRule="auto"/>
              <w:rPr>
                <w:rFonts w:ascii="宋体" w:hAnsi="宋体"/>
                <w:color w:val="000000" w:themeColor="text1"/>
                <w:szCs w:val="21"/>
                <w:highlight w:val="none"/>
                <w14:textFill>
                  <w14:solidFill>
                    <w14:schemeClr w14:val="tx1"/>
                  </w14:solidFill>
                </w14:textFill>
              </w:rPr>
            </w:pPr>
          </w:p>
        </w:tc>
      </w:tr>
      <w:tr w14:paraId="7E2BA3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99A39E6">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4748B263">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3C094373">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211E8EF5">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20897E30">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271278EA">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67CA4FD3">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06132845">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006D10D5">
            <w:pPr>
              <w:spacing w:line="360" w:lineRule="auto"/>
              <w:rPr>
                <w:rFonts w:ascii="宋体" w:hAnsi="宋体"/>
                <w:color w:val="000000" w:themeColor="text1"/>
                <w:szCs w:val="21"/>
                <w:highlight w:val="none"/>
                <w14:textFill>
                  <w14:solidFill>
                    <w14:schemeClr w14:val="tx1"/>
                  </w14:solidFill>
                </w14:textFill>
              </w:rPr>
            </w:pPr>
          </w:p>
        </w:tc>
      </w:tr>
      <w:tr w14:paraId="7C8D88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9032076">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0883572F">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6E0DFF56">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6D96F920">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15B34B7C">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5EA5D52B">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7EF314F8">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7DDF9145">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1ACB2EDE">
            <w:pPr>
              <w:spacing w:line="360" w:lineRule="auto"/>
              <w:rPr>
                <w:rFonts w:ascii="宋体" w:hAnsi="宋体"/>
                <w:color w:val="000000" w:themeColor="text1"/>
                <w:szCs w:val="21"/>
                <w:highlight w:val="none"/>
                <w14:textFill>
                  <w14:solidFill>
                    <w14:schemeClr w14:val="tx1"/>
                  </w14:solidFill>
                </w14:textFill>
              </w:rPr>
            </w:pPr>
          </w:p>
        </w:tc>
      </w:tr>
      <w:tr w14:paraId="54F48E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F414CBC">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4E3879E3">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1E445CAC">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2FC48284">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49771526">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1E59AE49">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76EBB345">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5F2E42B3">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028901EF">
            <w:pPr>
              <w:spacing w:line="360" w:lineRule="auto"/>
              <w:rPr>
                <w:rFonts w:ascii="宋体" w:hAnsi="宋体"/>
                <w:color w:val="000000" w:themeColor="text1"/>
                <w:szCs w:val="21"/>
                <w:highlight w:val="none"/>
                <w14:textFill>
                  <w14:solidFill>
                    <w14:schemeClr w14:val="tx1"/>
                  </w14:solidFill>
                </w14:textFill>
              </w:rPr>
            </w:pPr>
          </w:p>
        </w:tc>
      </w:tr>
      <w:tr w14:paraId="647B09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020FE24">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27D663EF">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62369F4E">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43CF0B36">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65C3AA6E">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0D633021">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33691FB2">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4F65E2EB">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03D78444">
            <w:pPr>
              <w:spacing w:line="360" w:lineRule="auto"/>
              <w:rPr>
                <w:rFonts w:ascii="宋体" w:hAnsi="宋体"/>
                <w:color w:val="000000" w:themeColor="text1"/>
                <w:szCs w:val="21"/>
                <w:highlight w:val="none"/>
                <w14:textFill>
                  <w14:solidFill>
                    <w14:schemeClr w14:val="tx1"/>
                  </w14:solidFill>
                </w14:textFill>
              </w:rPr>
            </w:pPr>
          </w:p>
        </w:tc>
      </w:tr>
    </w:tbl>
    <w:p w14:paraId="70CAE40F">
      <w:pPr>
        <w:spacing w:line="360" w:lineRule="auto"/>
        <w:rPr>
          <w:rFonts w:ascii="宋体" w:hAnsi="宋体"/>
          <w:color w:val="000000" w:themeColor="text1"/>
          <w:szCs w:val="21"/>
          <w:highlight w:val="none"/>
          <w14:textFill>
            <w14:solidFill>
              <w14:schemeClr w14:val="tx1"/>
            </w14:solidFill>
          </w14:textFill>
        </w:rPr>
      </w:pPr>
    </w:p>
    <w:p w14:paraId="1149E6A6">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470779E2">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附</w:t>
      </w:r>
      <w:bookmarkStart w:id="171" w:name="_Toc296346729"/>
      <w:bookmarkStart w:id="172" w:name="_Toc296944567"/>
      <w:bookmarkStart w:id="173" w:name="_Toc296347227"/>
      <w:bookmarkStart w:id="174" w:name="_Toc267261699"/>
      <w:bookmarkStart w:id="175" w:name="_Toc296891268"/>
      <w:bookmarkStart w:id="176" w:name="_Toc296891056"/>
      <w:bookmarkStart w:id="177" w:name="_Toc296503228"/>
      <w:r>
        <w:rPr>
          <w:rFonts w:ascii="宋体" w:hAnsi="宋体"/>
          <w:color w:val="000000" w:themeColor="text1"/>
          <w:szCs w:val="21"/>
          <w:highlight w:val="none"/>
          <w14:textFill>
            <w14:solidFill>
              <w14:schemeClr w14:val="tx1"/>
            </w14:solidFill>
          </w14:textFill>
        </w:rPr>
        <w:t>件6：</w:t>
      </w:r>
      <w:bookmarkEnd w:id="171"/>
      <w:bookmarkEnd w:id="172"/>
      <w:bookmarkEnd w:id="173"/>
      <w:bookmarkEnd w:id="174"/>
      <w:bookmarkEnd w:id="175"/>
      <w:bookmarkEnd w:id="176"/>
      <w:bookmarkEnd w:id="177"/>
      <w:r>
        <w:rPr>
          <w:rFonts w:ascii="宋体" w:hAnsi="宋体"/>
          <w:color w:val="000000" w:themeColor="text1"/>
          <w:szCs w:val="21"/>
          <w:highlight w:val="none"/>
          <w14:textFill>
            <w14:solidFill>
              <w14:schemeClr w14:val="tx1"/>
            </w14:solidFill>
          </w14:textFill>
        </w:rPr>
        <w:t>承包人主要施工管理人员表</w:t>
      </w:r>
    </w:p>
    <w:tbl>
      <w:tblPr>
        <w:tblStyle w:val="2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028"/>
        <w:gridCol w:w="1261"/>
        <w:gridCol w:w="1134"/>
        <w:gridCol w:w="1134"/>
        <w:gridCol w:w="4252"/>
      </w:tblGrid>
      <w:tr w14:paraId="69C6F4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12" w:space="0"/>
              <w:bottom w:val="double" w:color="auto" w:sz="6" w:space="0"/>
            </w:tcBorders>
            <w:vAlign w:val="center"/>
          </w:tcPr>
          <w:p w14:paraId="17EC6381">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p>
        </w:tc>
        <w:tc>
          <w:tcPr>
            <w:tcW w:w="1261" w:type="dxa"/>
            <w:tcBorders>
              <w:top w:val="single" w:color="auto" w:sz="12" w:space="0"/>
              <w:bottom w:val="double" w:color="auto" w:sz="6" w:space="0"/>
            </w:tcBorders>
            <w:vAlign w:val="center"/>
          </w:tcPr>
          <w:p w14:paraId="202CD6FC">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姓名</w:t>
            </w:r>
          </w:p>
        </w:tc>
        <w:tc>
          <w:tcPr>
            <w:tcW w:w="1134" w:type="dxa"/>
            <w:tcBorders>
              <w:top w:val="single" w:color="auto" w:sz="12" w:space="0"/>
              <w:bottom w:val="double" w:color="auto" w:sz="6" w:space="0"/>
            </w:tcBorders>
            <w:vAlign w:val="center"/>
          </w:tcPr>
          <w:p w14:paraId="50D9A60A">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职务</w:t>
            </w:r>
          </w:p>
        </w:tc>
        <w:tc>
          <w:tcPr>
            <w:tcW w:w="1134" w:type="dxa"/>
            <w:tcBorders>
              <w:top w:val="single" w:color="auto" w:sz="12" w:space="0"/>
              <w:bottom w:val="double" w:color="auto" w:sz="6" w:space="0"/>
            </w:tcBorders>
            <w:vAlign w:val="center"/>
          </w:tcPr>
          <w:p w14:paraId="4D2C9F55">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职称</w:t>
            </w:r>
          </w:p>
        </w:tc>
        <w:tc>
          <w:tcPr>
            <w:tcW w:w="4252" w:type="dxa"/>
            <w:tcBorders>
              <w:top w:val="single" w:color="auto" w:sz="12" w:space="0"/>
              <w:bottom w:val="double" w:color="auto" w:sz="6" w:space="0"/>
            </w:tcBorders>
            <w:vAlign w:val="center"/>
          </w:tcPr>
          <w:p w14:paraId="0403DCFE">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主要资历、经验及承担过的项目</w:t>
            </w:r>
          </w:p>
        </w:tc>
      </w:tr>
      <w:tr w14:paraId="77D090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50B27AE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一、总部人员</w:t>
            </w:r>
          </w:p>
        </w:tc>
      </w:tr>
      <w:tr w14:paraId="7093D0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nil"/>
              <w:bottom w:val="nil"/>
            </w:tcBorders>
            <w:vAlign w:val="center"/>
          </w:tcPr>
          <w:p w14:paraId="082376F5">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项目主管</w:t>
            </w:r>
          </w:p>
        </w:tc>
        <w:tc>
          <w:tcPr>
            <w:tcW w:w="1261" w:type="dxa"/>
            <w:tcBorders>
              <w:top w:val="nil"/>
            </w:tcBorders>
            <w:vAlign w:val="center"/>
          </w:tcPr>
          <w:p w14:paraId="10D3661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17EAC37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1615669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top w:val="nil"/>
            </w:tcBorders>
            <w:vAlign w:val="center"/>
          </w:tcPr>
          <w:p w14:paraId="0463C6F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C00B9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nil"/>
            </w:tcBorders>
            <w:vAlign w:val="center"/>
          </w:tcPr>
          <w:p w14:paraId="366B9EC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vAlign w:val="center"/>
          </w:tcPr>
          <w:p w14:paraId="336E452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C92468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7906FF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0523C9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A2F67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nil"/>
              <w:bottom w:val="nil"/>
            </w:tcBorders>
            <w:vAlign w:val="center"/>
          </w:tcPr>
          <w:p w14:paraId="70EE7768">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261" w:type="dxa"/>
            <w:vAlign w:val="center"/>
          </w:tcPr>
          <w:p w14:paraId="628D716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041736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5CE232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0DCF275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C37C0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nil"/>
              <w:bottom w:val="nil"/>
            </w:tcBorders>
            <w:vAlign w:val="center"/>
          </w:tcPr>
          <w:p w14:paraId="438FE5A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vAlign w:val="center"/>
          </w:tcPr>
          <w:p w14:paraId="5278C25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F3214D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1B40B7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D25373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8B30C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1F1975DB">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二、现场人员</w:t>
            </w:r>
          </w:p>
        </w:tc>
      </w:tr>
      <w:tr w14:paraId="7AC2A9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3CD061C5">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项目经理</w:t>
            </w:r>
          </w:p>
        </w:tc>
        <w:tc>
          <w:tcPr>
            <w:tcW w:w="1261" w:type="dxa"/>
            <w:vAlign w:val="center"/>
          </w:tcPr>
          <w:p w14:paraId="0B5F0C9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82A5BE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AA038C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6412A2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7338B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424426DC">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项目副经理</w:t>
            </w:r>
          </w:p>
        </w:tc>
        <w:tc>
          <w:tcPr>
            <w:tcW w:w="1261" w:type="dxa"/>
            <w:vAlign w:val="center"/>
          </w:tcPr>
          <w:p w14:paraId="24E54BD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CE73C5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7F3904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CA2AF8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A01B3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109360D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技术负责人</w:t>
            </w:r>
          </w:p>
        </w:tc>
        <w:tc>
          <w:tcPr>
            <w:tcW w:w="1261" w:type="dxa"/>
            <w:vAlign w:val="center"/>
          </w:tcPr>
          <w:p w14:paraId="30E525B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61BF82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00C7DF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8C648D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7C136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13ED0760">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造价管理</w:t>
            </w:r>
          </w:p>
        </w:tc>
        <w:tc>
          <w:tcPr>
            <w:tcW w:w="1261" w:type="dxa"/>
            <w:vAlign w:val="center"/>
          </w:tcPr>
          <w:p w14:paraId="318C8A5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1325E2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F12205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B41426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DDBB3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2FFB0A9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质量管理</w:t>
            </w:r>
          </w:p>
        </w:tc>
        <w:tc>
          <w:tcPr>
            <w:tcW w:w="1261" w:type="dxa"/>
            <w:vAlign w:val="center"/>
          </w:tcPr>
          <w:p w14:paraId="04F7C81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E1C240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CDBAFC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6A1FC9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52FCB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07AC8CC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材料管理</w:t>
            </w:r>
          </w:p>
        </w:tc>
        <w:tc>
          <w:tcPr>
            <w:tcW w:w="1261" w:type="dxa"/>
            <w:vAlign w:val="center"/>
          </w:tcPr>
          <w:p w14:paraId="015535D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AF4DF5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D2FCBE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1FB5EE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D0509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52A356D5">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计划管理</w:t>
            </w:r>
          </w:p>
        </w:tc>
        <w:tc>
          <w:tcPr>
            <w:tcW w:w="1261" w:type="dxa"/>
            <w:vAlign w:val="center"/>
          </w:tcPr>
          <w:p w14:paraId="0120965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3504E5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E3BF4F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539103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EA7FA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79C7929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安全管理</w:t>
            </w:r>
          </w:p>
        </w:tc>
        <w:tc>
          <w:tcPr>
            <w:tcW w:w="1261" w:type="dxa"/>
            <w:vAlign w:val="center"/>
          </w:tcPr>
          <w:p w14:paraId="48D97D6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E1FA86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BF2BE5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24687F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51860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restart"/>
            <w:tcBorders>
              <w:top w:val="single" w:color="auto" w:sz="6" w:space="0"/>
            </w:tcBorders>
            <w:vAlign w:val="center"/>
          </w:tcPr>
          <w:p w14:paraId="1ADC80B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261" w:type="dxa"/>
            <w:vAlign w:val="center"/>
          </w:tcPr>
          <w:p w14:paraId="293F37F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8DCD8B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EE3F47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D97C2D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B3166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continue"/>
            <w:vAlign w:val="center"/>
          </w:tcPr>
          <w:p w14:paraId="7922FCE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tcBorders>
              <w:bottom w:val="nil"/>
            </w:tcBorders>
            <w:vAlign w:val="center"/>
          </w:tcPr>
          <w:p w14:paraId="68AF64D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4674A87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559A881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nil"/>
            </w:tcBorders>
            <w:vAlign w:val="center"/>
          </w:tcPr>
          <w:p w14:paraId="624B624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7973A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continue"/>
            <w:vAlign w:val="center"/>
          </w:tcPr>
          <w:p w14:paraId="343F16C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vAlign w:val="center"/>
          </w:tcPr>
          <w:p w14:paraId="1098C8F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B57FAF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649A73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575E187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D66F9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continue"/>
            <w:tcBorders>
              <w:bottom w:val="single" w:color="auto" w:sz="12" w:space="0"/>
            </w:tcBorders>
            <w:vAlign w:val="center"/>
          </w:tcPr>
          <w:p w14:paraId="772061C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tcBorders>
              <w:bottom w:val="single" w:color="auto" w:sz="12" w:space="0"/>
            </w:tcBorders>
            <w:vAlign w:val="center"/>
          </w:tcPr>
          <w:p w14:paraId="463466D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76271E3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6EE050A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single" w:color="auto" w:sz="12" w:space="0"/>
            </w:tcBorders>
            <w:vAlign w:val="center"/>
          </w:tcPr>
          <w:p w14:paraId="0387457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bl>
    <w:p w14:paraId="0093F645">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r>
        <w:rPr>
          <w:rFonts w:ascii="宋体" w:hAnsi="宋体"/>
          <w:color w:val="000000" w:themeColor="text1"/>
          <w:szCs w:val="21"/>
          <w:highlight w:val="none"/>
          <w14:textFill>
            <w14:solidFill>
              <w14:schemeClr w14:val="tx1"/>
            </w14:solidFill>
          </w14:textFill>
        </w:rPr>
        <w:t>附</w:t>
      </w:r>
      <w:bookmarkStart w:id="178" w:name="_Toc296346730"/>
      <w:bookmarkStart w:id="179" w:name="_Toc296944568"/>
      <w:bookmarkStart w:id="180" w:name="_Toc296347228"/>
      <w:bookmarkStart w:id="181" w:name="_Toc296503229"/>
      <w:bookmarkStart w:id="182" w:name="_Toc296891057"/>
      <w:bookmarkStart w:id="183" w:name="_Toc296891269"/>
      <w:r>
        <w:rPr>
          <w:rFonts w:ascii="宋体" w:hAnsi="宋体"/>
          <w:color w:val="000000" w:themeColor="text1"/>
          <w:szCs w:val="21"/>
          <w:highlight w:val="none"/>
          <w14:textFill>
            <w14:solidFill>
              <w14:schemeClr w14:val="tx1"/>
            </w14:solidFill>
          </w14:textFill>
        </w:rPr>
        <w:t>件7：</w:t>
      </w:r>
      <w:bookmarkEnd w:id="178"/>
      <w:bookmarkEnd w:id="179"/>
      <w:bookmarkEnd w:id="180"/>
      <w:bookmarkEnd w:id="181"/>
      <w:bookmarkEnd w:id="182"/>
      <w:bookmarkEnd w:id="183"/>
      <w:r>
        <w:rPr>
          <w:rFonts w:ascii="宋体" w:hAnsi="宋体"/>
          <w:color w:val="000000" w:themeColor="text1"/>
          <w:szCs w:val="21"/>
          <w:highlight w:val="none"/>
          <w14:textFill>
            <w14:solidFill>
              <w14:schemeClr w14:val="tx1"/>
            </w14:solidFill>
          </w14:textFill>
        </w:rPr>
        <w:t>分包人主要施工管理人员表</w:t>
      </w:r>
    </w:p>
    <w:tbl>
      <w:tblPr>
        <w:tblStyle w:val="2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307944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1DC804F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p>
        </w:tc>
        <w:tc>
          <w:tcPr>
            <w:tcW w:w="1418" w:type="dxa"/>
            <w:tcBorders>
              <w:top w:val="single" w:color="auto" w:sz="12" w:space="0"/>
              <w:bottom w:val="double" w:color="auto" w:sz="6" w:space="0"/>
            </w:tcBorders>
            <w:vAlign w:val="center"/>
          </w:tcPr>
          <w:p w14:paraId="1B819598">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姓名</w:t>
            </w:r>
          </w:p>
        </w:tc>
        <w:tc>
          <w:tcPr>
            <w:tcW w:w="1134" w:type="dxa"/>
            <w:tcBorders>
              <w:top w:val="single" w:color="auto" w:sz="12" w:space="0"/>
              <w:bottom w:val="double" w:color="auto" w:sz="6" w:space="0"/>
            </w:tcBorders>
            <w:vAlign w:val="center"/>
          </w:tcPr>
          <w:p w14:paraId="5B561DE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职务</w:t>
            </w:r>
          </w:p>
        </w:tc>
        <w:tc>
          <w:tcPr>
            <w:tcW w:w="1134" w:type="dxa"/>
            <w:tcBorders>
              <w:top w:val="single" w:color="auto" w:sz="12" w:space="0"/>
              <w:bottom w:val="double" w:color="auto" w:sz="6" w:space="0"/>
            </w:tcBorders>
            <w:vAlign w:val="center"/>
          </w:tcPr>
          <w:p w14:paraId="19303DE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职称</w:t>
            </w:r>
          </w:p>
        </w:tc>
        <w:tc>
          <w:tcPr>
            <w:tcW w:w="4252" w:type="dxa"/>
            <w:tcBorders>
              <w:top w:val="single" w:color="auto" w:sz="12" w:space="0"/>
              <w:bottom w:val="double" w:color="auto" w:sz="6" w:space="0"/>
            </w:tcBorders>
            <w:vAlign w:val="center"/>
          </w:tcPr>
          <w:p w14:paraId="57F1BFF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主要资历、经验及承担过的项目</w:t>
            </w:r>
          </w:p>
        </w:tc>
      </w:tr>
      <w:tr w14:paraId="77B805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2B7A07D1">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一、总部人员</w:t>
            </w:r>
          </w:p>
        </w:tc>
      </w:tr>
      <w:tr w14:paraId="7BFDD3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03F99F6">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项目主管</w:t>
            </w:r>
          </w:p>
        </w:tc>
        <w:tc>
          <w:tcPr>
            <w:tcW w:w="1418" w:type="dxa"/>
            <w:tcBorders>
              <w:top w:val="nil"/>
            </w:tcBorders>
            <w:vAlign w:val="center"/>
          </w:tcPr>
          <w:p w14:paraId="192A2E9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5246627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5F2DFC4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top w:val="nil"/>
            </w:tcBorders>
            <w:vAlign w:val="center"/>
          </w:tcPr>
          <w:p w14:paraId="16D8BFC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8E7A8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7877053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0573A4C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46F8A3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9FD7DD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DA7AF5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00DB0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116DB06">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418" w:type="dxa"/>
            <w:vAlign w:val="center"/>
          </w:tcPr>
          <w:p w14:paraId="4EC90F6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DECC6D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484CBB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67012CB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E8E28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923B6B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59D88E3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2D7A1E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BE0E0E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80222D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AAAB5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7B8A3134">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二、现场人员</w:t>
            </w:r>
          </w:p>
        </w:tc>
      </w:tr>
      <w:tr w14:paraId="6505A0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B9DBBD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项目经理</w:t>
            </w:r>
          </w:p>
        </w:tc>
        <w:tc>
          <w:tcPr>
            <w:tcW w:w="1418" w:type="dxa"/>
            <w:vAlign w:val="center"/>
          </w:tcPr>
          <w:p w14:paraId="3F4ADB8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E4E533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EBB055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7913418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D622D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AF0A080">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项目副经理</w:t>
            </w:r>
          </w:p>
        </w:tc>
        <w:tc>
          <w:tcPr>
            <w:tcW w:w="1418" w:type="dxa"/>
            <w:vAlign w:val="center"/>
          </w:tcPr>
          <w:p w14:paraId="2DB6F4E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AFB715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CF6B76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D140C2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B6659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9550066">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技术负责人</w:t>
            </w:r>
          </w:p>
        </w:tc>
        <w:tc>
          <w:tcPr>
            <w:tcW w:w="1418" w:type="dxa"/>
            <w:vAlign w:val="center"/>
          </w:tcPr>
          <w:p w14:paraId="4BC8A9B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846B61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EB9092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6F534F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B264D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BEA9001">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造价管理</w:t>
            </w:r>
          </w:p>
        </w:tc>
        <w:tc>
          <w:tcPr>
            <w:tcW w:w="1418" w:type="dxa"/>
            <w:vAlign w:val="center"/>
          </w:tcPr>
          <w:p w14:paraId="59E5419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F62D38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C19112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9C28E6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D2475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69BA616">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质量管理</w:t>
            </w:r>
          </w:p>
        </w:tc>
        <w:tc>
          <w:tcPr>
            <w:tcW w:w="1418" w:type="dxa"/>
            <w:vAlign w:val="center"/>
          </w:tcPr>
          <w:p w14:paraId="747AFDC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DC02F5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4C9509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C9FC5E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A2DDD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5A933D4">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材料管理</w:t>
            </w:r>
          </w:p>
        </w:tc>
        <w:tc>
          <w:tcPr>
            <w:tcW w:w="1418" w:type="dxa"/>
            <w:vAlign w:val="center"/>
          </w:tcPr>
          <w:p w14:paraId="1F225F5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F45E45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DF80E5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D0A6CD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C77D7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4B3A71C">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计划管理</w:t>
            </w:r>
          </w:p>
        </w:tc>
        <w:tc>
          <w:tcPr>
            <w:tcW w:w="1418" w:type="dxa"/>
            <w:vAlign w:val="center"/>
          </w:tcPr>
          <w:p w14:paraId="3898AEF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938119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A4E641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AC4FCF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D72EF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6CE3F1B">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安全管理</w:t>
            </w:r>
          </w:p>
        </w:tc>
        <w:tc>
          <w:tcPr>
            <w:tcW w:w="1418" w:type="dxa"/>
            <w:vAlign w:val="center"/>
          </w:tcPr>
          <w:p w14:paraId="06C4E0F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833CBE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C5C1BB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E84B5B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28C03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6C657B7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418" w:type="dxa"/>
            <w:vAlign w:val="center"/>
          </w:tcPr>
          <w:p w14:paraId="78C3077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E38394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97D390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AB0360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DDED2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6C4B82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bottom w:val="nil"/>
            </w:tcBorders>
            <w:vAlign w:val="center"/>
          </w:tcPr>
          <w:p w14:paraId="74F57E6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71B29C6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69BDF2C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nil"/>
            </w:tcBorders>
            <w:vAlign w:val="center"/>
          </w:tcPr>
          <w:p w14:paraId="6E28D61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BB67C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2C1A56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49EBD02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1BA0DB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A2154C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5F6ECEE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0FA26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11C2B5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6AE83B5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A479D4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C223C0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579E323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DB5DB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F1EA48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3242E2F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F0E7F9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92E134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5AAE1FA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1B4A0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6728A48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bottom w:val="single" w:color="auto" w:sz="12" w:space="0"/>
            </w:tcBorders>
            <w:vAlign w:val="center"/>
          </w:tcPr>
          <w:p w14:paraId="2312170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779636D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5717A1E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single" w:color="auto" w:sz="12" w:space="0"/>
            </w:tcBorders>
            <w:vAlign w:val="center"/>
          </w:tcPr>
          <w:p w14:paraId="668B9B1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bl>
    <w:p w14:paraId="5B700113">
      <w:pPr>
        <w:spacing w:line="440" w:lineRule="exact"/>
        <w:rPr>
          <w:rFonts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bookmarkStart w:id="184" w:name="_Toc267261701"/>
      <w:r>
        <w:rPr>
          <w:rFonts w:hint="eastAsia" w:ascii="宋体" w:hAnsi="宋体" w:cs="宋体"/>
          <w:color w:val="000000" w:themeColor="text1"/>
          <w:szCs w:val="21"/>
          <w:highlight w:val="none"/>
          <w14:textFill>
            <w14:solidFill>
              <w14:schemeClr w14:val="tx1"/>
            </w14:solidFill>
          </w14:textFill>
        </w:rPr>
        <w:t>附</w:t>
      </w:r>
      <w:bookmarkStart w:id="185" w:name="_Toc296944570"/>
      <w:bookmarkStart w:id="186" w:name="_Toc296503231"/>
      <w:bookmarkStart w:id="187" w:name="_Toc296346732"/>
      <w:bookmarkStart w:id="188" w:name="_Toc296891271"/>
      <w:bookmarkStart w:id="189" w:name="_Toc296891059"/>
      <w:bookmarkStart w:id="190" w:name="_Toc296347230"/>
      <w:r>
        <w:rPr>
          <w:rFonts w:hint="eastAsia" w:ascii="宋体" w:hAnsi="宋体" w:cs="宋体"/>
          <w:color w:val="000000" w:themeColor="text1"/>
          <w:szCs w:val="21"/>
          <w:highlight w:val="none"/>
          <w14:textFill>
            <w14:solidFill>
              <w14:schemeClr w14:val="tx1"/>
            </w14:solidFill>
          </w14:textFill>
        </w:rPr>
        <w:t>件8：</w:t>
      </w:r>
    </w:p>
    <w:bookmarkEnd w:id="184"/>
    <w:bookmarkEnd w:id="185"/>
    <w:bookmarkEnd w:id="186"/>
    <w:bookmarkEnd w:id="187"/>
    <w:bookmarkEnd w:id="188"/>
    <w:bookmarkEnd w:id="189"/>
    <w:bookmarkEnd w:id="190"/>
    <w:p w14:paraId="53D2B0E6">
      <w:pPr>
        <w:spacing w:before="156" w:beforeLines="50" w:after="156" w:afterLines="5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履约担保</w:t>
      </w:r>
    </w:p>
    <w:p w14:paraId="42CDCAD3">
      <w:pPr>
        <w:spacing w:line="440" w:lineRule="exact"/>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w:t>
      </w:r>
    </w:p>
    <w:p w14:paraId="1118F643">
      <w:pPr>
        <w:spacing w:line="440" w:lineRule="exact"/>
        <w:rPr>
          <w:rFonts w:ascii="宋体" w:hAnsi="宋体" w:cs="宋体"/>
          <w:color w:val="000000" w:themeColor="text1"/>
          <w:szCs w:val="21"/>
          <w:highlight w:val="none"/>
          <w14:textFill>
            <w14:solidFill>
              <w14:schemeClr w14:val="tx1"/>
            </w14:solidFill>
          </w14:textFill>
        </w:rPr>
      </w:pPr>
    </w:p>
    <w:p w14:paraId="7925D21F">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鉴于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（发包人名称，以下简称“发包人”）与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p>
    <w:p w14:paraId="0234DBE8">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名称）（以下称“承包人”）于年月日就（工程名称）施工及有关事项协商一致共同签订《建设工程施工合同》。我方愿意无条件地、不可撤销地就承包人履行与你方签订的合同，向你方提供连带责任担保。 </w:t>
      </w:r>
    </w:p>
    <w:p w14:paraId="05B307EC">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担保金额人民币（大写）</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元（¥</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48816DA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担保有效期自你方与承包人签订的合同生效之日起至你方签发或应签发工程接收证书之日止。</w:t>
      </w:r>
    </w:p>
    <w:p w14:paraId="7365C85F">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在本担保有效期内，因承包人违反合同约定的义务给你方造成经济损失时，我方在收到你方以书面形式提出的在担保金额内的赔偿要求后，在7天内无条件支付。</w:t>
      </w:r>
    </w:p>
    <w:p w14:paraId="17175CB2">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你方和承包人按合同约定变更合同时，我方承担本担保规定的义务不变。</w:t>
      </w:r>
    </w:p>
    <w:p w14:paraId="59933804">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 因本保函发生的纠纷，可由双方协商解决，协商不成的，任何一方均可提请</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仲裁委员会仲裁。</w:t>
      </w:r>
    </w:p>
    <w:p w14:paraId="7DBEF7CC">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 本保函自我方法定代表人（或其授权代理人）签字并加盖公章之日起生效。</w:t>
      </w:r>
    </w:p>
    <w:p w14:paraId="0E2F5FF6">
      <w:pPr>
        <w:spacing w:line="360" w:lineRule="auto"/>
        <w:rPr>
          <w:rFonts w:ascii="宋体" w:hAnsi="宋体" w:cs="宋体"/>
          <w:color w:val="000000" w:themeColor="text1"/>
          <w:szCs w:val="21"/>
          <w:highlight w:val="none"/>
          <w14:textFill>
            <w14:solidFill>
              <w14:schemeClr w14:val="tx1"/>
            </w14:solidFill>
          </w14:textFill>
        </w:rPr>
      </w:pPr>
    </w:p>
    <w:p w14:paraId="1CE02AD2">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 保 人：（盖单位章）</w:t>
      </w:r>
    </w:p>
    <w:p w14:paraId="08A664A7">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法定代表人或其委托代理人：（签字）</w:t>
      </w:r>
    </w:p>
    <w:p w14:paraId="64E8F872">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p>
    <w:p w14:paraId="17B482A5">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p>
    <w:p w14:paraId="03105B0E">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p>
    <w:p w14:paraId="7911088B">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p>
    <w:p w14:paraId="567FCCE3">
      <w:pPr>
        <w:spacing w:line="360" w:lineRule="auto"/>
        <w:jc w:val="left"/>
        <w:rPr>
          <w:rFonts w:ascii="宋体" w:hAnsi="宋体" w:cs="宋体"/>
          <w:color w:val="000000" w:themeColor="text1"/>
          <w:szCs w:val="21"/>
          <w:highlight w:val="none"/>
          <w:u w:val="single"/>
          <w14:textFill>
            <w14:solidFill>
              <w14:schemeClr w14:val="tx1"/>
            </w14:solidFill>
          </w14:textFill>
        </w:rPr>
      </w:pPr>
    </w:p>
    <w:p w14:paraId="59231263">
      <w:pPr>
        <w:spacing w:line="360" w:lineRule="auto"/>
        <w:ind w:left="1676" w:leftChars="798" w:firstLine="1130" w:firstLineChars="471"/>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w:t>
      </w:r>
    </w:p>
    <w:p w14:paraId="79358999">
      <w:pPr>
        <w:spacing w:line="360" w:lineRule="auto"/>
        <w:rPr>
          <w:rFonts w:ascii="宋体" w:hAnsi="宋体"/>
          <w:color w:val="000000" w:themeColor="text1"/>
          <w:szCs w:val="21"/>
          <w:highlight w:val="none"/>
          <w14:textFill>
            <w14:solidFill>
              <w14:schemeClr w14:val="tx1"/>
            </w14:solidFill>
          </w14:textFill>
        </w:rPr>
      </w:pPr>
    </w:p>
    <w:p w14:paraId="630F839A">
      <w:pPr>
        <w:widowControl/>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745DBFA9">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w:t>
      </w:r>
      <w:bookmarkStart w:id="191" w:name="_Toc296944571"/>
      <w:bookmarkStart w:id="192" w:name="_Toc296891060"/>
      <w:bookmarkStart w:id="193" w:name="_Toc296346733"/>
      <w:bookmarkStart w:id="194" w:name="_Toc296891272"/>
      <w:bookmarkStart w:id="195" w:name="_Toc296347231"/>
      <w:bookmarkStart w:id="196" w:name="_Toc267261702"/>
      <w:bookmarkStart w:id="197" w:name="_Toc296503232"/>
      <w:r>
        <w:rPr>
          <w:rFonts w:hint="eastAsia" w:ascii="宋体" w:hAnsi="宋体" w:cs="宋体"/>
          <w:color w:val="000000" w:themeColor="text1"/>
          <w:szCs w:val="21"/>
          <w:highlight w:val="none"/>
          <w14:textFill>
            <w14:solidFill>
              <w14:schemeClr w14:val="tx1"/>
            </w14:solidFill>
          </w14:textFill>
        </w:rPr>
        <w:t>件9 ：</w:t>
      </w:r>
    </w:p>
    <w:bookmarkEnd w:id="191"/>
    <w:bookmarkEnd w:id="192"/>
    <w:bookmarkEnd w:id="193"/>
    <w:bookmarkEnd w:id="194"/>
    <w:bookmarkEnd w:id="195"/>
    <w:bookmarkEnd w:id="196"/>
    <w:bookmarkEnd w:id="197"/>
    <w:p w14:paraId="61715718">
      <w:pPr>
        <w:spacing w:before="156" w:beforeLines="50" w:after="156" w:afterLines="5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预付款担保</w:t>
      </w:r>
    </w:p>
    <w:p w14:paraId="2F8BEE6B">
      <w:pPr>
        <w:spacing w:line="360" w:lineRule="auto"/>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w:t>
      </w:r>
    </w:p>
    <w:p w14:paraId="174A668E">
      <w:pPr>
        <w:spacing w:line="360" w:lineRule="auto"/>
        <w:rPr>
          <w:rFonts w:ascii="宋体" w:hAnsi="宋体" w:cs="宋体"/>
          <w:color w:val="000000" w:themeColor="text1"/>
          <w:szCs w:val="21"/>
          <w:highlight w:val="none"/>
          <w14:textFill>
            <w14:solidFill>
              <w14:schemeClr w14:val="tx1"/>
            </w14:solidFill>
          </w14:textFill>
        </w:rPr>
      </w:pPr>
    </w:p>
    <w:p w14:paraId="4C4A150E">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（承包人名称）（以下称“承包人”）与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p>
    <w:p w14:paraId="09F564AF">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（发包人名称）（以下简称“发包人”）</w:t>
      </w:r>
    </w:p>
    <w:p w14:paraId="28A81602">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日签订的（工程名称）《建设工程施工合同》，承包人按约定的金额向你方提交一份预付款担保，即有权得到你方支付相等金额的预付款。我方愿意就你方提供给承包人的预付款为承包人提供连带责任担保。</w:t>
      </w:r>
    </w:p>
    <w:p w14:paraId="19D6D2FC">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担保金额人民币（大写）</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元（¥</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w:t>
      </w:r>
    </w:p>
    <w:p w14:paraId="0E63412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担保有效期自预付款支付给承包人起生效，至你方签发的进度款支付证书说明已完全扣清止。</w:t>
      </w:r>
    </w:p>
    <w:p w14:paraId="41A2C200">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1A4B0871">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你方和承包人按合同约定变更合同时，我方承担本保函规定的义务不变。</w:t>
      </w:r>
    </w:p>
    <w:p w14:paraId="49C95D2B">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 因本保函发生的纠纷，可由双方协商解决，协商不成的，任何一方均可提请仲裁委员会仲裁。</w:t>
      </w:r>
    </w:p>
    <w:p w14:paraId="67C9B84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 本保函自我方法定代表人（或其授权代理人）签字并加盖公章之日起生效。</w:t>
      </w:r>
    </w:p>
    <w:p w14:paraId="331A4ABA">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担保人：（盖单位章）</w:t>
      </w:r>
    </w:p>
    <w:p w14:paraId="6BA33750">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法定代表人或其委托代理人：（签字）</w:t>
      </w:r>
    </w:p>
    <w:p w14:paraId="44AAA85B">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2AF506CF">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4D8956A1">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556D0AEF">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79F0C5B4">
      <w:pPr>
        <w:spacing w:line="360" w:lineRule="auto"/>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w:t>
      </w:r>
    </w:p>
    <w:p w14:paraId="30E15BA8">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7CA223D5">
      <w:pP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w:t>
      </w:r>
      <w:bookmarkStart w:id="198" w:name="_Toc296891061"/>
      <w:bookmarkStart w:id="199" w:name="_Toc296503233"/>
      <w:bookmarkStart w:id="200" w:name="_Toc296347232"/>
      <w:bookmarkStart w:id="201" w:name="_Toc296346734"/>
      <w:bookmarkStart w:id="202" w:name="_Toc296891273"/>
      <w:bookmarkStart w:id="203" w:name="_Toc296944572"/>
      <w:r>
        <w:rPr>
          <w:rFonts w:hint="eastAsia" w:ascii="宋体" w:hAnsi="宋体" w:cs="宋体"/>
          <w:color w:val="000000" w:themeColor="text1"/>
          <w:szCs w:val="21"/>
          <w:highlight w:val="none"/>
          <w14:textFill>
            <w14:solidFill>
              <w14:schemeClr w14:val="tx1"/>
            </w14:solidFill>
          </w14:textFill>
        </w:rPr>
        <w:t xml:space="preserve">件10:  </w:t>
      </w:r>
    </w:p>
    <w:bookmarkEnd w:id="198"/>
    <w:bookmarkEnd w:id="199"/>
    <w:bookmarkEnd w:id="200"/>
    <w:bookmarkEnd w:id="201"/>
    <w:bookmarkEnd w:id="202"/>
    <w:bookmarkEnd w:id="203"/>
    <w:p w14:paraId="7CB133C9">
      <w:pPr>
        <w:spacing w:before="156" w:beforeLines="50" w:after="156" w:afterLines="5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支付担保</w:t>
      </w:r>
    </w:p>
    <w:p w14:paraId="1FE2DBDE">
      <w:pPr>
        <w:spacing w:line="440" w:lineRule="exact"/>
        <w:jc w:val="left"/>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（承包人）：</w:t>
      </w:r>
    </w:p>
    <w:p w14:paraId="00E3C61A">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鉴于你方作为承包人已经与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（发包人名称）（以下称“发包人”）于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日签订了</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（工程名称）《建设工程施工合同》（以下称“主合同”），应发包人的申请，我方愿就发包人履行主合同约定的工程款支付义务以保证的方式向你方提供如下担保：</w:t>
      </w:r>
    </w:p>
    <w:p w14:paraId="324F2434">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一、保证的范围及保证金额</w:t>
      </w:r>
    </w:p>
    <w:p w14:paraId="0EDDF46F">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我方的保证范围是主合同约定的工程款。</w:t>
      </w:r>
    </w:p>
    <w:p w14:paraId="29D17BB0">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本保函所称主合同约定的工程款是指主合同约定的除工程质量保证金以外的合同价款。</w:t>
      </w:r>
    </w:p>
    <w:p w14:paraId="2AF25FA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我方保证的金额是主合同约定的工程款的</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%，数额最高不超过人民币元（大写：</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4DBAD460">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二、保证的方式及保证期间</w:t>
      </w:r>
    </w:p>
    <w:p w14:paraId="4B9A622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我方保证的方式为：连带责任保证。</w:t>
      </w:r>
    </w:p>
    <w:p w14:paraId="3DB3CBA0">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我方保证的期间为：自本合同生效之日起至主合同约定的工程款支付完毕之日后日内。</w:t>
      </w:r>
    </w:p>
    <w:p w14:paraId="49795A05">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你方与发包人协议变更工程款支付日期的，经我方书面同意后，保证期间按照变更后的支付日期做相应调整。</w:t>
      </w:r>
    </w:p>
    <w:p w14:paraId="77BFBD9F">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三、承担保证责任的形式</w:t>
      </w:r>
    </w:p>
    <w:p w14:paraId="76D7FFC4">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我方承担保证责任的形式是代为支付。发包人未按主合同约定向你方支付工程款的，由我方在保证金额内代为支付。</w:t>
      </w:r>
    </w:p>
    <w:p w14:paraId="711DFA52">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四、代偿的安排</w:t>
      </w:r>
    </w:p>
    <w:p w14:paraId="46A4A0E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你方要求我方承担保证责任的，应向我方发出书面索赔通知及发包人未支付主合同约定工程款的证明材料。索赔通知应写明要求索赔的金额，支付款项应到达的账号。</w:t>
      </w:r>
    </w:p>
    <w:p w14:paraId="04F9C42E">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在出现你方与发包人因工程质量发生争议，发包人拒绝向你方支付工程款的情形时，你方要求我方履行保证责任代为支付的，需提供符合相应条件要求的工程质量检测机构出具的质量说明材料。</w:t>
      </w:r>
    </w:p>
    <w:p w14:paraId="0E2C7407">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我方收到你方的书面索赔通知及相应的证明材料后７天内无条件支付。</w:t>
      </w:r>
    </w:p>
    <w:p w14:paraId="73E6AA9F">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五、保证责任的解除</w:t>
      </w:r>
    </w:p>
    <w:p w14:paraId="4D029651">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在本保函承诺的保证期间内，你方未书面向我方主张保证责任的，自保证期间届满次日起，我方保证责任解除。</w:t>
      </w:r>
    </w:p>
    <w:p w14:paraId="3334DDAF">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发包人按主合同约定履行了工程款的全部支付义务的，自本保函承诺的保证期间届满次日起，我方保证责任解除。</w:t>
      </w:r>
    </w:p>
    <w:p w14:paraId="5E7C0AB7">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我方按照本保函向你方履行保证责任所支付金额达到本保函保证金额时，自我方向你方支付（支付款项从我方账户划出）之日起，保证责任即解除。</w:t>
      </w:r>
    </w:p>
    <w:p w14:paraId="01765CD7">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按照法律法规的规定或出现应解除我方保证责任的其他情形的，我方在本保函项下的保证责任亦解除。</w:t>
      </w:r>
    </w:p>
    <w:p w14:paraId="7ECD0A86">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 我方解除保证责任后，你方应自我方保证责任解除之日起个</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工作日内，将本保函原件返还我方。</w:t>
      </w:r>
    </w:p>
    <w:p w14:paraId="7F31020B">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六、免责条款</w:t>
      </w:r>
    </w:p>
    <w:p w14:paraId="7B472F6C">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因你方违约致使发包人不能履行义务的，我方不承担保证责任。</w:t>
      </w:r>
    </w:p>
    <w:p w14:paraId="39FEC483">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依照法律法规的规定或你方与发包人的另行约定，免除发包人部分或全部义务的，我方亦免除其相应的保证责任。</w:t>
      </w:r>
    </w:p>
    <w:p w14:paraId="33145B16">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你方与发包人协议变更主合同的，如加重发包人责任致使我方保证责任加重的，需征得我方书面同意，否则我方不再承担因此而加重部分的保证责任，但主合同第10条〔变更〕约定的变更不受本款限制。</w:t>
      </w:r>
    </w:p>
    <w:p w14:paraId="713E7D74">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因不可抗力造成发包人不能履行义务的，我方不承担保证责任。</w:t>
      </w:r>
    </w:p>
    <w:p w14:paraId="135899D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七、争议解决</w:t>
      </w:r>
    </w:p>
    <w:p w14:paraId="3E4B5B49">
      <w:pPr>
        <w:spacing w:after="120"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因本保函或本保函相关事项发生的纠纷，可由双方协商解决，协商不成的，按下列第</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种方式解决：</w:t>
      </w:r>
    </w:p>
    <w:p w14:paraId="45EEFF61">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（1）向仲裁委员会申请仲裁；</w:t>
      </w:r>
    </w:p>
    <w:p w14:paraId="164AE0B4">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（2）向人民法院起诉。</w:t>
      </w:r>
    </w:p>
    <w:p w14:paraId="75CAF5E9">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八、保函的生效</w:t>
      </w:r>
    </w:p>
    <w:p w14:paraId="0790CEF0">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本保函自我方法定代表人（或其授权代理人）签字并加盖公章之日起生效。</w:t>
      </w:r>
    </w:p>
    <w:p w14:paraId="767142C3">
      <w:pPr>
        <w:spacing w:line="360" w:lineRule="auto"/>
        <w:ind w:right="6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担保人：（盖章）</w:t>
      </w:r>
    </w:p>
    <w:p w14:paraId="176E683F">
      <w:pPr>
        <w:spacing w:line="360" w:lineRule="auto"/>
        <w:ind w:right="1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法定代表人或委托代理人：（签字）</w:t>
      </w:r>
    </w:p>
    <w:p w14:paraId="1888C3A2">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p>
    <w:p w14:paraId="03EE9BE6">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p>
    <w:p w14:paraId="0E408627">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p>
    <w:p w14:paraId="6FF4F4D9">
      <w:pPr>
        <w:spacing w:line="360" w:lineRule="auto"/>
        <w:ind w:right="150" w:firstLine="420" w:firstLineChars="200"/>
        <w:jc w:val="left"/>
        <w:rPr>
          <w:rFonts w:ascii="宋体" w:hAnsi="宋体" w:cs="宋体"/>
          <w:color w:val="000000" w:themeColor="text1"/>
          <w:szCs w:val="21"/>
          <w:highlight w:val="none"/>
          <w:u w:val="single"/>
          <w14:textFill>
            <w14:solidFill>
              <w14:schemeClr w14:val="tx1"/>
            </w14:solidFill>
          </w14:textFill>
        </w:rPr>
      </w:pPr>
    </w:p>
    <w:p w14:paraId="6673789E">
      <w:pPr>
        <w:spacing w:line="360" w:lineRule="auto"/>
        <w:ind w:right="150" w:firstLine="480" w:firstLineChars="200"/>
        <w:jc w:val="left"/>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452F9630">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附件11：</w:t>
      </w:r>
    </w:p>
    <w:p w14:paraId="31B911FF">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11-1：材料暂估价表</w:t>
      </w:r>
    </w:p>
    <w:tbl>
      <w:tblPr>
        <w:tblStyle w:val="28"/>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F8CEE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6FB45A5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984" w:type="dxa"/>
            <w:tcBorders>
              <w:top w:val="single" w:color="auto" w:sz="12" w:space="0"/>
              <w:bottom w:val="double" w:color="auto" w:sz="6" w:space="0"/>
            </w:tcBorders>
          </w:tcPr>
          <w:p w14:paraId="6FB913E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名称</w:t>
            </w:r>
          </w:p>
        </w:tc>
        <w:tc>
          <w:tcPr>
            <w:tcW w:w="851" w:type="dxa"/>
            <w:tcBorders>
              <w:top w:val="single" w:color="auto" w:sz="12" w:space="0"/>
              <w:bottom w:val="double" w:color="auto" w:sz="6" w:space="0"/>
            </w:tcBorders>
          </w:tcPr>
          <w:p w14:paraId="06A9684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单位</w:t>
            </w:r>
          </w:p>
        </w:tc>
        <w:tc>
          <w:tcPr>
            <w:tcW w:w="774" w:type="dxa"/>
            <w:tcBorders>
              <w:top w:val="single" w:color="auto" w:sz="12" w:space="0"/>
              <w:bottom w:val="double" w:color="auto" w:sz="6" w:space="0"/>
            </w:tcBorders>
          </w:tcPr>
          <w:p w14:paraId="640CC17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数量</w:t>
            </w:r>
          </w:p>
        </w:tc>
        <w:tc>
          <w:tcPr>
            <w:tcW w:w="1352" w:type="dxa"/>
            <w:tcBorders>
              <w:top w:val="single" w:color="auto" w:sz="12" w:space="0"/>
              <w:bottom w:val="double" w:color="auto" w:sz="6" w:space="0"/>
            </w:tcBorders>
          </w:tcPr>
          <w:p w14:paraId="3713850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单价（元）</w:t>
            </w:r>
          </w:p>
        </w:tc>
        <w:tc>
          <w:tcPr>
            <w:tcW w:w="1418" w:type="dxa"/>
            <w:tcBorders>
              <w:top w:val="single" w:color="auto" w:sz="12" w:space="0"/>
              <w:bottom w:val="double" w:color="auto" w:sz="6" w:space="0"/>
            </w:tcBorders>
          </w:tcPr>
          <w:p w14:paraId="52F1C10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合价（元）</w:t>
            </w:r>
          </w:p>
        </w:tc>
        <w:tc>
          <w:tcPr>
            <w:tcW w:w="1701" w:type="dxa"/>
            <w:tcBorders>
              <w:top w:val="single" w:color="auto" w:sz="12" w:space="0"/>
              <w:bottom w:val="double" w:color="auto" w:sz="6" w:space="0"/>
            </w:tcBorders>
          </w:tcPr>
          <w:p w14:paraId="12C6BC3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23E688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3B228A0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double" w:color="auto" w:sz="6" w:space="0"/>
              <w:bottom w:val="single" w:color="auto" w:sz="6" w:space="0"/>
            </w:tcBorders>
          </w:tcPr>
          <w:p w14:paraId="2C9F4D0D">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p>
        </w:tc>
        <w:tc>
          <w:tcPr>
            <w:tcW w:w="851" w:type="dxa"/>
            <w:tcBorders>
              <w:top w:val="double" w:color="auto" w:sz="6" w:space="0"/>
              <w:bottom w:val="single" w:color="auto" w:sz="6" w:space="0"/>
            </w:tcBorders>
          </w:tcPr>
          <w:p w14:paraId="79A876C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double" w:color="auto" w:sz="6" w:space="0"/>
              <w:bottom w:val="single" w:color="auto" w:sz="6" w:space="0"/>
            </w:tcBorders>
          </w:tcPr>
          <w:p w14:paraId="7B8D5AD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double" w:color="auto" w:sz="6" w:space="0"/>
              <w:bottom w:val="single" w:color="auto" w:sz="6" w:space="0"/>
            </w:tcBorders>
          </w:tcPr>
          <w:p w14:paraId="6FF1499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double" w:color="auto" w:sz="6" w:space="0"/>
              <w:bottom w:val="single" w:color="auto" w:sz="6" w:space="0"/>
            </w:tcBorders>
          </w:tcPr>
          <w:p w14:paraId="3746AE8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double" w:color="auto" w:sz="6" w:space="0"/>
              <w:bottom w:val="single" w:color="auto" w:sz="6" w:space="0"/>
            </w:tcBorders>
          </w:tcPr>
          <w:p w14:paraId="48C8BFF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2477F7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1A1B6D3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nil"/>
            </w:tcBorders>
          </w:tcPr>
          <w:p w14:paraId="0D5A629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nil"/>
            </w:tcBorders>
          </w:tcPr>
          <w:p w14:paraId="1AF5233C">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nil"/>
            </w:tcBorders>
          </w:tcPr>
          <w:p w14:paraId="61E3A94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nil"/>
            </w:tcBorders>
          </w:tcPr>
          <w:p w14:paraId="7221EEF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nil"/>
            </w:tcBorders>
          </w:tcPr>
          <w:p w14:paraId="52AA718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nil"/>
            </w:tcBorders>
          </w:tcPr>
          <w:p w14:paraId="4AE9707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469BEB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6F85D9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4219C60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32073A5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0EE91B4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58E4924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7F04630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5DD88A4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19EA2C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D89588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3F0DBF0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002B18C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0A9F9E9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0BB74FE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0FBC52E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3545617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7CD91A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EFA9E5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6D5CD73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3D5EAC2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003F16F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540BD99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7C94E51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43B2810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bl>
    <w:p w14:paraId="495E65C8">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11-2：工程设备暂估价表</w:t>
      </w:r>
    </w:p>
    <w:tbl>
      <w:tblPr>
        <w:tblStyle w:val="28"/>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261CD4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345D20C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984" w:type="dxa"/>
            <w:tcBorders>
              <w:top w:val="single" w:color="auto" w:sz="12" w:space="0"/>
              <w:bottom w:val="double" w:color="auto" w:sz="6" w:space="0"/>
            </w:tcBorders>
          </w:tcPr>
          <w:p w14:paraId="4D65172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名称</w:t>
            </w:r>
          </w:p>
        </w:tc>
        <w:tc>
          <w:tcPr>
            <w:tcW w:w="851" w:type="dxa"/>
            <w:tcBorders>
              <w:top w:val="single" w:color="auto" w:sz="12" w:space="0"/>
              <w:bottom w:val="double" w:color="auto" w:sz="6" w:space="0"/>
            </w:tcBorders>
          </w:tcPr>
          <w:p w14:paraId="2873286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单位</w:t>
            </w:r>
          </w:p>
        </w:tc>
        <w:tc>
          <w:tcPr>
            <w:tcW w:w="774" w:type="dxa"/>
            <w:tcBorders>
              <w:top w:val="single" w:color="auto" w:sz="12" w:space="0"/>
              <w:bottom w:val="double" w:color="auto" w:sz="6" w:space="0"/>
            </w:tcBorders>
          </w:tcPr>
          <w:p w14:paraId="7E405A9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数量</w:t>
            </w:r>
          </w:p>
        </w:tc>
        <w:tc>
          <w:tcPr>
            <w:tcW w:w="1352" w:type="dxa"/>
            <w:tcBorders>
              <w:top w:val="single" w:color="auto" w:sz="12" w:space="0"/>
              <w:bottom w:val="double" w:color="auto" w:sz="6" w:space="0"/>
            </w:tcBorders>
          </w:tcPr>
          <w:p w14:paraId="6959459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单价（元）</w:t>
            </w:r>
          </w:p>
        </w:tc>
        <w:tc>
          <w:tcPr>
            <w:tcW w:w="1418" w:type="dxa"/>
            <w:tcBorders>
              <w:top w:val="single" w:color="auto" w:sz="12" w:space="0"/>
              <w:bottom w:val="double" w:color="auto" w:sz="6" w:space="0"/>
            </w:tcBorders>
          </w:tcPr>
          <w:p w14:paraId="3CD86E6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合价（元）</w:t>
            </w:r>
          </w:p>
        </w:tc>
        <w:tc>
          <w:tcPr>
            <w:tcW w:w="1701" w:type="dxa"/>
            <w:tcBorders>
              <w:top w:val="single" w:color="auto" w:sz="12" w:space="0"/>
              <w:bottom w:val="double" w:color="auto" w:sz="6" w:space="0"/>
            </w:tcBorders>
          </w:tcPr>
          <w:p w14:paraId="4769671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182B6F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5D34131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double" w:color="auto" w:sz="6" w:space="0"/>
              <w:bottom w:val="single" w:color="auto" w:sz="6" w:space="0"/>
            </w:tcBorders>
          </w:tcPr>
          <w:p w14:paraId="2EE013E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double" w:color="auto" w:sz="6" w:space="0"/>
              <w:bottom w:val="single" w:color="auto" w:sz="6" w:space="0"/>
            </w:tcBorders>
          </w:tcPr>
          <w:p w14:paraId="22DED12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double" w:color="auto" w:sz="6" w:space="0"/>
              <w:bottom w:val="single" w:color="auto" w:sz="6" w:space="0"/>
            </w:tcBorders>
          </w:tcPr>
          <w:p w14:paraId="28F0B73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double" w:color="auto" w:sz="6" w:space="0"/>
              <w:bottom w:val="single" w:color="auto" w:sz="6" w:space="0"/>
            </w:tcBorders>
          </w:tcPr>
          <w:p w14:paraId="6CB9930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double" w:color="auto" w:sz="6" w:space="0"/>
              <w:bottom w:val="single" w:color="auto" w:sz="6" w:space="0"/>
            </w:tcBorders>
          </w:tcPr>
          <w:p w14:paraId="32787E5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double" w:color="auto" w:sz="6" w:space="0"/>
              <w:bottom w:val="single" w:color="auto" w:sz="6" w:space="0"/>
            </w:tcBorders>
          </w:tcPr>
          <w:p w14:paraId="0005F9E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7BD344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7C9CFA0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nil"/>
            </w:tcBorders>
          </w:tcPr>
          <w:p w14:paraId="5DC819D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nil"/>
            </w:tcBorders>
          </w:tcPr>
          <w:p w14:paraId="691E503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nil"/>
            </w:tcBorders>
          </w:tcPr>
          <w:p w14:paraId="0B4DA66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nil"/>
            </w:tcBorders>
          </w:tcPr>
          <w:p w14:paraId="361AD2F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nil"/>
            </w:tcBorders>
          </w:tcPr>
          <w:p w14:paraId="7CBC23C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nil"/>
            </w:tcBorders>
          </w:tcPr>
          <w:p w14:paraId="68F83DB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3F0C6B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7676F5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7658621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27484BD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2F537AE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6F1D235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0C4AA13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3FEF0C2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086732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55A4FF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74E23D3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21542E4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2245CF9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4A43877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6B30A21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0C758CB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2C272F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E16E34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58C3E7E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640FFFEC">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60A8311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314F3D1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0D75C31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0F12EB5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bl>
    <w:p w14:paraId="3B96E12B">
      <w:pPr>
        <w:widowControl/>
        <w:jc w:val="left"/>
        <w:rPr>
          <w:rFonts w:ascii="宋体" w:hAnsi="宋体" w:cs="宋体"/>
          <w:color w:val="000000" w:themeColor="text1"/>
          <w:szCs w:val="21"/>
          <w:highlight w:val="none"/>
          <w14:textFill>
            <w14:solidFill>
              <w14:schemeClr w14:val="tx1"/>
            </w14:solidFill>
          </w14:textFill>
        </w:rPr>
      </w:pPr>
    </w:p>
    <w:p w14:paraId="5369A733">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11-3：专业工程暂估价表</w:t>
      </w:r>
    </w:p>
    <w:tbl>
      <w:tblPr>
        <w:tblStyle w:val="28"/>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750FFC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5279A58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984" w:type="dxa"/>
            <w:tcBorders>
              <w:top w:val="single" w:color="auto" w:sz="12" w:space="0"/>
              <w:bottom w:val="double" w:color="auto" w:sz="6" w:space="0"/>
            </w:tcBorders>
          </w:tcPr>
          <w:p w14:paraId="31369D8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名称</w:t>
            </w:r>
          </w:p>
        </w:tc>
        <w:tc>
          <w:tcPr>
            <w:tcW w:w="851" w:type="dxa"/>
            <w:tcBorders>
              <w:top w:val="single" w:color="auto" w:sz="12" w:space="0"/>
              <w:bottom w:val="double" w:color="auto" w:sz="6" w:space="0"/>
            </w:tcBorders>
          </w:tcPr>
          <w:p w14:paraId="29FA471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单位</w:t>
            </w:r>
          </w:p>
        </w:tc>
        <w:tc>
          <w:tcPr>
            <w:tcW w:w="774" w:type="dxa"/>
            <w:tcBorders>
              <w:top w:val="single" w:color="auto" w:sz="12" w:space="0"/>
              <w:bottom w:val="double" w:color="auto" w:sz="6" w:space="0"/>
            </w:tcBorders>
          </w:tcPr>
          <w:p w14:paraId="4B50BBA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数量</w:t>
            </w:r>
          </w:p>
        </w:tc>
        <w:tc>
          <w:tcPr>
            <w:tcW w:w="1352" w:type="dxa"/>
            <w:tcBorders>
              <w:top w:val="single" w:color="auto" w:sz="12" w:space="0"/>
              <w:bottom w:val="double" w:color="auto" w:sz="6" w:space="0"/>
            </w:tcBorders>
          </w:tcPr>
          <w:p w14:paraId="5CA7A9F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单价（元）</w:t>
            </w:r>
          </w:p>
        </w:tc>
        <w:tc>
          <w:tcPr>
            <w:tcW w:w="1418" w:type="dxa"/>
            <w:tcBorders>
              <w:top w:val="single" w:color="auto" w:sz="12" w:space="0"/>
              <w:bottom w:val="double" w:color="auto" w:sz="6" w:space="0"/>
            </w:tcBorders>
          </w:tcPr>
          <w:p w14:paraId="0AB832B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合价（元）</w:t>
            </w:r>
          </w:p>
        </w:tc>
        <w:tc>
          <w:tcPr>
            <w:tcW w:w="1701" w:type="dxa"/>
            <w:tcBorders>
              <w:top w:val="single" w:color="auto" w:sz="12" w:space="0"/>
              <w:bottom w:val="double" w:color="auto" w:sz="6" w:space="0"/>
            </w:tcBorders>
          </w:tcPr>
          <w:p w14:paraId="21E2F8B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3864C7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06FFA91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double" w:color="auto" w:sz="6" w:space="0"/>
              <w:bottom w:val="single" w:color="auto" w:sz="6" w:space="0"/>
            </w:tcBorders>
          </w:tcPr>
          <w:p w14:paraId="69DB901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double" w:color="auto" w:sz="6" w:space="0"/>
              <w:bottom w:val="single" w:color="auto" w:sz="6" w:space="0"/>
            </w:tcBorders>
          </w:tcPr>
          <w:p w14:paraId="3D942C7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double" w:color="auto" w:sz="6" w:space="0"/>
              <w:bottom w:val="single" w:color="auto" w:sz="6" w:space="0"/>
            </w:tcBorders>
          </w:tcPr>
          <w:p w14:paraId="17C891E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double" w:color="auto" w:sz="6" w:space="0"/>
              <w:bottom w:val="single" w:color="auto" w:sz="6" w:space="0"/>
            </w:tcBorders>
          </w:tcPr>
          <w:p w14:paraId="03A9D53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double" w:color="auto" w:sz="6" w:space="0"/>
              <w:bottom w:val="single" w:color="auto" w:sz="6" w:space="0"/>
            </w:tcBorders>
          </w:tcPr>
          <w:p w14:paraId="2A6332A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double" w:color="auto" w:sz="6" w:space="0"/>
              <w:bottom w:val="single" w:color="auto" w:sz="6" w:space="0"/>
            </w:tcBorders>
          </w:tcPr>
          <w:p w14:paraId="5A0F0A3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0FF1F5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53E3B6B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nil"/>
            </w:tcBorders>
          </w:tcPr>
          <w:p w14:paraId="5521AC7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nil"/>
            </w:tcBorders>
          </w:tcPr>
          <w:p w14:paraId="2667E76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nil"/>
            </w:tcBorders>
          </w:tcPr>
          <w:p w14:paraId="2F7A5FE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nil"/>
            </w:tcBorders>
          </w:tcPr>
          <w:p w14:paraId="41DE81FC">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nil"/>
            </w:tcBorders>
          </w:tcPr>
          <w:p w14:paraId="768847A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nil"/>
            </w:tcBorders>
          </w:tcPr>
          <w:p w14:paraId="0D27158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43A68F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323291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5E67DC5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721D8FA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5D83CA8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41F1D98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43A5595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2D88368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bl>
    <w:p w14:paraId="7EF1CEC0">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34B9691A">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附件12</w:t>
      </w:r>
      <w:r>
        <w:rPr>
          <w:rFonts w:ascii="宋体" w:hAnsi="宋体"/>
          <w:color w:val="000000" w:themeColor="text1"/>
          <w:szCs w:val="21"/>
          <w:highlight w:val="none"/>
          <w14:textFill>
            <w14:solidFill>
              <w14:schemeClr w14:val="tx1"/>
            </w14:solidFill>
          </w14:textFill>
        </w:rPr>
        <w:t xml:space="preserve">： </w:t>
      </w:r>
    </w:p>
    <w:p w14:paraId="4E820ED7">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廉</w:t>
      </w:r>
      <w:r>
        <w:rPr>
          <w:rFonts w:ascii="宋体" w:hAnsi="宋体"/>
          <w:color w:val="000000" w:themeColor="text1"/>
          <w:szCs w:val="21"/>
          <w:highlight w:val="none"/>
          <w14:textFill>
            <w14:solidFill>
              <w14:schemeClr w14:val="tx1"/>
            </w14:solidFill>
          </w14:textFill>
        </w:rPr>
        <w:t xml:space="preserve"> 政 协 议 书</w:t>
      </w:r>
    </w:p>
    <w:p w14:paraId="6FA5484F">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为了贯彻落实党中央国务院《关于实现党风廉政建设责任制的规定》和江苏省、南京市有关工程建设、廉政建设的法律法规，加强工程建设中的党风廉政建设，保证中国药科大学基本建设和专项维修项目优质、高效、健康、有序地进行，中国药科大学作为建设单位（以下称甲方）,与承担</w:t>
      </w:r>
      <w:r>
        <w:rPr>
          <w:rFonts w:hint="eastAsia" w:ascii="宋体" w:hAnsi="宋体"/>
          <w:color w:val="000000" w:themeColor="text1"/>
          <w:szCs w:val="21"/>
          <w:highlight w:val="none"/>
          <w:u w:val="single"/>
          <w:lang w:eastAsia="zh-CN"/>
          <w14:textFill>
            <w14:solidFill>
              <w14:schemeClr w14:val="tx1"/>
            </w14:solidFill>
          </w14:textFill>
        </w:rPr>
        <w:t>中国药科大学江宁校区一食堂三楼部分包间修缮项目</w:t>
      </w:r>
      <w:r>
        <w:rPr>
          <w:rFonts w:hint="eastAsia" w:ascii="宋体" w:hAnsi="宋体"/>
          <w:color w:val="000000" w:themeColor="text1"/>
          <w:szCs w:val="21"/>
          <w:highlight w:val="none"/>
          <w14:textFill>
            <w14:solidFill>
              <w14:schemeClr w14:val="tx1"/>
            </w14:solidFill>
          </w14:textFill>
        </w:rPr>
        <w:t>工程的施工单位</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（以下称乙方）特订立如下廉政协议书。</w:t>
      </w:r>
    </w:p>
    <w:p w14:paraId="332E69D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第一条、甲乙双方约定</w:t>
      </w:r>
    </w:p>
    <w:p w14:paraId="7B0ECA7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l、甲乙双方应共同遵守国家和省、市以及行业主管部门关于加强工程建设管理及党风廉政建设的各项规定。</w:t>
      </w:r>
    </w:p>
    <w:p w14:paraId="1D723B4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2、甲乙双方应认真执行建设工程的合同文件,自觉按合同办事。</w:t>
      </w:r>
    </w:p>
    <w:p w14:paraId="50C417E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3、除法律认定的商业秘密和合同文件另有规定之外,甲乙双方的业务活动应坚持公开、公正、透明的原则,严禁损害国家和甲乙双方集体利益、违反工程建设管理规章制度的不正当交易。</w:t>
      </w:r>
    </w:p>
    <w:p w14:paraId="1DA3186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4、甲乙双方应加强对本工程建设参加人员的廉政监督,建立和健全廉政制度,认真查处本方人员的违法违纪行为。</w:t>
      </w:r>
    </w:p>
    <w:p w14:paraId="0D29EFFB">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5、甲乙双方有对本方人员开展廉政告知、廉政教育和职业道德教育的义务。</w:t>
      </w:r>
    </w:p>
    <w:p w14:paraId="0385452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6、甲乙双方如发现对方在业务活动中有不廉洁行为,有及时提醒对方并督促其纠正的权利和义务。</w:t>
      </w:r>
    </w:p>
    <w:p w14:paraId="16394175">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第二条、甲方在廉政建设方面的责任</w:t>
      </w:r>
    </w:p>
    <w:p w14:paraId="3BFDB8E6">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1、甲方及其工作人员不得以任何形式向乙方索要和收受回扣。</w:t>
      </w:r>
    </w:p>
    <w:p w14:paraId="34A7CA1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2、甲方及其工作人员不得接受乙方的礼金、有价证券和贵重物品,不得在乙方报销任何应由个人支付的费用。</w:t>
      </w:r>
    </w:p>
    <w:p w14:paraId="2D7E6CDF">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3、甲方工作人员不得参加可能对公正执行公务有影响的宴请、娱乐、休闲、旅游等活动。</w:t>
      </w:r>
    </w:p>
    <w:p w14:paraId="57149BC1">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4、甲方及其工作人员不得要求或者接受乙方为其住房装修、婚丧嫁娶、家属子女的工作安排以及出国、出境等提供方便。</w:t>
      </w:r>
    </w:p>
    <w:p w14:paraId="31FC4C6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5、甲方及其工作人员不得向乙方介绍家属、亲友从事与甲方工程有关的材料设备供应、工程分包等经济活动。</w:t>
      </w:r>
    </w:p>
    <w:p w14:paraId="04A5E39C">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6、甲方工作人员不得在家里接待乙方有关工程事项的询访。</w:t>
      </w:r>
    </w:p>
    <w:p w14:paraId="27B62867">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第三条、乙方在廉政建设方面的责任</w:t>
      </w:r>
    </w:p>
    <w:p w14:paraId="6676979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1、乙方不得以任何理由向甲方及其工作人员赠送礼金、有价证券和贵重物品等。</w:t>
      </w:r>
    </w:p>
    <w:p w14:paraId="1DE986C6">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2、乙方不得以任何名义为甲方及其工作人员报支应由个人支付的任何费用。</w:t>
      </w:r>
    </w:p>
    <w:p w14:paraId="5C1F4103">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3、乙方不得以任何理由邀请甲方工作人员参加宴请、娱乐、休闲、旅游等活动。</w:t>
      </w:r>
    </w:p>
    <w:p w14:paraId="176E76B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4、乙方不得为甲方单位和个人购置或提供通讯工具、交通工具、家电和高档办公用品或者为通讯工具充值。</w:t>
      </w:r>
    </w:p>
    <w:p w14:paraId="14CD0AE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5、乙方人员不得到甲方人员家里询访有关工程建设事项。</w:t>
      </w:r>
    </w:p>
    <w:p w14:paraId="45426C2D">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第四条、违约责任</w:t>
      </w:r>
    </w:p>
    <w:p w14:paraId="34ABB56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1、甲方及其工作人员有违反本廉政协议书第一条和第二条的,按甲方单位的廉政建设规定处罚，同时汇报检察机关。</w:t>
      </w:r>
    </w:p>
    <w:p w14:paraId="673129DF">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乙方有违反本廉政协议书第一条和第三条的,除通过上级纪检监察机关按乙方单位的廉政建设规定处罚外,视情节轻重和造成损失大小依照相关法律、法规追究相关责任，且在3年内不得参加中国药科大学建设项目投标活动。</w:t>
      </w:r>
    </w:p>
    <w:p w14:paraId="7352E3D4">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第五条、中国药科大学廉政监督部门为中国药科大学纪检监察室，如出现廉政问题，由监督部门按相关法律法规进行处理。</w:t>
      </w:r>
    </w:p>
    <w:p w14:paraId="24F85404">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第六条、本廉政协议书有效期为从甲乙双方签署之日起,到该工程项目竣工验收后止。</w:t>
      </w:r>
    </w:p>
    <w:p w14:paraId="1BF4F13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第七条、本廉政协议书作为工程合同的附件,与工程承包合同具有同等的法律效力,经协议双方签署后立即生效。</w:t>
      </w:r>
    </w:p>
    <w:p w14:paraId="0AC18BDC">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本协议书未尽事宜，参照国家相关法律规定及《中国药科大学基本建设和专项维修项目廉政建设管理细则》等。</w:t>
      </w:r>
    </w:p>
    <w:p w14:paraId="63D9DE61">
      <w:pPr>
        <w:tabs>
          <w:tab w:val="left" w:pos="4515"/>
        </w:tabs>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甲方单位：（盖章）            乙方单位：（盖章）</w:t>
      </w:r>
    </w:p>
    <w:p w14:paraId="53F0EDB1">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                  法定代表人：</w:t>
      </w:r>
    </w:p>
    <w:p w14:paraId="5FA05B8E">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地址：                        地址：</w:t>
      </w:r>
    </w:p>
    <w:p w14:paraId="3228C064">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电话：                        电话：</w:t>
      </w:r>
    </w:p>
    <w:p w14:paraId="6BB16C7C">
      <w:pPr>
        <w:spacing w:line="360" w:lineRule="auto"/>
        <w:rPr>
          <w:rFonts w:ascii="宋体" w:hAnsi="宋体" w:cs="方正仿宋_GBK"/>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签约日期：   年  月  日       签约日期：  年  月   日</w:t>
      </w:r>
      <w:r>
        <w:rPr>
          <w:rFonts w:hint="eastAsia" w:ascii="宋体" w:hAnsi="宋体" w:cs="方正仿宋_GBK"/>
          <w:color w:val="000000" w:themeColor="text1"/>
          <w:szCs w:val="21"/>
          <w:highlight w:val="none"/>
          <w14:textFill>
            <w14:solidFill>
              <w14:schemeClr w14:val="tx1"/>
            </w14:solidFill>
          </w14:textFill>
        </w:rPr>
        <w:t xml:space="preserve"> </w:t>
      </w:r>
    </w:p>
    <w:p w14:paraId="3D90EB3C">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265083FD">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附件13：</w:t>
      </w:r>
    </w:p>
    <w:p w14:paraId="08BC901F">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中国药科大学校内工程施工安全生产责任承诺书</w:t>
      </w:r>
    </w:p>
    <w:p w14:paraId="61BD0196">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为认真贯彻</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安全第一、预防为主</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的方针，确保施工生产的安全，按规定搞好安全防护措施，把安全施工落到实处，在各种经济承包中必须包括安全生产，做到讲效益必须讲安全，抓施工必须抓安全。因此，施工单位对本工程项目施工安全生产做出如下承诺：</w:t>
      </w:r>
    </w:p>
    <w:p w14:paraId="50E3D6A2">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、严格安全管理，认真组织落实施工方案中的施工安全技术措施，现场有安全标志、色标、警示牌，做到文明施工。</w:t>
      </w:r>
    </w:p>
    <w:p w14:paraId="3CCF495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、领导所属班组定期召开安全工作例会，认真开展每周一次安全日活动，对照施工安全检查表，经常检查生产现场的安全管理，认真查出事故隐患，制定各种安全技术措施，确保施工全过程的安全生产。</w:t>
      </w:r>
    </w:p>
    <w:p w14:paraId="72C2C96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、组织学习安全操作规程，并检查执行情况，对新工人必须进行安全教育，特别是劳动用工的管理和教育，教育工人遵章守纪和正确使用安全防范设施和防护用品，负责检查特殊作业人员是否有持证上岗。</w:t>
      </w:r>
    </w:p>
    <w:p w14:paraId="504B21A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、督促指导班组严格按工艺规程和安全操作，制止违章指挥和冒险作业的行为。</w:t>
      </w:r>
    </w:p>
    <w:p w14:paraId="0F9C3BA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、对现场搭设的</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二架一网</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及安装的大型机械、电器设备（配合机管员）等安全防护装置，必须有技术交底的验收手续，方能使用。</w:t>
      </w:r>
    </w:p>
    <w:p w14:paraId="734AA10F">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、对工地安全隐患，由中国药科大学保卫处所发出隐患通知书必须签字，并按通知限期整改。</w:t>
      </w:r>
    </w:p>
    <w:p w14:paraId="7E327B3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、施工中发生工伤事故，尤其重大伤亡事故、重大未遂事故，后果由乙方负责。</w:t>
      </w:r>
    </w:p>
    <w:p w14:paraId="16A2186F">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8</w:t>
      </w:r>
      <w:r>
        <w:rPr>
          <w:rFonts w:hint="eastAsia" w:ascii="宋体" w:hAnsi="宋体"/>
          <w:color w:val="000000" w:themeColor="text1"/>
          <w:szCs w:val="21"/>
          <w:highlight w:val="none"/>
          <w14:textFill>
            <w14:solidFill>
              <w14:schemeClr w14:val="tx1"/>
            </w14:solidFill>
          </w14:textFill>
        </w:rPr>
        <w:t>、工地建立岗位责任制和防火措施，督促有关人员做好施工安全各项技术资料保存。</w:t>
      </w:r>
    </w:p>
    <w:p w14:paraId="6EE39977">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、按中国药科大学要求做好全体人员登记，并把人员登记册送交保卫处。</w:t>
      </w:r>
    </w:p>
    <w:p w14:paraId="3422D0E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10</w:t>
      </w:r>
      <w:r>
        <w:rPr>
          <w:rFonts w:hint="eastAsia" w:ascii="宋体" w:hAnsi="宋体"/>
          <w:color w:val="000000" w:themeColor="text1"/>
          <w:szCs w:val="21"/>
          <w:highlight w:val="none"/>
          <w14:textFill>
            <w14:solidFill>
              <w14:schemeClr w14:val="tx1"/>
            </w14:solidFill>
          </w14:textFill>
        </w:rPr>
        <w:t>、所有施工单位及人员必须遵守中国药科大学各项管理规定。</w:t>
      </w:r>
    </w:p>
    <w:p w14:paraId="5A7D38DF">
      <w:pPr>
        <w:spacing w:line="360" w:lineRule="auto"/>
        <w:rPr>
          <w:rFonts w:ascii="宋体" w:hAnsi="宋体"/>
          <w:color w:val="000000" w:themeColor="text1"/>
          <w:szCs w:val="21"/>
          <w:highlight w:val="none"/>
          <w14:textFill>
            <w14:solidFill>
              <w14:schemeClr w14:val="tx1"/>
            </w14:solidFill>
          </w14:textFill>
        </w:rPr>
      </w:pPr>
    </w:p>
    <w:p w14:paraId="0A61E0E7">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承诺单位：（公章）</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14:paraId="4E15B32E">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承诺单位负责人：</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14:paraId="3BE46DC1">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月    日</w:t>
      </w:r>
    </w:p>
    <w:p w14:paraId="3E5B7F76">
      <w:pPr>
        <w:spacing w:line="360" w:lineRule="auto"/>
        <w:rPr>
          <w:rFonts w:ascii="宋体" w:hAnsi="宋体"/>
          <w:color w:val="000000" w:themeColor="text1"/>
          <w:szCs w:val="21"/>
          <w:highlight w:val="none"/>
          <w14:textFill>
            <w14:solidFill>
              <w14:schemeClr w14:val="tx1"/>
            </w14:solidFill>
          </w14:textFill>
        </w:rPr>
      </w:pPr>
    </w:p>
    <w:p w14:paraId="335A26C2">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47761941">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附件14：</w:t>
      </w:r>
    </w:p>
    <w:p w14:paraId="430E24D6">
      <w:pPr>
        <w:spacing w:line="360" w:lineRule="auto"/>
        <w:jc w:val="center"/>
        <w:rPr>
          <w:rFonts w:ascii="宋体" w:hAnsi="宋体"/>
          <w:color w:val="000000" w:themeColor="text1"/>
          <w:szCs w:val="21"/>
          <w:highlight w:val="none"/>
          <w14:textFill>
            <w14:solidFill>
              <w14:schemeClr w14:val="tx1"/>
            </w14:solidFill>
          </w14:textFill>
        </w:rPr>
      </w:pPr>
      <w:bookmarkStart w:id="204" w:name="_Hlk106268671"/>
      <w:r>
        <w:rPr>
          <w:rFonts w:hint="eastAsia" w:ascii="宋体" w:hAnsi="宋体"/>
          <w:color w:val="000000" w:themeColor="text1"/>
          <w:szCs w:val="21"/>
          <w:highlight w:val="none"/>
          <w14:textFill>
            <w14:solidFill>
              <w14:schemeClr w14:val="tx1"/>
            </w14:solidFill>
          </w14:textFill>
        </w:rPr>
        <w:t>安全生产责任承诺书</w:t>
      </w:r>
    </w:p>
    <w:bookmarkEnd w:id="204"/>
    <w:p w14:paraId="5C51004C">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中国药科大学：</w:t>
      </w:r>
    </w:p>
    <w:p w14:paraId="1A85C834">
      <w:pPr>
        <w:spacing w:line="360" w:lineRule="auto"/>
        <w:ind w:firstLine="525" w:firstLineChars="2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我</w:t>
      </w:r>
      <w:r>
        <w:rPr>
          <w:rFonts w:hint="eastAsia" w:ascii="宋体" w:hAnsi="宋体"/>
          <w:color w:val="000000" w:themeColor="text1"/>
          <w:szCs w:val="21"/>
          <w:highlight w:val="none"/>
          <w:u w:val="single" w:color="000000"/>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color="000000"/>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在</w:t>
      </w:r>
      <w:r>
        <w:rPr>
          <w:rFonts w:hint="eastAsia" w:ascii="宋体" w:hAnsi="宋体"/>
          <w:color w:val="000000" w:themeColor="text1"/>
          <w:szCs w:val="21"/>
          <w:highlight w:val="none"/>
          <w:u w:val="single"/>
          <w:lang w:eastAsia="zh-CN"/>
          <w14:textFill>
            <w14:solidFill>
              <w14:schemeClr w14:val="tx1"/>
            </w14:solidFill>
          </w14:textFill>
        </w:rPr>
        <w:t>中国药科大学江宁校区一食堂三楼部分包间修缮项目</w:t>
      </w:r>
      <w:r>
        <w:rPr>
          <w:rFonts w:ascii="宋体" w:hAnsi="宋体"/>
          <w:color w:val="000000" w:themeColor="text1"/>
          <w:szCs w:val="21"/>
          <w:highlight w:val="none"/>
          <w14:textFill>
            <w14:solidFill>
              <w14:schemeClr w14:val="tx1"/>
            </w14:solidFill>
          </w14:textFill>
        </w:rPr>
        <w:t>中有幸中标，保证不发生重大人员伤亡事故，在此工程</w:t>
      </w:r>
      <w:r>
        <w:rPr>
          <w:rFonts w:hint="eastAsia" w:ascii="宋体" w:hAnsi="宋体"/>
          <w:color w:val="000000" w:themeColor="text1"/>
          <w:szCs w:val="21"/>
          <w:highlight w:val="none"/>
          <w14:textFill>
            <w14:solidFill>
              <w14:schemeClr w14:val="tx1"/>
            </w14:solidFill>
          </w14:textFill>
        </w:rPr>
        <w:t>施工过程中所发生的一切工伤事故或安全事故，均由我公司承担一切责任。</w:t>
      </w:r>
    </w:p>
    <w:p w14:paraId="170FF8FA">
      <w:pPr>
        <w:spacing w:line="360" w:lineRule="auto"/>
        <w:ind w:firstLine="1050" w:firstLineChars="5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承诺单位（公章）：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p>
    <w:p w14:paraId="73997086">
      <w:pPr>
        <w:spacing w:line="360" w:lineRule="auto"/>
        <w:ind w:firstLine="1050" w:firstLineChars="5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法定代表人（签字或盖章）：             </w:t>
      </w:r>
    </w:p>
    <w:p w14:paraId="3727B55D">
      <w:pPr>
        <w:spacing w:line="360" w:lineRule="auto"/>
        <w:ind w:firstLine="3360" w:firstLineChars="16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w:t>
      </w:r>
    </w:p>
    <w:p w14:paraId="65699665">
      <w:pPr>
        <w:pageBreakBefore/>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附件15：</w:t>
      </w:r>
    </w:p>
    <w:p w14:paraId="79C22253">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中国药科大学校内工程文明施工承诺书</w:t>
      </w:r>
    </w:p>
    <w:p w14:paraId="220EF05A">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一、施工单位必须做到文明施工，并制定完善的安全管理制度。开工前，必须到学校保卫处办理人员等相关登记手续，并加强对所属人员的教育和管理，要求所属人员做到言谈文明、举止得体，施工人员的活动范围只局限在施工区域，避免发生影响学校教学、科研、生活正常秩序的问题，否则公司要负相关责任。 </w:t>
      </w:r>
    </w:p>
    <w:p w14:paraId="519613AF">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二、在施工过程中应注意对树木、花草、绿篱、房舍、校内路面等校园内一切公共设施的保护。如有损坏，必须按有关规定予以恢复，并处以1000 —5000 元的违约金，并责令其恢复。 </w:t>
      </w:r>
    </w:p>
    <w:p w14:paraId="7704E66B">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三、在施工期间，应在施工现场显著位置设立安全警告牌，并确保警告牌的整洁、醒目。未按此项要求进行操作的，相关管理部门要责令其停工并限期整改，如不改正则令其停止施工，由此产生的工期延误和经济损失由施工单位承担，整改后经检查确定符合要求后方可继续施工。 </w:t>
      </w:r>
    </w:p>
    <w:p w14:paraId="058C7F06">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四、施工单位在校内施工必须严格遵守学校的各项管理规定。未经基建后勤处批准或相关协管部门同意严禁破路施工，严禁在道路上堆放施工材料、施工机械及在路面搅拌混凝土。特殊情况下，需征得基建后勤处及相关协管部门同意，需要临时占用道路的，不得影响正常交通并将建筑材料或物品在指定地点堆放整齐。 </w:t>
      </w:r>
    </w:p>
    <w:p w14:paraId="10D4BDDA">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五、工程中需对现实状况改动的，改动方案必须提前报基建后勤处及相关协管部门审定同意。未经同意，擅自施工的，责令其停止施工，并处以 1000 元以上的违约金，此产生的工期延误和经济损失由施工单位承担。 </w:t>
      </w:r>
    </w:p>
    <w:p w14:paraId="7B59261B">
      <w:pPr>
        <w:pStyle w:val="88"/>
        <w:spacing w:after="120"/>
        <w:ind w:firstLine="600"/>
        <w:jc w:val="left"/>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六、施工单位在校园内施工期间要自觉维护校内各种建筑和公共设施，未经允许不准移动或占用。确因需要占用校园的球场、道路、建筑物周围及楼道、走廊等公用场地及相关设施，必须到基建后勤处及相关协管部门办理批准手续。否则，将责令其限期整改，并处以1000 — 5000元的违约金。如不改正则令其停止施工，由此产生的工期延误和经济损失由施工单位承担。</w:t>
      </w:r>
    </w:p>
    <w:p w14:paraId="2C2E5D63">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七、施工产生的建筑垃圾必须外运，不得倾倒在校园内。建筑垃圾原则上要求日产日清，如不能做到的， 则装袋后可暂时堆放在指定区域，并做覆盖处理，不得堆放在绿化带中，不得影响交通和消防通道。建筑垃圾自开始堆放之日起 5日内必须外运。否则每天按1000元违约金处理。在外运过程中，不得散落在校园内，严禁抛洒滴漏。施工结束后 5 日内必须将建筑垃圾等杂物及周围环境清理干净，否则处以1000-5000 元的违约金。如施工垃圾未外运，倾倒在校园内的，一经核实，处以 5000-10000 元的违约金。 </w:t>
      </w:r>
    </w:p>
    <w:p w14:paraId="35D40DBE">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八、校内施工不允许无偿使用水、电。施工使用的水电，须经基建后勤处同意后安装计量表， 且按照使用的数量和施工用水电的价格计量收费，无法安装水电表计量的，按书面约定办法扣除施工水电费。否则责令其停止施工， 并处以 1000 元以上的违约金， 施工过程中由于操作不当导致水、电等设施损坏的，必须及时修复，并承担由此造成的一切损失，如发现私自接拉水电现象，责令恢复，并处以1000-5000元违约金。如不改正则令其停止施工，由此产生的工期延误和经济损失由施工单位承担。 </w:t>
      </w:r>
    </w:p>
    <w:p w14:paraId="1D0FB2F3">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承诺单位： （公章） </w:t>
      </w:r>
    </w:p>
    <w:p w14:paraId="179B2629">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承诺单位法定代表人（签字）：                 </w:t>
      </w:r>
    </w:p>
    <w:p w14:paraId="661E12B3">
      <w:pPr>
        <w:spacing w:line="360" w:lineRule="auto"/>
        <w:ind w:firstLine="420" w:firstLineChars="200"/>
        <w:rPr>
          <w:rFonts w:ascii="宋体" w:hAnsi="宋体" w:cs="仿宋_GB2312"/>
          <w:color w:val="000000" w:themeColor="text1"/>
          <w:szCs w:val="21"/>
          <w:highlight w:val="none"/>
          <w14:textFill>
            <w14:solidFill>
              <w14:schemeClr w14:val="tx1"/>
            </w14:solidFill>
          </w14:textFill>
        </w:rPr>
        <w:sectPr>
          <w:headerReference r:id="rId7" w:type="default"/>
          <w:footerReference r:id="rId8" w:type="default"/>
          <w:pgSz w:w="11906" w:h="16838"/>
          <w:pgMar w:top="1440" w:right="1519" w:bottom="1318" w:left="1633" w:header="283" w:footer="992" w:gutter="0"/>
          <w:cols w:space="720" w:num="1"/>
          <w:docGrid w:type="lines" w:linePitch="312" w:charSpace="0"/>
        </w:sectPr>
      </w:pPr>
      <w:r>
        <w:rPr>
          <w:rFonts w:hint="eastAsia" w:ascii="宋体" w:hAnsi="宋体" w:cs="仿宋_GB2312"/>
          <w:color w:val="000000" w:themeColor="text1"/>
          <w:szCs w:val="21"/>
          <w:highlight w:val="none"/>
          <w14:textFill>
            <w14:solidFill>
              <w14:schemeClr w14:val="tx1"/>
            </w14:solidFill>
          </w14:textFill>
        </w:rPr>
        <w:t>年   月    日</w:t>
      </w:r>
    </w:p>
    <w:p w14:paraId="3EE3E109">
      <w:pPr>
        <w:spacing w:line="360" w:lineRule="auto"/>
        <w:ind w:firstLine="400" w:firstLineChars="200"/>
        <w:rPr>
          <w:rFonts w:ascii="宋体" w:hAnsi="宋体"/>
          <w:color w:val="000000" w:themeColor="text1"/>
          <w:sz w:val="20"/>
          <w:highlight w:val="none"/>
          <w14:textFill>
            <w14:solidFill>
              <w14:schemeClr w14:val="tx1"/>
            </w14:solidFill>
          </w14:textFill>
        </w:rPr>
      </w:pPr>
      <w:r>
        <w:rPr>
          <w:rFonts w:hint="eastAsia" w:ascii="宋体" w:hAnsi="宋体"/>
          <w:color w:val="000000" w:themeColor="text1"/>
          <w:sz w:val="20"/>
          <w:highlight w:val="none"/>
          <w14:textFill>
            <w14:solidFill>
              <w14:schemeClr w14:val="tx1"/>
            </w14:solidFill>
          </w14:textFill>
        </w:rPr>
        <w:t>附件16：</w:t>
      </w:r>
    </w:p>
    <w:p w14:paraId="01C09ED4">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施工现场大气污染防治措施承诺书</w:t>
      </w:r>
    </w:p>
    <w:p w14:paraId="71892438">
      <w:pPr>
        <w:tabs>
          <w:tab w:val="left" w:pos="2039"/>
        </w:tabs>
        <w:spacing w:line="360" w:lineRule="auto"/>
        <w:ind w:firstLine="325" w:firstLineChars="155"/>
        <w:rPr>
          <w:color w:val="000000" w:themeColor="text1"/>
          <w:szCs w:val="21"/>
          <w:highlight w:val="none"/>
          <w:u w:val="single"/>
          <w14:textFill>
            <w14:solidFill>
              <w14:schemeClr w14:val="tx1"/>
            </w14:solidFill>
          </w14:textFill>
        </w:rPr>
      </w:pPr>
    </w:p>
    <w:p w14:paraId="7D67A0EE">
      <w:pPr>
        <w:tabs>
          <w:tab w:val="left" w:pos="2039"/>
        </w:tabs>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u w:val="single"/>
          <w14:textFill>
            <w14:solidFill>
              <w14:schemeClr w14:val="tx1"/>
            </w14:solidFill>
          </w14:textFill>
        </w:rPr>
        <w:t>中国药科大学</w:t>
      </w:r>
      <w:r>
        <w:rPr>
          <w:rFonts w:hint="eastAsia"/>
          <w:color w:val="000000" w:themeColor="text1"/>
          <w:szCs w:val="21"/>
          <w:highlight w:val="none"/>
          <w14:textFill>
            <w14:solidFill>
              <w14:schemeClr w14:val="tx1"/>
            </w14:solidFill>
          </w14:textFill>
        </w:rPr>
        <w:t>：</w:t>
      </w:r>
    </w:p>
    <w:p w14:paraId="4781B4EA">
      <w:pPr>
        <w:tabs>
          <w:tab w:val="left" w:pos="2039"/>
        </w:tabs>
        <w:spacing w:line="360" w:lineRule="auto"/>
        <w:ind w:firstLine="741" w:firstLineChars="353"/>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在</w:t>
      </w:r>
      <w:r>
        <w:rPr>
          <w:rFonts w:hint="eastAsia" w:ascii="宋体" w:hAnsi="宋体"/>
          <w:color w:val="000000" w:themeColor="text1"/>
          <w:szCs w:val="21"/>
          <w:highlight w:val="none"/>
          <w:u w:val="single"/>
          <w:lang w:eastAsia="zh-CN"/>
          <w14:textFill>
            <w14:solidFill>
              <w14:schemeClr w14:val="tx1"/>
            </w14:solidFill>
          </w14:textFill>
        </w:rPr>
        <w:t>中国药科大学江宁校区一食堂三楼部分包间修缮项目</w:t>
      </w:r>
      <w:r>
        <w:rPr>
          <w:rFonts w:hint="eastAsia"/>
          <w:color w:val="000000" w:themeColor="text1"/>
          <w:szCs w:val="21"/>
          <w:highlight w:val="none"/>
          <w14:textFill>
            <w14:solidFill>
              <w14:schemeClr w14:val="tx1"/>
            </w14:solidFill>
          </w14:textFill>
        </w:rPr>
        <w:t>的施工过程中，我公司郑重承诺：</w:t>
      </w:r>
    </w:p>
    <w:p w14:paraId="47FC518F">
      <w:pPr>
        <w:tabs>
          <w:tab w:val="left" w:pos="2039"/>
        </w:tabs>
        <w:spacing w:line="360" w:lineRule="auto"/>
        <w:ind w:firstLine="325" w:firstLineChars="155"/>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1.施工现场使用低挥发性有机物含量建筑涂料和胶粘剂。</w:t>
      </w:r>
    </w:p>
    <w:p w14:paraId="6E31ECD7">
      <w:pPr>
        <w:tabs>
          <w:tab w:val="left" w:pos="2039"/>
        </w:tabs>
        <w:spacing w:line="360" w:lineRule="auto"/>
        <w:ind w:firstLine="325" w:firstLineChars="155"/>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2.施工现场不使用国一及以下和排放不达标的非道路移动机械。</w:t>
      </w:r>
    </w:p>
    <w:p w14:paraId="77615CDB">
      <w:pPr>
        <w:spacing w:line="360" w:lineRule="auto"/>
        <w:ind w:firstLine="325" w:firstLineChars="155"/>
        <w:rPr>
          <w:rFonts w:hint="eastAsia"/>
          <w:color w:val="000000" w:themeColor="text1"/>
          <w:szCs w:val="21"/>
          <w:highlight w:val="none"/>
          <w14:textFill>
            <w14:solidFill>
              <w14:schemeClr w14:val="tx1"/>
            </w14:solidFill>
          </w14:textFill>
        </w:rPr>
      </w:pPr>
    </w:p>
    <w:p w14:paraId="18EB246D">
      <w:pPr>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如本企业未按上述承诺执行，将依法依规接受查处。</w:t>
      </w:r>
    </w:p>
    <w:p w14:paraId="459136C4">
      <w:pPr>
        <w:spacing w:line="360" w:lineRule="auto"/>
        <w:ind w:firstLine="325" w:firstLineChars="155"/>
        <w:rPr>
          <w:color w:val="000000" w:themeColor="text1"/>
          <w:szCs w:val="21"/>
          <w:highlight w:val="none"/>
          <w14:textFill>
            <w14:solidFill>
              <w14:schemeClr w14:val="tx1"/>
            </w14:solidFill>
          </w14:textFill>
        </w:rPr>
      </w:pPr>
    </w:p>
    <w:p w14:paraId="789D190D">
      <w:pPr>
        <w:spacing w:line="360" w:lineRule="auto"/>
        <w:ind w:firstLine="325" w:firstLineChars="155"/>
        <w:rPr>
          <w:color w:val="000000" w:themeColor="text1"/>
          <w:szCs w:val="21"/>
          <w:highlight w:val="none"/>
          <w14:textFill>
            <w14:solidFill>
              <w14:schemeClr w14:val="tx1"/>
            </w14:solidFill>
          </w14:textFill>
        </w:rPr>
      </w:pPr>
    </w:p>
    <w:p w14:paraId="529CDBBC">
      <w:pPr>
        <w:spacing w:line="360" w:lineRule="auto"/>
        <w:ind w:firstLine="325" w:firstLineChars="155"/>
        <w:rPr>
          <w:color w:val="000000" w:themeColor="text1"/>
          <w:szCs w:val="21"/>
          <w:highlight w:val="none"/>
          <w14:textFill>
            <w14:solidFill>
              <w14:schemeClr w14:val="tx1"/>
            </w14:solidFill>
          </w14:textFill>
        </w:rPr>
      </w:pPr>
    </w:p>
    <w:p w14:paraId="21ED187B">
      <w:pPr>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                                         承诺企业名称（盖章）</w:t>
      </w:r>
    </w:p>
    <w:p w14:paraId="6323CBF9">
      <w:pPr>
        <w:pStyle w:val="7"/>
        <w:rPr>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                                                年   月   日</w:t>
      </w:r>
    </w:p>
    <w:p w14:paraId="319E9B5D">
      <w:pPr>
        <w:spacing w:line="360" w:lineRule="auto"/>
        <w:rPr>
          <w:rFonts w:ascii="宋体" w:hAnsi="宋体"/>
          <w:color w:val="000000" w:themeColor="text1"/>
          <w:sz w:val="24"/>
          <w:szCs w:val="24"/>
          <w:highlight w:val="none"/>
          <w14:textFill>
            <w14:solidFill>
              <w14:schemeClr w14:val="tx1"/>
            </w14:solidFill>
          </w14:textFill>
        </w:rPr>
      </w:pPr>
    </w:p>
    <w:p w14:paraId="360AEA1C">
      <w:pPr>
        <w:rPr>
          <w:color w:val="000000" w:themeColor="text1"/>
          <w:highlight w:val="none"/>
          <w14:textFill>
            <w14:solidFill>
              <w14:schemeClr w14:val="tx1"/>
            </w14:solidFill>
          </w14:textFill>
        </w:rPr>
      </w:pPr>
    </w:p>
    <w:p w14:paraId="1DB9B430">
      <w:pPr>
        <w:rPr>
          <w:color w:val="000000" w:themeColor="text1"/>
          <w:highlight w:val="none"/>
          <w14:textFill>
            <w14:solidFill>
              <w14:schemeClr w14:val="tx1"/>
            </w14:solidFill>
          </w14:textFill>
        </w:rPr>
      </w:pPr>
    </w:p>
    <w:p w14:paraId="527A1121">
      <w:pPr>
        <w:rPr>
          <w:color w:val="000000" w:themeColor="text1"/>
          <w:highlight w:val="none"/>
          <w14:textFill>
            <w14:solidFill>
              <w14:schemeClr w14:val="tx1"/>
            </w14:solidFill>
          </w14:textFill>
        </w:rPr>
      </w:pPr>
    </w:p>
    <w:p w14:paraId="53C28476">
      <w:pPr>
        <w:pStyle w:val="2"/>
        <w:spacing w:before="240" w:after="240" w:line="400" w:lineRule="exact"/>
        <w:ind w:firstLine="3849" w:firstLineChars="1203"/>
        <w:jc w:val="center"/>
        <w:outlineLvl w:val="9"/>
        <w:rPr>
          <w:rFonts w:hAnsi="黑体"/>
          <w:b w:val="0"/>
          <w:color w:val="000000" w:themeColor="text1"/>
          <w:sz w:val="32"/>
          <w:highlight w:val="none"/>
          <w14:textFill>
            <w14:solidFill>
              <w14:schemeClr w14:val="tx1"/>
            </w14:solidFill>
          </w14:textFill>
        </w:rPr>
      </w:pPr>
      <w:r>
        <w:rPr>
          <w:rFonts w:hint="eastAsia" w:hAnsi="黑体"/>
          <w:b w:val="0"/>
          <w:color w:val="000000" w:themeColor="text1"/>
          <w:sz w:val="32"/>
          <w:highlight w:val="none"/>
          <w14:textFill>
            <w14:solidFill>
              <w14:schemeClr w14:val="tx1"/>
            </w14:solidFill>
          </w14:textFill>
        </w:rPr>
        <w:br w:type="page"/>
      </w:r>
    </w:p>
    <w:p w14:paraId="11B03A24">
      <w:pPr>
        <w:rPr>
          <w:rFonts w:ascii="黑体" w:hAnsi="Verdana" w:eastAsia="黑体"/>
          <w:color w:val="000000" w:themeColor="text1"/>
          <w:sz w:val="36"/>
          <w:szCs w:val="36"/>
          <w:highlight w:val="none"/>
          <w14:textFill>
            <w14:solidFill>
              <w14:schemeClr w14:val="tx1"/>
            </w14:solidFill>
          </w14:textFill>
        </w:rPr>
      </w:pPr>
    </w:p>
    <w:p w14:paraId="7319C083">
      <w:pPr>
        <w:jc w:val="center"/>
        <w:outlineLvl w:val="0"/>
        <w:rPr>
          <w:rFonts w:ascii="宋体" w:hAnsi="宋体" w:cs="宋体"/>
          <w:color w:val="000000" w:themeColor="text1"/>
          <w:sz w:val="36"/>
          <w:szCs w:val="36"/>
          <w:highlight w:val="none"/>
          <w:lang w:val="zh-CN"/>
          <w14:textFill>
            <w14:solidFill>
              <w14:schemeClr w14:val="tx1"/>
            </w14:solidFill>
          </w14:textFill>
        </w:rPr>
      </w:pPr>
      <w:bookmarkStart w:id="205" w:name="_Toc15328"/>
      <w:r>
        <w:rPr>
          <w:rFonts w:hint="eastAsia" w:ascii="宋体" w:hAnsi="宋体" w:cs="宋体"/>
          <w:color w:val="000000" w:themeColor="text1"/>
          <w:sz w:val="36"/>
          <w:szCs w:val="36"/>
          <w:highlight w:val="none"/>
          <w:lang w:val="zh-CN"/>
          <w14:textFill>
            <w14:solidFill>
              <w14:schemeClr w14:val="tx1"/>
            </w14:solidFill>
          </w14:textFill>
        </w:rPr>
        <w:t>第六章附件</w:t>
      </w:r>
      <w:bookmarkEnd w:id="205"/>
    </w:p>
    <w:p w14:paraId="5B2672D5">
      <w:pPr>
        <w:jc w:val="center"/>
        <w:rPr>
          <w:rFonts w:ascii="宋体" w:hAnsi="宋体" w:cs="宋体"/>
          <w:b/>
          <w:color w:val="000000" w:themeColor="text1"/>
          <w:sz w:val="72"/>
          <w:highlight w:val="none"/>
          <w14:textFill>
            <w14:solidFill>
              <w14:schemeClr w14:val="tx1"/>
            </w14:solidFill>
          </w14:textFill>
        </w:rPr>
      </w:pPr>
    </w:p>
    <w:p w14:paraId="490DB5F3">
      <w:pPr>
        <w:jc w:val="center"/>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响  应  文  件</w:t>
      </w:r>
    </w:p>
    <w:p w14:paraId="1965F636">
      <w:pPr>
        <w:ind w:firstLine="3708" w:firstLineChars="1026"/>
        <w:rPr>
          <w:rFonts w:ascii="宋体" w:hAnsi="宋体" w:cs="宋体"/>
          <w:b/>
          <w:color w:val="000000" w:themeColor="text1"/>
          <w:sz w:val="36"/>
          <w:highlight w:val="none"/>
          <w14:textFill>
            <w14:solidFill>
              <w14:schemeClr w14:val="tx1"/>
            </w14:solidFill>
          </w14:textFill>
        </w:rPr>
      </w:pPr>
    </w:p>
    <w:p w14:paraId="20F535D2">
      <w:pPr>
        <w:jc w:val="center"/>
        <w:rPr>
          <w:rFonts w:ascii="宋体" w:hAnsi="宋体" w:cs="宋体"/>
          <w:b/>
          <w:color w:val="000000" w:themeColor="text1"/>
          <w:sz w:val="72"/>
          <w:highlight w:val="none"/>
          <w14:textFill>
            <w14:solidFill>
              <w14:schemeClr w14:val="tx1"/>
            </w14:solidFill>
          </w14:textFill>
        </w:rPr>
      </w:pPr>
    </w:p>
    <w:p w14:paraId="72BD9804">
      <w:pPr>
        <w:jc w:val="center"/>
        <w:rPr>
          <w:rFonts w:ascii="宋体" w:hAnsi="宋体" w:cs="宋体"/>
          <w:b/>
          <w:color w:val="000000" w:themeColor="text1"/>
          <w:sz w:val="36"/>
          <w:highlight w:val="none"/>
          <w14:textFill>
            <w14:solidFill>
              <w14:schemeClr w14:val="tx1"/>
            </w14:solidFill>
          </w14:textFill>
        </w:rPr>
      </w:pPr>
    </w:p>
    <w:p w14:paraId="0C8B5CC8">
      <w:pPr>
        <w:jc w:val="center"/>
        <w:rPr>
          <w:rFonts w:ascii="宋体" w:hAnsi="宋体" w:cs="宋体"/>
          <w:b/>
          <w:color w:val="000000" w:themeColor="text1"/>
          <w:sz w:val="36"/>
          <w:highlight w:val="none"/>
          <w14:textFill>
            <w14:solidFill>
              <w14:schemeClr w14:val="tx1"/>
            </w14:solidFill>
          </w14:textFill>
        </w:rPr>
      </w:pPr>
    </w:p>
    <w:p w14:paraId="14DCB71C">
      <w:pPr>
        <w:jc w:val="center"/>
        <w:rPr>
          <w:rFonts w:ascii="宋体" w:hAnsi="宋体" w:cs="宋体"/>
          <w:b/>
          <w:color w:val="000000" w:themeColor="text1"/>
          <w:sz w:val="36"/>
          <w:highlight w:val="none"/>
          <w14:textFill>
            <w14:solidFill>
              <w14:schemeClr w14:val="tx1"/>
            </w14:solidFill>
          </w14:textFill>
        </w:rPr>
      </w:pPr>
    </w:p>
    <w:p w14:paraId="0E0F8F00">
      <w:pP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编号： </w:t>
      </w:r>
    </w:p>
    <w:p w14:paraId="0565E21B">
      <w:pPr>
        <w:ind w:firstLine="1084" w:firstLineChars="300"/>
        <w:rPr>
          <w:rFonts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名称： </w:t>
      </w:r>
    </w:p>
    <w:p w14:paraId="07F5EBAD">
      <w:pPr>
        <w:ind w:firstLine="1084" w:firstLineChars="300"/>
        <w:rPr>
          <w:rFonts w:ascii="宋体" w:hAnsi="宋体" w:cs="宋体"/>
          <w:b/>
          <w:color w:val="000000" w:themeColor="text1"/>
          <w:sz w:val="36"/>
          <w:highlight w:val="none"/>
          <w14:textFill>
            <w14:solidFill>
              <w14:schemeClr w14:val="tx1"/>
            </w14:solidFill>
          </w14:textFill>
        </w:rPr>
      </w:pPr>
    </w:p>
    <w:p w14:paraId="54807246">
      <w:pPr>
        <w:ind w:firstLine="1084" w:firstLineChars="300"/>
        <w:rPr>
          <w:rFonts w:ascii="宋体" w:hAnsi="宋体" w:cs="宋体"/>
          <w:b/>
          <w:color w:val="000000" w:themeColor="text1"/>
          <w:sz w:val="36"/>
          <w:highlight w:val="none"/>
          <w14:textFill>
            <w14:solidFill>
              <w14:schemeClr w14:val="tx1"/>
            </w14:solidFill>
          </w14:textFill>
        </w:rPr>
      </w:pPr>
    </w:p>
    <w:p w14:paraId="1435D6D6">
      <w:pPr>
        <w:ind w:firstLine="1084" w:firstLineChars="300"/>
        <w:rPr>
          <w:rFonts w:ascii="宋体" w:hAnsi="宋体" w:cs="宋体"/>
          <w:b/>
          <w:color w:val="000000" w:themeColor="text1"/>
          <w:sz w:val="36"/>
          <w:highlight w:val="none"/>
          <w14:textFill>
            <w14:solidFill>
              <w14:schemeClr w14:val="tx1"/>
            </w14:solidFill>
          </w14:textFill>
        </w:rPr>
      </w:pPr>
    </w:p>
    <w:p w14:paraId="438321E7">
      <w:pPr>
        <w:ind w:firstLine="1084" w:firstLineChars="300"/>
        <w:rPr>
          <w:rFonts w:ascii="宋体" w:hAnsi="宋体" w:cs="宋体"/>
          <w:b/>
          <w:color w:val="000000" w:themeColor="text1"/>
          <w:sz w:val="36"/>
          <w:highlight w:val="none"/>
          <w14:textFill>
            <w14:solidFill>
              <w14:schemeClr w14:val="tx1"/>
            </w14:solidFill>
          </w14:textFill>
        </w:rPr>
      </w:pPr>
    </w:p>
    <w:p w14:paraId="65ABA563">
      <w:pPr>
        <w:ind w:firstLine="1084" w:firstLineChars="300"/>
        <w:rPr>
          <w:rFonts w:ascii="宋体" w:hAnsi="宋体" w:cs="宋体"/>
          <w:b/>
          <w:color w:val="000000" w:themeColor="text1"/>
          <w:sz w:val="36"/>
          <w:highlight w:val="none"/>
          <w14:textFill>
            <w14:solidFill>
              <w14:schemeClr w14:val="tx1"/>
            </w14:solidFill>
          </w14:textFill>
        </w:rPr>
      </w:pPr>
    </w:p>
    <w:p w14:paraId="6379CB75">
      <w:pPr>
        <w:ind w:firstLine="1084" w:firstLineChars="300"/>
        <w:rPr>
          <w:rFonts w:ascii="宋体" w:hAnsi="宋体" w:cs="宋体"/>
          <w:b/>
          <w:color w:val="000000" w:themeColor="text1"/>
          <w:sz w:val="36"/>
          <w:highlight w:val="none"/>
          <w14:textFill>
            <w14:solidFill>
              <w14:schemeClr w14:val="tx1"/>
            </w14:solidFill>
          </w14:textFill>
        </w:rPr>
      </w:pPr>
    </w:p>
    <w:p w14:paraId="5837BF3C">
      <w:pPr>
        <w:ind w:firstLine="1084" w:firstLineChars="300"/>
        <w:rPr>
          <w:rFonts w:ascii="宋体" w:hAnsi="宋体" w:cs="宋体"/>
          <w:b/>
          <w:color w:val="000000" w:themeColor="text1"/>
          <w:sz w:val="36"/>
          <w:highlight w:val="none"/>
          <w14:textFill>
            <w14:solidFill>
              <w14:schemeClr w14:val="tx1"/>
            </w14:solidFill>
          </w14:textFill>
        </w:rPr>
      </w:pPr>
    </w:p>
    <w:p w14:paraId="0C33AA2F">
      <w:pP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投标人名称 ：</w:t>
      </w:r>
    </w:p>
    <w:p w14:paraId="22E4F4A3">
      <w:pP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日      期 ：</w:t>
      </w:r>
    </w:p>
    <w:p w14:paraId="3DCE9875">
      <w:pPr>
        <w:jc w:val="center"/>
        <w:rPr>
          <w:rFonts w:ascii="宋体" w:hAnsi="宋体" w:cs="宋体"/>
          <w:b/>
          <w:color w:val="000000" w:themeColor="text1"/>
          <w:sz w:val="30"/>
          <w:szCs w:val="30"/>
          <w:highlight w:val="none"/>
          <w14:textFill>
            <w14:solidFill>
              <w14:schemeClr w14:val="tx1"/>
            </w14:solidFill>
          </w14:textFill>
        </w:rPr>
      </w:pPr>
    </w:p>
    <w:p w14:paraId="0A045E33">
      <w:pPr>
        <w:jc w:val="center"/>
        <w:rPr>
          <w:rFonts w:ascii="宋体" w:hAnsi="宋体" w:cs="宋体"/>
          <w:b/>
          <w:color w:val="000000" w:themeColor="text1"/>
          <w:sz w:val="30"/>
          <w:szCs w:val="30"/>
          <w:highlight w:val="none"/>
          <w14:textFill>
            <w14:solidFill>
              <w14:schemeClr w14:val="tx1"/>
            </w14:solidFill>
          </w14:textFill>
        </w:rPr>
        <w:sectPr>
          <w:footerReference r:id="rId9" w:type="default"/>
          <w:endnotePr>
            <w:numFmt w:val="decimal"/>
          </w:endnotePr>
          <w:pgSz w:w="11906" w:h="16838"/>
          <w:pgMar w:top="850" w:right="850" w:bottom="850" w:left="1417" w:header="170" w:footer="720" w:gutter="0"/>
          <w:cols w:space="0" w:num="1"/>
        </w:sectPr>
      </w:pPr>
    </w:p>
    <w:p w14:paraId="6F041285">
      <w:pPr>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评分索引表</w:t>
      </w:r>
    </w:p>
    <w:tbl>
      <w:tblPr>
        <w:tblStyle w:val="28"/>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2B28B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vAlign w:val="center"/>
          </w:tcPr>
          <w:p w14:paraId="52D6161A">
            <w:pPr>
              <w:pStyle w:val="42"/>
              <w:shd w:val="clear" w:color="auto" w:fill="FFFFFF"/>
              <w:ind w:firstLine="422"/>
              <w:jc w:val="center"/>
              <w:rPr>
                <w:rFonts w:ascii="宋体" w:hAnsi="宋体" w:cs="宋体"/>
                <w:b/>
                <w:bCs/>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评分项目</w:t>
            </w:r>
          </w:p>
        </w:tc>
        <w:tc>
          <w:tcPr>
            <w:tcW w:w="3570" w:type="dxa"/>
            <w:vAlign w:val="center"/>
          </w:tcPr>
          <w:p w14:paraId="088F9865">
            <w:pPr>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kern w:val="0"/>
                <w:highlight w:val="none"/>
                <w14:textFill>
                  <w14:solidFill>
                    <w14:schemeClr w14:val="tx1"/>
                  </w14:solidFill>
                </w14:textFill>
              </w:rPr>
              <w:t>在投标文件中的页码位置</w:t>
            </w:r>
          </w:p>
        </w:tc>
      </w:tr>
      <w:tr w14:paraId="03EF7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670" w:type="dxa"/>
          </w:tcPr>
          <w:p w14:paraId="767C9559">
            <w:pPr>
              <w:pStyle w:val="42"/>
              <w:shd w:val="clear" w:color="auto" w:fill="FFFFFF"/>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c>
          <w:tcPr>
            <w:tcW w:w="3570" w:type="dxa"/>
          </w:tcPr>
          <w:p w14:paraId="555DAA5A">
            <w:pPr>
              <w:rPr>
                <w:rFonts w:ascii="宋体" w:hAnsi="宋体" w:cs="宋体"/>
                <w:b/>
                <w:color w:val="000000" w:themeColor="text1"/>
                <w:kern w:val="0"/>
                <w:highlight w:val="none"/>
                <w14:textFill>
                  <w14:solidFill>
                    <w14:schemeClr w14:val="tx1"/>
                  </w14:solidFill>
                </w14:textFill>
              </w:rPr>
            </w:pPr>
          </w:p>
        </w:tc>
      </w:tr>
      <w:tr w14:paraId="08F9B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240" w:type="dxa"/>
            <w:gridSpan w:val="2"/>
          </w:tcPr>
          <w:p w14:paraId="7EB454CC">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r>
      <w:tr w14:paraId="6DA47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57155E1E">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A4BAD4C">
            <w:pPr>
              <w:rPr>
                <w:rFonts w:ascii="宋体" w:hAnsi="宋体" w:cs="宋体"/>
                <w:color w:val="000000" w:themeColor="text1"/>
                <w:highlight w:val="none"/>
                <w14:textFill>
                  <w14:solidFill>
                    <w14:schemeClr w14:val="tx1"/>
                  </w14:solidFill>
                </w14:textFill>
              </w:rPr>
            </w:pPr>
          </w:p>
        </w:tc>
      </w:tr>
      <w:tr w14:paraId="1254E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7A92DA67">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075308F7">
            <w:pPr>
              <w:rPr>
                <w:rFonts w:ascii="宋体" w:hAnsi="宋体" w:cs="宋体"/>
                <w:color w:val="000000" w:themeColor="text1"/>
                <w:highlight w:val="none"/>
                <w14:textFill>
                  <w14:solidFill>
                    <w14:schemeClr w14:val="tx1"/>
                  </w14:solidFill>
                </w14:textFill>
              </w:rPr>
            </w:pPr>
          </w:p>
        </w:tc>
      </w:tr>
      <w:tr w14:paraId="27411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7E3CF04A">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4E54B2F">
            <w:pPr>
              <w:rPr>
                <w:rFonts w:ascii="宋体" w:hAnsi="宋体" w:cs="宋体"/>
                <w:color w:val="000000" w:themeColor="text1"/>
                <w:highlight w:val="none"/>
                <w14:textFill>
                  <w14:solidFill>
                    <w14:schemeClr w14:val="tx1"/>
                  </w14:solidFill>
                </w14:textFill>
              </w:rPr>
            </w:pPr>
          </w:p>
        </w:tc>
      </w:tr>
      <w:tr w14:paraId="033D3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417F6EDD">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164EA9FD">
            <w:pPr>
              <w:rPr>
                <w:rFonts w:ascii="宋体" w:hAnsi="宋体" w:cs="宋体"/>
                <w:color w:val="000000" w:themeColor="text1"/>
                <w:highlight w:val="none"/>
                <w14:textFill>
                  <w14:solidFill>
                    <w14:schemeClr w14:val="tx1"/>
                  </w14:solidFill>
                </w14:textFill>
              </w:rPr>
            </w:pPr>
          </w:p>
        </w:tc>
      </w:tr>
      <w:tr w14:paraId="5EE05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7DFC167A">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0D2D9282">
            <w:pPr>
              <w:rPr>
                <w:rFonts w:ascii="宋体" w:hAnsi="宋体" w:cs="宋体"/>
                <w:color w:val="000000" w:themeColor="text1"/>
                <w:highlight w:val="none"/>
                <w14:textFill>
                  <w14:solidFill>
                    <w14:schemeClr w14:val="tx1"/>
                  </w14:solidFill>
                </w14:textFill>
              </w:rPr>
            </w:pPr>
          </w:p>
        </w:tc>
      </w:tr>
      <w:tr w14:paraId="78C24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240" w:type="dxa"/>
            <w:gridSpan w:val="2"/>
          </w:tcPr>
          <w:p w14:paraId="61663A52">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r>
      <w:tr w14:paraId="70DDD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70" w:type="dxa"/>
          </w:tcPr>
          <w:p w14:paraId="090341D1">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1EE5DBD">
            <w:pPr>
              <w:rPr>
                <w:rFonts w:ascii="宋体" w:hAnsi="宋体" w:cs="宋体"/>
                <w:color w:val="000000" w:themeColor="text1"/>
                <w:highlight w:val="none"/>
                <w14:textFill>
                  <w14:solidFill>
                    <w14:schemeClr w14:val="tx1"/>
                  </w14:solidFill>
                </w14:textFill>
              </w:rPr>
            </w:pPr>
          </w:p>
        </w:tc>
      </w:tr>
      <w:tr w14:paraId="6CAC1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5670" w:type="dxa"/>
          </w:tcPr>
          <w:p w14:paraId="15586D2E">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31352705">
            <w:pPr>
              <w:rPr>
                <w:rFonts w:ascii="宋体" w:hAnsi="宋体" w:cs="宋体"/>
                <w:color w:val="000000" w:themeColor="text1"/>
                <w:highlight w:val="none"/>
                <w14:textFill>
                  <w14:solidFill>
                    <w14:schemeClr w14:val="tx1"/>
                  </w14:solidFill>
                </w14:textFill>
              </w:rPr>
            </w:pPr>
          </w:p>
        </w:tc>
      </w:tr>
      <w:tr w14:paraId="45B12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670" w:type="dxa"/>
          </w:tcPr>
          <w:p w14:paraId="19C826BD">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47827EE8">
            <w:pPr>
              <w:rPr>
                <w:rFonts w:ascii="宋体" w:hAnsi="宋体" w:cs="宋体"/>
                <w:color w:val="000000" w:themeColor="text1"/>
                <w:highlight w:val="none"/>
                <w14:textFill>
                  <w14:solidFill>
                    <w14:schemeClr w14:val="tx1"/>
                  </w14:solidFill>
                </w14:textFill>
              </w:rPr>
            </w:pPr>
          </w:p>
        </w:tc>
      </w:tr>
      <w:tr w14:paraId="72FCC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670" w:type="dxa"/>
          </w:tcPr>
          <w:p w14:paraId="6D2FFC0E">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633F82C">
            <w:pPr>
              <w:rPr>
                <w:rFonts w:ascii="宋体" w:hAnsi="宋体" w:cs="宋体"/>
                <w:color w:val="000000" w:themeColor="text1"/>
                <w:highlight w:val="none"/>
                <w14:textFill>
                  <w14:solidFill>
                    <w14:schemeClr w14:val="tx1"/>
                  </w14:solidFill>
                </w14:textFill>
              </w:rPr>
            </w:pPr>
          </w:p>
        </w:tc>
      </w:tr>
      <w:tr w14:paraId="5015F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5670" w:type="dxa"/>
          </w:tcPr>
          <w:p w14:paraId="3332EFCE">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7A184012">
            <w:pPr>
              <w:rPr>
                <w:rFonts w:ascii="宋体" w:hAnsi="宋体" w:cs="宋体"/>
                <w:color w:val="000000" w:themeColor="text1"/>
                <w:highlight w:val="none"/>
                <w14:textFill>
                  <w14:solidFill>
                    <w14:schemeClr w14:val="tx1"/>
                  </w14:solidFill>
                </w14:textFill>
              </w:rPr>
            </w:pPr>
          </w:p>
        </w:tc>
      </w:tr>
      <w:tr w14:paraId="6873E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240" w:type="dxa"/>
            <w:gridSpan w:val="2"/>
          </w:tcPr>
          <w:p w14:paraId="37137BB2">
            <w:pPr>
              <w:pStyle w:val="42"/>
              <w:shd w:val="clear" w:color="auto" w:fill="FFFFFF"/>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r>
      <w:tr w14:paraId="37CB3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428FCAFB">
            <w:pPr>
              <w:pStyle w:val="42"/>
              <w:shd w:val="clear" w:color="auto" w:fill="FFFFFF"/>
              <w:spacing w:before="120" w:after="120" w:line="265" w:lineRule="atLeast"/>
              <w:ind w:left="1442" w:firstLine="422"/>
              <w:rPr>
                <w:rFonts w:ascii="宋体" w:hAnsi="宋体" w:cs="宋体"/>
                <w:b/>
                <w:bCs/>
                <w:color w:val="000000" w:themeColor="text1"/>
                <w:szCs w:val="22"/>
                <w:highlight w:val="none"/>
                <w14:textFill>
                  <w14:solidFill>
                    <w14:schemeClr w14:val="tx1"/>
                  </w14:solidFill>
                </w14:textFill>
              </w:rPr>
            </w:pPr>
          </w:p>
        </w:tc>
        <w:tc>
          <w:tcPr>
            <w:tcW w:w="3570" w:type="dxa"/>
          </w:tcPr>
          <w:p w14:paraId="55C96101">
            <w:pPr>
              <w:rPr>
                <w:rFonts w:ascii="宋体" w:hAnsi="宋体" w:cs="宋体"/>
                <w:color w:val="000000" w:themeColor="text1"/>
                <w:highlight w:val="none"/>
                <w14:textFill>
                  <w14:solidFill>
                    <w14:schemeClr w14:val="tx1"/>
                  </w14:solidFill>
                </w14:textFill>
              </w:rPr>
            </w:pPr>
          </w:p>
        </w:tc>
      </w:tr>
      <w:tr w14:paraId="36184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3E8190C8">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6D30E8AC">
            <w:pPr>
              <w:rPr>
                <w:rFonts w:ascii="宋体" w:hAnsi="宋体" w:cs="宋体"/>
                <w:color w:val="000000" w:themeColor="text1"/>
                <w:highlight w:val="none"/>
                <w14:textFill>
                  <w14:solidFill>
                    <w14:schemeClr w14:val="tx1"/>
                  </w14:solidFill>
                </w14:textFill>
              </w:rPr>
            </w:pPr>
          </w:p>
        </w:tc>
      </w:tr>
      <w:tr w14:paraId="2129A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2D7BAE2A">
            <w:pPr>
              <w:pStyle w:val="42"/>
              <w:shd w:val="clear" w:color="auto" w:fill="FFFFFF"/>
              <w:spacing w:before="120" w:after="120" w:line="265" w:lineRule="atLeast"/>
              <w:ind w:left="1442" w:firstLine="422"/>
              <w:rPr>
                <w:rFonts w:ascii="宋体" w:hAnsi="宋体" w:cs="宋体"/>
                <w:b/>
                <w:bCs/>
                <w:color w:val="000000" w:themeColor="text1"/>
                <w:szCs w:val="22"/>
                <w:highlight w:val="none"/>
                <w14:textFill>
                  <w14:solidFill>
                    <w14:schemeClr w14:val="tx1"/>
                  </w14:solidFill>
                </w14:textFill>
              </w:rPr>
            </w:pPr>
          </w:p>
        </w:tc>
        <w:tc>
          <w:tcPr>
            <w:tcW w:w="3570" w:type="dxa"/>
          </w:tcPr>
          <w:p w14:paraId="347CD60A">
            <w:pPr>
              <w:rPr>
                <w:rFonts w:ascii="宋体" w:hAnsi="宋体" w:cs="宋体"/>
                <w:color w:val="000000" w:themeColor="text1"/>
                <w:highlight w:val="none"/>
                <w14:textFill>
                  <w14:solidFill>
                    <w14:schemeClr w14:val="tx1"/>
                  </w14:solidFill>
                </w14:textFill>
              </w:rPr>
            </w:pPr>
          </w:p>
        </w:tc>
      </w:tr>
      <w:tr w14:paraId="1145E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240" w:type="dxa"/>
            <w:gridSpan w:val="2"/>
          </w:tcPr>
          <w:p w14:paraId="06334BDF">
            <w:pPr>
              <w:pStyle w:val="42"/>
              <w:shd w:val="clear" w:color="auto" w:fill="FFFFFF"/>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r>
      <w:tr w14:paraId="0CEFA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670" w:type="dxa"/>
          </w:tcPr>
          <w:p w14:paraId="0EA52BF2">
            <w:pPr>
              <w:pStyle w:val="42"/>
              <w:shd w:val="clear" w:color="auto" w:fill="FFFFFF"/>
              <w:spacing w:before="120" w:after="120" w:line="265" w:lineRule="atLeast"/>
              <w:ind w:left="1440"/>
              <w:rPr>
                <w:rFonts w:ascii="宋体" w:hAnsi="宋体" w:cs="宋体"/>
                <w:color w:val="000000" w:themeColor="text1"/>
                <w:szCs w:val="21"/>
                <w:highlight w:val="none"/>
                <w14:textFill>
                  <w14:solidFill>
                    <w14:schemeClr w14:val="tx1"/>
                  </w14:solidFill>
                </w14:textFill>
              </w:rPr>
            </w:pPr>
          </w:p>
        </w:tc>
        <w:tc>
          <w:tcPr>
            <w:tcW w:w="3570" w:type="dxa"/>
          </w:tcPr>
          <w:p w14:paraId="0C697781">
            <w:pPr>
              <w:rPr>
                <w:rFonts w:ascii="宋体" w:hAnsi="宋体" w:cs="宋体"/>
                <w:color w:val="000000" w:themeColor="text1"/>
                <w:highlight w:val="none"/>
                <w14:textFill>
                  <w14:solidFill>
                    <w14:schemeClr w14:val="tx1"/>
                  </w14:solidFill>
                </w14:textFill>
              </w:rPr>
            </w:pPr>
          </w:p>
        </w:tc>
      </w:tr>
      <w:tr w14:paraId="3236C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670" w:type="dxa"/>
          </w:tcPr>
          <w:p w14:paraId="4FE6274C">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7E1CF493">
            <w:pPr>
              <w:rPr>
                <w:rFonts w:ascii="宋体" w:hAnsi="宋体" w:cs="宋体"/>
                <w:color w:val="000000" w:themeColor="text1"/>
                <w:highlight w:val="none"/>
                <w14:textFill>
                  <w14:solidFill>
                    <w14:schemeClr w14:val="tx1"/>
                  </w14:solidFill>
                </w14:textFill>
              </w:rPr>
            </w:pPr>
          </w:p>
        </w:tc>
      </w:tr>
    </w:tbl>
    <w:p w14:paraId="7D846209">
      <w:pPr>
        <w:autoSpaceDE w:val="0"/>
        <w:autoSpaceDN w:val="0"/>
        <w:adjustRightInd w:val="0"/>
        <w:spacing w:line="240" w:lineRule="atLeast"/>
        <w:outlineLvl w:val="9"/>
        <w:rPr>
          <w:rFonts w:ascii="宋体" w:hAnsi="宋体" w:cs="宋体"/>
          <w:b/>
          <w:bCs/>
          <w:color w:val="000000" w:themeColor="text1"/>
          <w:sz w:val="36"/>
          <w:szCs w:val="36"/>
          <w:highlight w:val="none"/>
          <w14:textFill>
            <w14:solidFill>
              <w14:schemeClr w14:val="tx1"/>
            </w14:solidFill>
          </w14:textFill>
        </w:rPr>
      </w:pPr>
    </w:p>
    <w:p w14:paraId="6B059830">
      <w:pPr>
        <w:jc w:val="center"/>
        <w:outlineLvl w:val="9"/>
        <w:rPr>
          <w:rFonts w:ascii="宋体" w:hAnsi="宋体" w:cs="宋体"/>
          <w:b/>
          <w:bCs/>
          <w:color w:val="000000" w:themeColor="text1"/>
          <w:sz w:val="32"/>
          <w:szCs w:val="32"/>
          <w:highlight w:val="none"/>
          <w14:textFill>
            <w14:solidFill>
              <w14:schemeClr w14:val="tx1"/>
            </w14:solidFill>
          </w14:textFill>
        </w:rPr>
        <w:sectPr>
          <w:endnotePr>
            <w:numFmt w:val="decimal"/>
          </w:endnotePr>
          <w:pgSz w:w="11906" w:h="16838"/>
          <w:pgMar w:top="850" w:right="850" w:bottom="850" w:left="1417" w:header="170" w:footer="720" w:gutter="0"/>
          <w:cols w:space="0" w:num="1"/>
        </w:sectPr>
      </w:pPr>
      <w:bookmarkStart w:id="206" w:name="_Toc489655320"/>
    </w:p>
    <w:bookmarkEnd w:id="206"/>
    <w:p w14:paraId="68D71E70">
      <w:pPr>
        <w:jc w:val="center"/>
        <w:outlineLvl w:val="9"/>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磋商文件主要目录及相关证明材料格式、附件</w:t>
      </w:r>
    </w:p>
    <w:p w14:paraId="0F96239C">
      <w:pPr>
        <w:jc w:val="center"/>
        <w:outlineLvl w:val="9"/>
        <w:rPr>
          <w:rFonts w:ascii="宋体" w:hAnsi="宋体" w:cs="宋体"/>
          <w:b/>
          <w:bCs/>
          <w:color w:val="000000" w:themeColor="text1"/>
          <w:sz w:val="32"/>
          <w:szCs w:val="32"/>
          <w:highlight w:val="none"/>
          <w14:textFill>
            <w14:solidFill>
              <w14:schemeClr w14:val="tx1"/>
            </w14:solidFill>
          </w14:textFill>
        </w:rPr>
      </w:pPr>
    </w:p>
    <w:p w14:paraId="7D509CAA">
      <w:pPr>
        <w:jc w:val="center"/>
        <w:outlineLvl w:val="9"/>
        <w:rPr>
          <w:rFonts w:ascii="宋体" w:hAnsi="宋体" w:cs="宋体"/>
          <w:b/>
          <w:bCs/>
          <w:color w:val="000000" w:themeColor="text1"/>
          <w:sz w:val="32"/>
          <w:szCs w:val="32"/>
          <w:highlight w:val="none"/>
          <w14:textFill>
            <w14:solidFill>
              <w14:schemeClr w14:val="tx1"/>
            </w14:solidFill>
          </w14:textFill>
        </w:rPr>
      </w:pPr>
    </w:p>
    <w:p w14:paraId="2AFE25F8">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磋商申请及声明</w:t>
      </w:r>
    </w:p>
    <w:p w14:paraId="7D7136D1">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法定代表人授权书</w:t>
      </w:r>
    </w:p>
    <w:p w14:paraId="44F55A9C">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竞争性磋商报价表</w:t>
      </w:r>
    </w:p>
    <w:p w14:paraId="25DEF50F">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资格证明文件</w:t>
      </w:r>
    </w:p>
    <w:p w14:paraId="756B9B53">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分项报价表</w:t>
      </w:r>
    </w:p>
    <w:p w14:paraId="52D409DD">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技术条款偏离表</w:t>
      </w:r>
    </w:p>
    <w:p w14:paraId="1C9017EB">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商务条款偏离表</w:t>
      </w:r>
    </w:p>
    <w:p w14:paraId="23D8CB5C">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项目实施、集成、实施方案（若有）</w:t>
      </w:r>
    </w:p>
    <w:p w14:paraId="04174C9B">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服务与承诺</w:t>
      </w:r>
    </w:p>
    <w:p w14:paraId="342F727B">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竞争性磋商需要的其他证明文件及材料（若有）</w:t>
      </w:r>
    </w:p>
    <w:p w14:paraId="006248CF">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资格性审查响应对照表</w:t>
      </w:r>
    </w:p>
    <w:p w14:paraId="2787E6E9">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p>
    <w:p w14:paraId="0652B742">
      <w:pPr>
        <w:tabs>
          <w:tab w:val="left" w:pos="2280"/>
        </w:tabs>
        <w:spacing w:line="360" w:lineRule="auto"/>
        <w:rPr>
          <w:rFonts w:ascii="宋体" w:hAnsi="宋体" w:cs="宋体"/>
          <w:color w:val="000000" w:themeColor="text1"/>
          <w:sz w:val="28"/>
          <w:szCs w:val="28"/>
          <w:highlight w:val="none"/>
          <w14:textFill>
            <w14:solidFill>
              <w14:schemeClr w14:val="tx1"/>
            </w14:solidFill>
          </w14:textFill>
        </w:rPr>
      </w:pPr>
    </w:p>
    <w:p w14:paraId="3F8F4D83">
      <w:pPr>
        <w:keepNext/>
        <w:keepLines/>
        <w:widowControl w:val="0"/>
        <w:spacing w:before="120" w:after="120"/>
        <w:jc w:val="both"/>
        <w:outlineLvl w:val="9"/>
        <w:rPr>
          <w:rFonts w:ascii="宋体" w:hAnsi="宋体" w:eastAsia="宋体" w:cs="宋体"/>
          <w:b/>
          <w:color w:val="000000" w:themeColor="text1"/>
          <w:kern w:val="2"/>
          <w:sz w:val="28"/>
          <w:highlight w:val="none"/>
          <w:lang w:val="en-US" w:eastAsia="zh-CN" w:bidi="ar-SA"/>
          <w14:textFill>
            <w14:solidFill>
              <w14:schemeClr w14:val="tx1"/>
            </w14:solidFill>
          </w14:textFill>
        </w:rPr>
      </w:pPr>
    </w:p>
    <w:p w14:paraId="6DB3C6CD">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附件一、中小企业声明函格式</w:t>
      </w:r>
    </w:p>
    <w:p w14:paraId="6BFB0EFB">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附件二、无重大违法记录声明格式</w:t>
      </w:r>
    </w:p>
    <w:p w14:paraId="419301BF">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附件三、具备履行合同所必需的设备和专业技术能力的声明格式及证明材料</w:t>
      </w:r>
    </w:p>
    <w:p w14:paraId="2DD36073">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附件四、残疾人福利性单位声明函格式</w:t>
      </w:r>
    </w:p>
    <w:p w14:paraId="70333534">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附件五、属于监狱企业的证明文件</w:t>
      </w:r>
    </w:p>
    <w:p w14:paraId="1DD5DD18">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附件六、投标单位廉政承诺书</w:t>
      </w:r>
    </w:p>
    <w:p w14:paraId="33F787BF">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附件七、承诺书</w:t>
      </w:r>
    </w:p>
    <w:p w14:paraId="5AB9C4E6">
      <w:pPr>
        <w:tabs>
          <w:tab w:val="left" w:pos="2280"/>
        </w:tabs>
        <w:spacing w:line="360" w:lineRule="auto"/>
        <w:ind w:left="1560"/>
        <w:rPr>
          <w:rFonts w:ascii="宋体" w:hAnsi="宋体" w:cs="宋体"/>
          <w:color w:val="000000" w:themeColor="text1"/>
          <w:sz w:val="28"/>
          <w:szCs w:val="28"/>
          <w:highlight w:val="none"/>
          <w:lang w:val="zh-CN"/>
          <w14:textFill>
            <w14:solidFill>
              <w14:schemeClr w14:val="tx1"/>
            </w14:solidFill>
          </w14:textFill>
        </w:rPr>
        <w:sectPr>
          <w:pgSz w:w="11906" w:h="16838"/>
          <w:pgMar w:top="850" w:right="850" w:bottom="850" w:left="1417" w:header="170" w:footer="680" w:gutter="0"/>
          <w:cols w:space="0" w:num="1"/>
          <w:docGrid w:linePitch="290" w:charSpace="0"/>
        </w:sectPr>
      </w:pPr>
      <w:r>
        <w:rPr>
          <w:rFonts w:hint="eastAsia" w:ascii="宋体" w:hAnsi="宋体" w:cs="宋体"/>
          <w:color w:val="000000" w:themeColor="text1"/>
          <w:sz w:val="28"/>
          <w:szCs w:val="28"/>
          <w:highlight w:val="none"/>
          <w:lang w:val="zh-CN"/>
          <w14:textFill>
            <w14:solidFill>
              <w14:schemeClr w14:val="tx1"/>
            </w14:solidFill>
          </w14:textFill>
        </w:rPr>
        <w:t>附件八、符合法律、行政法规规定的其他条件承诺书格式</w:t>
      </w:r>
    </w:p>
    <w:p w14:paraId="5364387B">
      <w:pPr>
        <w:autoSpaceDE w:val="0"/>
        <w:autoSpaceDN w:val="0"/>
        <w:adjustRightInd w:val="0"/>
        <w:ind w:firstLine="560"/>
        <w:jc w:val="center"/>
        <w:rPr>
          <w:rFonts w:ascii="宋体" w:hAnsi="宋体" w:cs="宋体"/>
          <w:b/>
          <w:bCs/>
          <w:color w:val="000000" w:themeColor="text1"/>
          <w:sz w:val="32"/>
          <w:szCs w:val="32"/>
          <w:highlight w:val="none"/>
          <w14:textFill>
            <w14:solidFill>
              <w14:schemeClr w14:val="tx1"/>
            </w14:solidFill>
          </w14:textFill>
        </w:rPr>
      </w:pPr>
    </w:p>
    <w:p w14:paraId="173EF6BA">
      <w:pPr>
        <w:autoSpaceDE w:val="0"/>
        <w:autoSpaceDN w:val="0"/>
        <w:adjustRightInd w:val="0"/>
        <w:outlineLvl w:val="0"/>
        <w:rPr>
          <w:rFonts w:ascii="宋体" w:hAnsi="宋体" w:cs="宋体"/>
          <w:b/>
          <w:bCs/>
          <w:color w:val="000000" w:themeColor="text1"/>
          <w:szCs w:val="21"/>
          <w:highlight w:val="none"/>
          <w:lang w:val="zh-CN"/>
          <w14:textFill>
            <w14:solidFill>
              <w14:schemeClr w14:val="tx1"/>
            </w14:solidFill>
          </w14:textFill>
        </w:rPr>
      </w:pPr>
      <w:bookmarkStart w:id="207" w:name="_Toc16692"/>
      <w:r>
        <w:rPr>
          <w:rFonts w:hint="eastAsia" w:ascii="宋体" w:hAnsi="宋体" w:cs="宋体"/>
          <w:b/>
          <w:bCs/>
          <w:color w:val="000000" w:themeColor="text1"/>
          <w:szCs w:val="21"/>
          <w:highlight w:val="none"/>
          <w:lang w:val="zh-CN"/>
          <w14:textFill>
            <w14:solidFill>
              <w14:schemeClr w14:val="tx1"/>
            </w14:solidFill>
          </w14:textFill>
        </w:rPr>
        <w:t>一、磋商申请及声明</w:t>
      </w:r>
      <w:bookmarkEnd w:id="207"/>
    </w:p>
    <w:p w14:paraId="644114C4">
      <w:pPr>
        <w:autoSpaceDE w:val="0"/>
        <w:autoSpaceDN w:val="0"/>
        <w:adjustRightInd w:val="0"/>
        <w:rPr>
          <w:rFonts w:ascii="宋体" w:hAnsi="宋体" w:cs="宋体"/>
          <w:color w:val="000000" w:themeColor="text1"/>
          <w:szCs w:val="21"/>
          <w:highlight w:val="none"/>
          <w:lang w:val="zh-CN"/>
          <w14:textFill>
            <w14:solidFill>
              <w14:schemeClr w14:val="tx1"/>
            </w14:solidFill>
          </w14:textFill>
        </w:rPr>
      </w:pPr>
    </w:p>
    <w:p w14:paraId="6ECA217E">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磋商申请及声明</w:t>
      </w:r>
    </w:p>
    <w:p w14:paraId="0FFA17A4">
      <w:pPr>
        <w:autoSpaceDE w:val="0"/>
        <w:autoSpaceDN w:val="0"/>
        <w:adjustRightInd w:val="0"/>
        <w:rPr>
          <w:rFonts w:ascii="宋体" w:hAnsi="宋体" w:cs="宋体"/>
          <w:color w:val="000000" w:themeColor="text1"/>
          <w:szCs w:val="21"/>
          <w:highlight w:val="none"/>
          <w:lang w:val="zh-CN"/>
          <w14:textFill>
            <w14:solidFill>
              <w14:schemeClr w14:val="tx1"/>
            </w14:solidFill>
          </w14:textFill>
        </w:rPr>
      </w:pPr>
    </w:p>
    <w:p w14:paraId="51C59807">
      <w:pPr>
        <w:autoSpaceDE w:val="0"/>
        <w:autoSpaceDN w:val="0"/>
        <w:adjustRightInd w:val="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致：中国药科大学：</w:t>
      </w:r>
    </w:p>
    <w:p w14:paraId="1B7F4319">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根据贵方</w:t>
      </w:r>
      <w:r>
        <w:rPr>
          <w:rFonts w:hint="eastAsia" w:ascii="宋体" w:hAnsi="宋体" w:cs="宋体"/>
          <w:color w:val="000000" w:themeColor="text1"/>
          <w:szCs w:val="21"/>
          <w:highlight w:val="none"/>
          <w:u w:val="none"/>
          <w:lang w:val="zh-CN"/>
          <w14:textFill>
            <w14:solidFill>
              <w14:schemeClr w14:val="tx1"/>
            </w14:solidFill>
          </w14:textFill>
        </w:rPr>
        <w:t>（项目名称）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（项目编号）</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磋商邀请，正式授权下述签字人（姓名和职务）</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代表（供应商名称）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，提交响应文件并参加磋商。</w:t>
      </w:r>
    </w:p>
    <w:p w14:paraId="492F6E64">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据此函，签字人兹宣布同意如下：</w:t>
      </w:r>
    </w:p>
    <w:p w14:paraId="69246F48">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r>
        <w:rPr>
          <w:rFonts w:hint="eastAsia" w:ascii="宋体" w:hAnsi="宋体" w:cs="宋体"/>
          <w:b/>
          <w:color w:val="000000" w:themeColor="text1"/>
          <w:szCs w:val="21"/>
          <w:highlight w:val="none"/>
          <w:lang w:val="zh-CN"/>
          <w14:textFill>
            <w14:solidFill>
              <w14:schemeClr w14:val="tx1"/>
            </w14:solidFill>
          </w14:textFill>
        </w:rPr>
        <w:t>我们的资格条件完全符合政府采购法和本次采购要求</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我们</w:t>
      </w:r>
      <w:r>
        <w:rPr>
          <w:rFonts w:hint="eastAsia" w:ascii="宋体" w:hAnsi="宋体" w:cs="宋体"/>
          <w:color w:val="000000" w:themeColor="text1"/>
          <w:szCs w:val="21"/>
          <w:highlight w:val="none"/>
          <w:lang w:val="zh-CN"/>
          <w14:textFill>
            <w14:solidFill>
              <w14:schemeClr w14:val="tx1"/>
            </w14:solidFill>
          </w14:textFill>
        </w:rPr>
        <w:t>同意并向贵方提供了与本次采购活动有关的所有证据和资料</w:t>
      </w:r>
      <w:r>
        <w:rPr>
          <w:rFonts w:hint="eastAsia" w:ascii="宋体" w:hAnsi="宋体" w:cs="宋体"/>
          <w:color w:val="000000" w:themeColor="text1"/>
          <w:highlight w:val="none"/>
          <w14:textFill>
            <w14:solidFill>
              <w14:schemeClr w14:val="tx1"/>
            </w14:solidFill>
          </w14:textFill>
        </w:rPr>
        <w:t>。</w:t>
      </w:r>
    </w:p>
    <w:p w14:paraId="126178CA">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2、项目名称：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65F355CC">
      <w:pPr>
        <w:spacing w:line="360" w:lineRule="auto"/>
        <w:ind w:firstLine="420" w:firstLineChars="200"/>
        <w:rPr>
          <w:rFonts w:ascii="宋体" w:hAnsi="宋体"/>
          <w:color w:val="000000" w:themeColor="text1"/>
          <w:sz w:val="24"/>
          <w:szCs w:val="24"/>
          <w:highlight w:val="none"/>
          <w:u w:val="singl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3、根据已收到的本项目磋商文件，遵照规定，我单位经现场考察和认真研究上述磋商文件后，愿以以下作为磋商报价：</w:t>
      </w:r>
      <w:r>
        <w:rPr>
          <w:rFonts w:hint="eastAsia" w:ascii="宋体" w:hAnsi="宋体" w:cs="宋体"/>
          <w:color w:val="000000" w:themeColor="text1"/>
          <w:highlight w:val="none"/>
          <w:lang w:val="zh-CN"/>
          <w14:textFill>
            <w14:solidFill>
              <w14:schemeClr w14:val="tx1"/>
            </w14:solidFill>
          </w14:textFill>
        </w:rPr>
        <w:t>（大写）</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，（小写）</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项目负责人姓名：</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工期：</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w:t>
      </w:r>
    </w:p>
    <w:p w14:paraId="48583ADE">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r>
        <w:rPr>
          <w:rFonts w:hint="eastAsia" w:ascii="宋体" w:hAnsi="宋体" w:cs="宋体"/>
          <w:color w:val="000000" w:themeColor="text1"/>
          <w:szCs w:val="21"/>
          <w:highlight w:val="none"/>
          <w:lang w:val="zh-CN"/>
          <w14:textFill>
            <w14:solidFill>
              <w14:schemeClr w14:val="tx1"/>
            </w14:solidFill>
          </w14:textFill>
        </w:rPr>
        <w:t>我们已详细审核全部磋商文件及其有效补充文件，我们放弃对磋商文件任何误解的权利，提交响应文件后，</w:t>
      </w:r>
      <w:r>
        <w:rPr>
          <w:rFonts w:hint="eastAsia" w:ascii="宋体" w:hAnsi="宋体" w:cs="宋体"/>
          <w:b/>
          <w:color w:val="000000" w:themeColor="text1"/>
          <w:szCs w:val="21"/>
          <w:highlight w:val="none"/>
          <w:lang w:val="zh-CN"/>
          <w14:textFill>
            <w14:solidFill>
              <w14:schemeClr w14:val="tx1"/>
            </w14:solidFill>
          </w14:textFill>
        </w:rPr>
        <w:t>不对磋商文件本身提出质疑</w:t>
      </w:r>
      <w:r>
        <w:rPr>
          <w:rFonts w:hint="eastAsia" w:ascii="宋体" w:hAnsi="宋体" w:cs="宋体"/>
          <w:color w:val="000000" w:themeColor="text1"/>
          <w:szCs w:val="21"/>
          <w:highlight w:val="none"/>
          <w:lang w:val="zh-CN"/>
          <w14:textFill>
            <w14:solidFill>
              <w14:schemeClr w14:val="tx1"/>
            </w14:solidFill>
          </w14:textFill>
        </w:rPr>
        <w:t>。否则，属于不诚信和故意扰乱政府采购活动行为，我们将无条件接受处罚。</w:t>
      </w:r>
    </w:p>
    <w:p w14:paraId="1CB3A7E1">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5、一旦我方成交，我方将根据磋商文件的规定，严格履行合同，保证于承诺的时间内完成本项目规定的服务内容。</w:t>
      </w:r>
    </w:p>
    <w:p w14:paraId="6FE7289C">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6、我方决不</w:t>
      </w:r>
      <w:r>
        <w:rPr>
          <w:rFonts w:hint="eastAsia" w:ascii="宋体" w:hAnsi="宋体" w:cs="宋体"/>
          <w:color w:val="000000" w:themeColor="text1"/>
          <w:szCs w:val="21"/>
          <w:highlight w:val="none"/>
          <w14:textFill>
            <w14:solidFill>
              <w14:schemeClr w14:val="tx1"/>
            </w14:solidFill>
          </w14:textFill>
        </w:rPr>
        <w:t>提供虚假材料谋取成交、</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采取不正当手段诋毁、排挤其他供应商、</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与采购人、其它供应商或者代理机构恶意串通、</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向</w:t>
      </w:r>
      <w:r>
        <w:rPr>
          <w:rFonts w:hint="eastAsia" w:ascii="宋体" w:hAnsi="宋体" w:cs="宋体"/>
          <w:color w:val="000000" w:themeColor="text1"/>
          <w:highlight w:val="none"/>
          <w14:textFill>
            <w14:solidFill>
              <w14:schemeClr w14:val="tx1"/>
            </w14:solidFill>
          </w14:textFill>
        </w:rPr>
        <w:t>采购人、代理机构工作人员和磋商小组进行商业贿赂</w:t>
      </w:r>
      <w:r>
        <w:rPr>
          <w:rFonts w:hint="eastAsia" w:ascii="宋体" w:hAnsi="宋体" w:cs="宋体"/>
          <w:color w:val="000000" w:themeColor="text1"/>
          <w:szCs w:val="21"/>
          <w:highlight w:val="none"/>
          <w14:textFill>
            <w14:solidFill>
              <w14:schemeClr w14:val="tx1"/>
            </w14:solidFill>
          </w14:textFill>
        </w:rPr>
        <w:t>、决不拒绝有关部门监督检查或提供虚假情况，如有违反，</w:t>
      </w:r>
      <w:r>
        <w:rPr>
          <w:rFonts w:hint="eastAsia" w:ascii="宋体" w:hAnsi="宋体" w:cs="宋体"/>
          <w:color w:val="000000" w:themeColor="text1"/>
          <w:highlight w:val="none"/>
          <w14:textFill>
            <w14:solidFill>
              <w14:schemeClr w14:val="tx1"/>
            </w14:solidFill>
          </w14:textFill>
        </w:rPr>
        <w:t>无条件接受贵方及相关管理部门的处罚。</w:t>
      </w:r>
    </w:p>
    <w:p w14:paraId="264A9A4E">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7、我方正式通讯方式为：</w:t>
      </w:r>
    </w:p>
    <w:p w14:paraId="69FE5BC7">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地   址：</w:t>
      </w:r>
    </w:p>
    <w:p w14:paraId="2AAA89BB">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   话：</w:t>
      </w:r>
    </w:p>
    <w:p w14:paraId="51D3F33B">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传   真：</w:t>
      </w:r>
    </w:p>
    <w:p w14:paraId="22D0B700">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8、我方正式开户银行和帐号为：</w:t>
      </w:r>
    </w:p>
    <w:p w14:paraId="40EDBC2B">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开户银行：</w:t>
      </w:r>
    </w:p>
    <w:p w14:paraId="2ECD7ACE">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帐    号：</w:t>
      </w:r>
    </w:p>
    <w:p w14:paraId="6B8AA5A3">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供应商授权代表姓名（</w:t>
      </w:r>
      <w:r>
        <w:rPr>
          <w:rFonts w:hint="eastAsia" w:ascii="宋体" w:hAnsi="宋体" w:cs="宋体"/>
          <w:b/>
          <w:bCs/>
          <w:color w:val="000000" w:themeColor="text1"/>
          <w:highlight w:val="none"/>
          <w14:textFill>
            <w14:solidFill>
              <w14:schemeClr w14:val="tx1"/>
            </w14:solidFill>
          </w14:textFill>
        </w:rPr>
        <w:t>签字</w:t>
      </w:r>
      <w:r>
        <w:rPr>
          <w:rFonts w:hint="eastAsia" w:ascii="宋体" w:hAnsi="宋体" w:cs="宋体"/>
          <w:color w:val="000000" w:themeColor="text1"/>
          <w:highlight w:val="none"/>
          <w14:textFill>
            <w14:solidFill>
              <w14:schemeClr w14:val="tx1"/>
            </w14:solidFill>
          </w14:textFill>
        </w:rPr>
        <w:t>）：</w:t>
      </w:r>
    </w:p>
    <w:p w14:paraId="63042ED0">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供应商名称（公章）：</w:t>
      </w:r>
    </w:p>
    <w:p w14:paraId="48938BE2">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    期：年月日</w:t>
      </w:r>
    </w:p>
    <w:p w14:paraId="6D501DC3">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r>
    </w:p>
    <w:p w14:paraId="3E2FB51C">
      <w:pPr>
        <w:autoSpaceDE w:val="0"/>
        <w:autoSpaceDN w:val="0"/>
        <w:adjustRightInd w:val="0"/>
        <w:spacing w:line="360" w:lineRule="auto"/>
        <w:outlineLvl w:val="0"/>
        <w:rPr>
          <w:rFonts w:ascii="宋体" w:hAnsi="宋体" w:cs="宋体"/>
          <w:b/>
          <w:bCs/>
          <w:color w:val="000000" w:themeColor="text1"/>
          <w:szCs w:val="21"/>
          <w:highlight w:val="none"/>
          <w:lang w:val="zh-CN"/>
          <w14:textFill>
            <w14:solidFill>
              <w14:schemeClr w14:val="tx1"/>
            </w14:solidFill>
          </w14:textFill>
        </w:rPr>
      </w:pPr>
      <w:bookmarkStart w:id="208" w:name="_Toc1550"/>
      <w:r>
        <w:rPr>
          <w:rFonts w:hint="eastAsia" w:ascii="宋体" w:hAnsi="宋体" w:cs="宋体"/>
          <w:b/>
          <w:bCs/>
          <w:color w:val="000000" w:themeColor="text1"/>
          <w:szCs w:val="21"/>
          <w:highlight w:val="none"/>
          <w:lang w:val="zh-CN"/>
          <w14:textFill>
            <w14:solidFill>
              <w14:schemeClr w14:val="tx1"/>
            </w14:solidFill>
          </w14:textFill>
        </w:rPr>
        <w:t>二、法定代表人授权书格式</w:t>
      </w:r>
      <w:bookmarkEnd w:id="208"/>
    </w:p>
    <w:p w14:paraId="1552CF36">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法定代表人授权书</w:t>
      </w:r>
    </w:p>
    <w:p w14:paraId="2DA34493">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中国药科大学：</w:t>
      </w:r>
    </w:p>
    <w:p w14:paraId="1BDCA6A3">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本授权书声明：注册于（供应商住址）</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的（供应商名称）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法定代表人（法定代表人姓名）</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代表本公司授权在下面签字的（供应商代表姓名、职务）</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为本公司的合法代理人，就贵方组织的（项目名称）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（项目编号）</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竞争性磋商，以本公司名义处理一切与之有关的事务。</w:t>
      </w:r>
    </w:p>
    <w:p w14:paraId="1501E7D4">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本授权书于年月 日签字生效，特此声明。</w:t>
      </w:r>
    </w:p>
    <w:p w14:paraId="4CB9258C">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供应商名称（盖章）：</w:t>
      </w:r>
    </w:p>
    <w:p w14:paraId="756DACD4">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法定代表人（签字或盖章）：</w:t>
      </w:r>
    </w:p>
    <w:p w14:paraId="7EA6A8CC">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被授权人签字：</w:t>
      </w:r>
    </w:p>
    <w:p w14:paraId="2C3983F0">
      <w:pPr>
        <w:tabs>
          <w:tab w:val="left" w:pos="1440"/>
        </w:tabs>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日期：年月日</w:t>
      </w:r>
    </w:p>
    <w:p w14:paraId="402024A5">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法定代表人身份证：</w:t>
      </w:r>
    </w:p>
    <w:p w14:paraId="483BB12D">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被授权人身份证：</w:t>
      </w:r>
    </w:p>
    <w:p w14:paraId="380E8A6D">
      <w:pPr>
        <w:tabs>
          <w:tab w:val="left" w:pos="1440"/>
        </w:tabs>
        <w:autoSpaceDE w:val="0"/>
        <w:autoSpaceDN w:val="0"/>
        <w:adjustRightInd w:val="0"/>
        <w:spacing w:line="360" w:lineRule="auto"/>
        <w:ind w:firstLine="420"/>
        <w:rPr>
          <w:rFonts w:ascii="宋体" w:hAnsi="宋体" w:cs="宋体"/>
          <w:color w:val="000000" w:themeColor="text1"/>
          <w:szCs w:val="21"/>
          <w:highlight w:val="none"/>
          <w:lang w:val="zh-CN"/>
          <w14:textFill>
            <w14:solidFill>
              <w14:schemeClr w14:val="tx1"/>
            </w14:solidFill>
          </w14:textFill>
        </w:rPr>
      </w:pPr>
    </w:p>
    <w:p w14:paraId="1D4A28BF">
      <w:pPr>
        <w:autoSpaceDE w:val="0"/>
        <w:autoSpaceDN w:val="0"/>
        <w:adjustRightInd w:val="0"/>
        <w:spacing w:line="360" w:lineRule="auto"/>
        <w:rPr>
          <w:rFonts w:ascii="宋体" w:hAnsi="宋体" w:cs="宋体"/>
          <w:b/>
          <w:bCs/>
          <w:color w:val="000000" w:themeColor="text1"/>
          <w:szCs w:val="21"/>
          <w:highlight w:val="none"/>
          <w:lang w:val="zh-CN"/>
          <w14:textFill>
            <w14:solidFill>
              <w14:schemeClr w14:val="tx1"/>
            </w14:solidFill>
          </w14:textFill>
        </w:rPr>
        <w:sectPr>
          <w:pgSz w:w="11906" w:h="16838"/>
          <w:pgMar w:top="850" w:right="850" w:bottom="850" w:left="1417" w:header="170" w:footer="680" w:gutter="0"/>
          <w:cols w:space="0" w:num="1"/>
          <w:docGrid w:linePitch="290" w:charSpace="0"/>
        </w:sectPr>
      </w:pPr>
    </w:p>
    <w:p w14:paraId="6462E415">
      <w:pPr>
        <w:autoSpaceDE w:val="0"/>
        <w:autoSpaceDN w:val="0"/>
        <w:adjustRightInd w:val="0"/>
        <w:spacing w:line="360" w:lineRule="auto"/>
        <w:outlineLvl w:val="0"/>
        <w:rPr>
          <w:rFonts w:ascii="宋体" w:hAnsi="宋体" w:cs="宋体"/>
          <w:b/>
          <w:bCs/>
          <w:color w:val="000000" w:themeColor="text1"/>
          <w:szCs w:val="21"/>
          <w:highlight w:val="none"/>
          <w:lang w:val="zh-CN"/>
          <w14:textFill>
            <w14:solidFill>
              <w14:schemeClr w14:val="tx1"/>
            </w14:solidFill>
          </w14:textFill>
        </w:rPr>
      </w:pPr>
      <w:bookmarkStart w:id="209" w:name="_Toc32432"/>
      <w:r>
        <w:rPr>
          <w:rFonts w:hint="eastAsia" w:ascii="宋体" w:hAnsi="宋体" w:cs="宋体"/>
          <w:b/>
          <w:bCs/>
          <w:color w:val="000000" w:themeColor="text1"/>
          <w:szCs w:val="21"/>
          <w:highlight w:val="none"/>
          <w:lang w:val="zh-CN"/>
          <w14:textFill>
            <w14:solidFill>
              <w14:schemeClr w14:val="tx1"/>
            </w14:solidFill>
          </w14:textFill>
        </w:rPr>
        <w:t>三、竞争性磋商报价表</w:t>
      </w:r>
      <w:bookmarkEnd w:id="209"/>
    </w:p>
    <w:p w14:paraId="3C7562EA">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竞争性磋商报价表</w:t>
      </w:r>
    </w:p>
    <w:p w14:paraId="2B089928">
      <w:pPr>
        <w:jc w:val="center"/>
        <w:rPr>
          <w:rFonts w:ascii="宋体" w:hAnsi="宋体" w:cs="宋体"/>
          <w:color w:val="000000" w:themeColor="text1"/>
          <w:sz w:val="36"/>
          <w:szCs w:val="36"/>
          <w:highlight w:val="none"/>
          <w14:textFill>
            <w14:solidFill>
              <w14:schemeClr w14:val="tx1"/>
            </w14:solidFill>
          </w14:textFill>
        </w:rPr>
      </w:pPr>
    </w:p>
    <w:p w14:paraId="19B8CDCB">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r>
        <w:rPr>
          <w:rFonts w:hint="eastAsia" w:ascii="宋体" w:hAnsi="宋体" w:cs="宋体"/>
          <w:color w:val="000000" w:themeColor="text1"/>
          <w:szCs w:val="21"/>
          <w:highlight w:val="none"/>
          <w:lang w:val="zh-CN"/>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项目编号：</w:t>
      </w:r>
    </w:p>
    <w:tbl>
      <w:tblPr>
        <w:tblStyle w:val="28"/>
        <w:tblW w:w="0" w:type="auto"/>
        <w:jc w:val="center"/>
        <w:tblLayout w:type="fixed"/>
        <w:tblCellMar>
          <w:top w:w="0" w:type="dxa"/>
          <w:left w:w="108" w:type="dxa"/>
          <w:bottom w:w="0" w:type="dxa"/>
          <w:right w:w="108" w:type="dxa"/>
        </w:tblCellMar>
      </w:tblPr>
      <w:tblGrid>
        <w:gridCol w:w="2710"/>
        <w:gridCol w:w="6717"/>
      </w:tblGrid>
      <w:tr w14:paraId="5D02AD8D">
        <w:tblPrEx>
          <w:tblCellMar>
            <w:top w:w="0" w:type="dxa"/>
            <w:left w:w="108" w:type="dxa"/>
            <w:bottom w:w="0" w:type="dxa"/>
            <w:right w:w="108" w:type="dxa"/>
          </w:tblCellMar>
        </w:tblPrEx>
        <w:trPr>
          <w:trHeight w:val="1570" w:hRule="atLeast"/>
          <w:jc w:val="center"/>
        </w:trPr>
        <w:tc>
          <w:tcPr>
            <w:tcW w:w="2710" w:type="dxa"/>
            <w:tcBorders>
              <w:top w:val="single" w:color="000000" w:sz="4" w:space="0"/>
              <w:left w:val="single" w:color="auto" w:sz="4" w:space="0"/>
              <w:bottom w:val="single" w:color="auto" w:sz="4" w:space="0"/>
              <w:right w:val="single" w:color="auto" w:sz="4" w:space="0"/>
            </w:tcBorders>
            <w:vAlign w:val="center"/>
          </w:tcPr>
          <w:p w14:paraId="1403005D">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报价</w:t>
            </w:r>
          </w:p>
        </w:tc>
        <w:tc>
          <w:tcPr>
            <w:tcW w:w="6717" w:type="dxa"/>
            <w:tcBorders>
              <w:top w:val="single" w:color="auto" w:sz="4" w:space="0"/>
              <w:left w:val="nil"/>
              <w:bottom w:val="single" w:color="auto" w:sz="4" w:space="0"/>
              <w:right w:val="single" w:color="auto" w:sz="4" w:space="0"/>
            </w:tcBorders>
            <w:vAlign w:val="center"/>
          </w:tcPr>
          <w:p w14:paraId="4BFC59F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（大写）元人民币，小写：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元</w:t>
            </w:r>
          </w:p>
        </w:tc>
      </w:tr>
      <w:tr w14:paraId="35AE37D9">
        <w:tblPrEx>
          <w:tblCellMar>
            <w:top w:w="0" w:type="dxa"/>
            <w:left w:w="108" w:type="dxa"/>
            <w:bottom w:w="0" w:type="dxa"/>
            <w:right w:w="108" w:type="dxa"/>
          </w:tblCellMar>
        </w:tblPrEx>
        <w:trPr>
          <w:trHeight w:val="527" w:hRule="atLeast"/>
          <w:jc w:val="center"/>
        </w:trPr>
        <w:tc>
          <w:tcPr>
            <w:tcW w:w="2710" w:type="dxa"/>
            <w:tcBorders>
              <w:top w:val="single" w:color="auto" w:sz="4" w:space="0"/>
              <w:left w:val="single" w:color="auto" w:sz="4" w:space="0"/>
              <w:right w:val="single" w:color="auto" w:sz="4" w:space="0"/>
            </w:tcBorders>
            <w:vAlign w:val="center"/>
          </w:tcPr>
          <w:p w14:paraId="1EC3EADE">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项目负责人</w:t>
            </w:r>
          </w:p>
        </w:tc>
        <w:tc>
          <w:tcPr>
            <w:tcW w:w="6717" w:type="dxa"/>
            <w:tcBorders>
              <w:top w:val="single" w:color="auto" w:sz="4" w:space="0"/>
              <w:left w:val="nil"/>
              <w:bottom w:val="single" w:color="auto" w:sz="4" w:space="0"/>
              <w:right w:val="single" w:color="auto" w:sz="4" w:space="0"/>
            </w:tcBorders>
            <w:vAlign w:val="center"/>
          </w:tcPr>
          <w:p w14:paraId="31668475">
            <w:pPr>
              <w:spacing w:line="600" w:lineRule="auto"/>
              <w:rPr>
                <w:rFonts w:ascii="宋体" w:cs="宋体"/>
                <w:color w:val="000000" w:themeColor="text1"/>
                <w:sz w:val="24"/>
                <w:szCs w:val="24"/>
                <w:highlight w:val="none"/>
                <w14:textFill>
                  <w14:solidFill>
                    <w14:schemeClr w14:val="tx1"/>
                  </w14:solidFill>
                </w14:textFill>
              </w:rPr>
            </w:pPr>
          </w:p>
        </w:tc>
      </w:tr>
      <w:tr w14:paraId="27D7BDD4">
        <w:tblPrEx>
          <w:tblCellMar>
            <w:top w:w="0" w:type="dxa"/>
            <w:left w:w="108" w:type="dxa"/>
            <w:bottom w:w="0" w:type="dxa"/>
            <w:right w:w="108" w:type="dxa"/>
          </w:tblCellMar>
        </w:tblPrEx>
        <w:trPr>
          <w:trHeight w:val="1099"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4E49FDC6">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工期</w:t>
            </w:r>
          </w:p>
        </w:tc>
        <w:tc>
          <w:tcPr>
            <w:tcW w:w="6717" w:type="dxa"/>
            <w:tcBorders>
              <w:top w:val="single" w:color="auto" w:sz="4" w:space="0"/>
              <w:left w:val="nil"/>
              <w:bottom w:val="single" w:color="auto" w:sz="4" w:space="0"/>
              <w:right w:val="single" w:color="auto" w:sz="4" w:space="0"/>
            </w:tcBorders>
            <w:vAlign w:val="center"/>
          </w:tcPr>
          <w:p w14:paraId="0C22EE95">
            <w:pPr>
              <w:pStyle w:val="15"/>
              <w:spacing w:line="480" w:lineRule="auto"/>
              <w:rPr>
                <w:rFonts w:ascii="Arial" w:hAnsi="Arial"/>
                <w:color w:val="000000" w:themeColor="text1"/>
                <w:sz w:val="24"/>
                <w:szCs w:val="24"/>
                <w:highlight w:val="none"/>
                <w14:textFill>
                  <w14:solidFill>
                    <w14:schemeClr w14:val="tx1"/>
                  </w14:solidFill>
                </w14:textFill>
              </w:rPr>
            </w:pPr>
          </w:p>
        </w:tc>
      </w:tr>
      <w:tr w14:paraId="4321885F">
        <w:tblPrEx>
          <w:tblCellMar>
            <w:top w:w="0" w:type="dxa"/>
            <w:left w:w="108" w:type="dxa"/>
            <w:bottom w:w="0" w:type="dxa"/>
            <w:right w:w="108" w:type="dxa"/>
          </w:tblCellMar>
        </w:tblPrEx>
        <w:trPr>
          <w:trHeight w:val="117"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4590FC8E">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质量要求</w:t>
            </w:r>
          </w:p>
        </w:tc>
        <w:tc>
          <w:tcPr>
            <w:tcW w:w="6717" w:type="dxa"/>
            <w:tcBorders>
              <w:top w:val="single" w:color="auto" w:sz="4" w:space="0"/>
              <w:left w:val="nil"/>
              <w:bottom w:val="single" w:color="auto" w:sz="4" w:space="0"/>
              <w:right w:val="single" w:color="auto" w:sz="4" w:space="0"/>
            </w:tcBorders>
            <w:vAlign w:val="center"/>
          </w:tcPr>
          <w:p w14:paraId="75DBB36D">
            <w:pPr>
              <w:spacing w:line="360" w:lineRule="auto"/>
              <w:rPr>
                <w:rFonts w:ascii="Arial" w:hAnsi="Arial"/>
                <w:color w:val="000000" w:themeColor="text1"/>
                <w:sz w:val="24"/>
                <w:szCs w:val="24"/>
                <w:highlight w:val="none"/>
                <w14:textFill>
                  <w14:solidFill>
                    <w14:schemeClr w14:val="tx1"/>
                  </w14:solidFill>
                </w14:textFill>
              </w:rPr>
            </w:pPr>
          </w:p>
        </w:tc>
      </w:tr>
      <w:tr w14:paraId="6B676E0D">
        <w:tblPrEx>
          <w:tblCellMar>
            <w:top w:w="0" w:type="dxa"/>
            <w:left w:w="108" w:type="dxa"/>
            <w:bottom w:w="0" w:type="dxa"/>
            <w:right w:w="108" w:type="dxa"/>
          </w:tblCellMar>
        </w:tblPrEx>
        <w:trPr>
          <w:trHeight w:val="40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1B62F037">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供应商是否属于中小微型企业</w:t>
            </w:r>
          </w:p>
        </w:tc>
        <w:tc>
          <w:tcPr>
            <w:tcW w:w="6717" w:type="dxa"/>
            <w:tcBorders>
              <w:top w:val="single" w:color="auto" w:sz="4" w:space="0"/>
              <w:left w:val="nil"/>
              <w:bottom w:val="single" w:color="auto" w:sz="4" w:space="0"/>
              <w:right w:val="single" w:color="auto" w:sz="4" w:space="0"/>
            </w:tcBorders>
            <w:vAlign w:val="center"/>
          </w:tcPr>
          <w:p w14:paraId="40548C51">
            <w:pPr>
              <w:spacing w:line="36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填写“是”或“否”</w:t>
            </w:r>
            <w:r>
              <w:rPr>
                <w:rFonts w:hint="eastAsia" w:ascii="宋体" w:hAnsi="宋体"/>
                <w:color w:val="000000" w:themeColor="text1"/>
                <w:sz w:val="24"/>
                <w:szCs w:val="24"/>
                <w:highlight w:val="none"/>
                <w14:textFill>
                  <w14:solidFill>
                    <w14:schemeClr w14:val="tx1"/>
                  </w14:solidFill>
                </w14:textFill>
              </w:rPr>
              <w:t>）</w:t>
            </w:r>
          </w:p>
        </w:tc>
      </w:tr>
      <w:tr w14:paraId="2A1B7643">
        <w:tblPrEx>
          <w:tblCellMar>
            <w:top w:w="0" w:type="dxa"/>
            <w:left w:w="108" w:type="dxa"/>
            <w:bottom w:w="0" w:type="dxa"/>
            <w:right w:w="108" w:type="dxa"/>
          </w:tblCellMar>
        </w:tblPrEx>
        <w:trPr>
          <w:trHeight w:val="40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6B859B5C">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供应商是否残疾人福利性单位</w:t>
            </w:r>
          </w:p>
        </w:tc>
        <w:tc>
          <w:tcPr>
            <w:tcW w:w="6717" w:type="dxa"/>
            <w:tcBorders>
              <w:top w:val="single" w:color="auto" w:sz="4" w:space="0"/>
              <w:left w:val="nil"/>
              <w:bottom w:val="single" w:color="auto" w:sz="4" w:space="0"/>
              <w:right w:val="single" w:color="auto" w:sz="4" w:space="0"/>
            </w:tcBorders>
            <w:vAlign w:val="center"/>
          </w:tcPr>
          <w:p w14:paraId="7EB4F693">
            <w:pPr>
              <w:spacing w:line="36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填写“是”或“否”</w:t>
            </w:r>
            <w:r>
              <w:rPr>
                <w:rFonts w:hint="eastAsia" w:ascii="宋体" w:hAnsi="宋体"/>
                <w:color w:val="000000" w:themeColor="text1"/>
                <w:sz w:val="24"/>
                <w:szCs w:val="24"/>
                <w:highlight w:val="none"/>
                <w14:textFill>
                  <w14:solidFill>
                    <w14:schemeClr w14:val="tx1"/>
                  </w14:solidFill>
                </w14:textFill>
              </w:rPr>
              <w:t>）</w:t>
            </w:r>
          </w:p>
        </w:tc>
      </w:tr>
      <w:tr w14:paraId="5628C246">
        <w:tblPrEx>
          <w:tblCellMar>
            <w:top w:w="0" w:type="dxa"/>
            <w:left w:w="108" w:type="dxa"/>
            <w:bottom w:w="0" w:type="dxa"/>
            <w:right w:w="108" w:type="dxa"/>
          </w:tblCellMar>
        </w:tblPrEx>
        <w:trPr>
          <w:trHeight w:val="40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369F886E">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供应商是否监狱企业</w:t>
            </w:r>
          </w:p>
        </w:tc>
        <w:tc>
          <w:tcPr>
            <w:tcW w:w="6717" w:type="dxa"/>
            <w:tcBorders>
              <w:top w:val="single" w:color="auto" w:sz="4" w:space="0"/>
              <w:left w:val="nil"/>
              <w:bottom w:val="single" w:color="auto" w:sz="4" w:space="0"/>
              <w:right w:val="single" w:color="auto" w:sz="4" w:space="0"/>
            </w:tcBorders>
            <w:vAlign w:val="center"/>
          </w:tcPr>
          <w:p w14:paraId="119F704E">
            <w:pPr>
              <w:spacing w:line="36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填写“是”或“否”</w:t>
            </w:r>
            <w:r>
              <w:rPr>
                <w:rFonts w:hint="eastAsia" w:ascii="宋体" w:hAnsi="宋体"/>
                <w:color w:val="000000" w:themeColor="text1"/>
                <w:sz w:val="24"/>
                <w:szCs w:val="24"/>
                <w:highlight w:val="none"/>
                <w14:textFill>
                  <w14:solidFill>
                    <w14:schemeClr w14:val="tx1"/>
                  </w14:solidFill>
                </w14:textFill>
              </w:rPr>
              <w:t>）</w:t>
            </w:r>
          </w:p>
        </w:tc>
      </w:tr>
      <w:tr w14:paraId="30C5A137">
        <w:tblPrEx>
          <w:tblCellMar>
            <w:top w:w="0" w:type="dxa"/>
            <w:left w:w="108" w:type="dxa"/>
            <w:bottom w:w="0" w:type="dxa"/>
            <w:right w:w="108" w:type="dxa"/>
          </w:tblCellMar>
        </w:tblPrEx>
        <w:trPr>
          <w:trHeight w:val="57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6BB9B68C">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备注</w:t>
            </w:r>
          </w:p>
        </w:tc>
        <w:tc>
          <w:tcPr>
            <w:tcW w:w="6717" w:type="dxa"/>
            <w:tcBorders>
              <w:top w:val="single" w:color="auto" w:sz="4" w:space="0"/>
              <w:left w:val="nil"/>
              <w:bottom w:val="single" w:color="auto" w:sz="4" w:space="0"/>
              <w:right w:val="single" w:color="auto" w:sz="4" w:space="0"/>
            </w:tcBorders>
            <w:vAlign w:val="center"/>
          </w:tcPr>
          <w:p w14:paraId="11F6041F">
            <w:pPr>
              <w:rPr>
                <w:color w:val="000000" w:themeColor="text1"/>
                <w:sz w:val="24"/>
                <w:szCs w:val="24"/>
                <w:highlight w:val="none"/>
                <w14:textFill>
                  <w14:solidFill>
                    <w14:schemeClr w14:val="tx1"/>
                  </w14:solidFill>
                </w14:textFill>
              </w:rPr>
            </w:pPr>
          </w:p>
        </w:tc>
      </w:tr>
    </w:tbl>
    <w:p w14:paraId="34BC9D2E">
      <w:pPr>
        <w:widowControl/>
        <w:adjustRightInd w:val="0"/>
        <w:spacing w:line="360" w:lineRule="auto"/>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供应商名称：（盖章）</w:t>
      </w:r>
    </w:p>
    <w:p w14:paraId="437D4130">
      <w:pPr>
        <w:widowControl/>
        <w:adjustRightInd w:val="0"/>
        <w:spacing w:line="240" w:lineRule="atLeast"/>
        <w:jc w:val="left"/>
        <w:rPr>
          <w:rFonts w:ascii="宋体" w:hAnsi="宋体" w:cs="宋体"/>
          <w:color w:val="000000" w:themeColor="text1"/>
          <w:kern w:val="0"/>
          <w:szCs w:val="21"/>
          <w:highlight w:val="none"/>
          <w:lang w:val="zh-CN"/>
          <w14:textFill>
            <w14:solidFill>
              <w14:schemeClr w14:val="tx1"/>
            </w14:solidFill>
          </w14:textFill>
        </w:rPr>
      </w:pPr>
    </w:p>
    <w:p w14:paraId="704A3F30">
      <w:pPr>
        <w:widowControl/>
        <w:adjustRightInd w:val="0"/>
        <w:spacing w:line="240" w:lineRule="atLeast"/>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说明：</w:t>
      </w:r>
      <w:r>
        <w:rPr>
          <w:rFonts w:hint="eastAsia" w:ascii="宋体" w:hAnsi="宋体" w:cs="宋体"/>
          <w:b/>
          <w:color w:val="000000" w:themeColor="text1"/>
          <w:kern w:val="0"/>
          <w:szCs w:val="21"/>
          <w:highlight w:val="none"/>
          <w:lang w:val="zh-CN"/>
          <w14:textFill>
            <w14:solidFill>
              <w14:schemeClr w14:val="tx1"/>
            </w14:solidFill>
          </w14:textFill>
        </w:rPr>
        <w:t>在“供应商是否属于中小微型企业”栏后“是”或“否”，评审过程中，如果小、微型企业报价无法划分计算的，将不予认可。</w:t>
      </w:r>
    </w:p>
    <w:p w14:paraId="4AFB1052">
      <w:pPr>
        <w:pStyle w:val="10"/>
        <w:rPr>
          <w:color w:val="000000" w:themeColor="text1"/>
          <w:highlight w:val="none"/>
          <w14:textFill>
            <w14:solidFill>
              <w14:schemeClr w14:val="tx1"/>
            </w14:solidFill>
          </w14:textFill>
        </w:rPr>
      </w:pPr>
    </w:p>
    <w:p w14:paraId="1824C967">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sectPr>
          <w:pgSz w:w="11906" w:h="16838"/>
          <w:pgMar w:top="850" w:right="850" w:bottom="850" w:left="1417" w:header="170" w:footer="680" w:gutter="0"/>
          <w:cols w:space="0" w:num="1"/>
          <w:docGrid w:linePitch="290" w:charSpace="0"/>
        </w:sectPr>
      </w:pPr>
    </w:p>
    <w:p w14:paraId="0E16CA3C">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附件四、资格证明文件</w:t>
      </w:r>
    </w:p>
    <w:p w14:paraId="581AE6E0">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1.满足《中华人民共和国政府采购法》第二十二条规定；</w:t>
      </w:r>
    </w:p>
    <w:p w14:paraId="42CB88CD">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（1）具有独立承担民事责任的能力（提供法人或者其他组织的营业执照，自然人的身份证）；</w:t>
      </w:r>
    </w:p>
    <w:p w14:paraId="33520313">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具有良好的商业信誉和健全的财务会计制度（提供投标截止时间前六个月内银行出具的资信证明，或投标截止时间前六个月内任意一个月的财务状况报告（至少包括资产负债表和利润表），或上一年度（或2024年度）的审计报告）；</w:t>
      </w:r>
    </w:p>
    <w:p w14:paraId="7F0623AA">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（3）具有履行合同所必需的设备和专业技术能力（根据项目需求提供履行合同所必需的设备和专业技术能力的证明材料或相关加盖公章的声明函）；</w:t>
      </w:r>
    </w:p>
    <w:p w14:paraId="468CC44C">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有依法缴纳税收和社会保障资金的良好记录（提供投标截止时间前六个月内任意一个月的纳税证明文件（依法免缴的应提供相应文件说明）；并提供投标截止时间前六个月内任意一个月依法为员工缴纳社会保障资金的证明材料（依法不需要缴纳社会保障资金的应提供相应文件说明））；</w:t>
      </w:r>
    </w:p>
    <w:p w14:paraId="6F1B7BC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（5）参加本次采购活动前三年内，在经营活动中没有重大违法记录（提供参加本次采购活动前三年内在经营活动中没有重大违法记录的书面声明）。</w:t>
      </w:r>
    </w:p>
    <w:p w14:paraId="733EE18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（6）法律、行政法规规定的其他条件。（符合并提供承诺书加盖供应商公章编入响应文件中）。</w:t>
      </w:r>
    </w:p>
    <w:p w14:paraId="774B2AB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2.落实政府采购政策需满足的资格要求：本项目为专门面向中小企业采购的项目。如为中小微型企业、监狱企业、残疾人福利性单位，提供的产品为国家认定的节能产品和环保产品的须按要求提供相关材料。</w:t>
      </w:r>
    </w:p>
    <w:p w14:paraId="2D712404">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3.本项目的特定资格要求：</w:t>
      </w:r>
    </w:p>
    <w:p w14:paraId="1FF35BCF">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（1）供应商资质等级及范围：①具备具备专业承包建筑装修装饰工程二级(含)以上资质证书；②供应商具备有效期内的安全生产许可证。（提供证书复印件并加盖公章）</w:t>
      </w:r>
    </w:p>
    <w:p w14:paraId="4922379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（2）项目负责人的资格要求：</w:t>
      </w:r>
    </w:p>
    <w:p w14:paraId="395C851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①取得注册建造师证建筑工程二级(含)以上并取得《安全生产考核合格证书》B 类证书。（提供证书复印件加盖供应商公章编入响应文件中）</w:t>
      </w:r>
    </w:p>
    <w:p w14:paraId="19C70D9A">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②供应商必须提供拟投入本工程项目负责人与供应商签订的有效劳动合同、社保机构出具的近半年内（202</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12</w:t>
      </w:r>
      <w:r>
        <w:rPr>
          <w:rFonts w:hint="eastAsia" w:ascii="宋体" w:hAnsi="宋体" w:cs="宋体"/>
          <w:color w:val="000000" w:themeColor="text1"/>
          <w:sz w:val="24"/>
          <w:szCs w:val="24"/>
          <w:highlight w:val="none"/>
          <w14:textFill>
            <w14:solidFill>
              <w14:schemeClr w14:val="tx1"/>
            </w14:solidFill>
          </w14:textFill>
        </w:rPr>
        <w:t>月-202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月）任意一月供应商为其缴纳的养老保险缴费证明材料并加盖社保中心章或社保中心参</w:t>
      </w:r>
      <w:r>
        <w:rPr>
          <w:rFonts w:hint="eastAsia" w:ascii="宋体" w:hAnsi="宋体" w:eastAsia="宋体" w:cs="宋体"/>
          <w:color w:val="000000" w:themeColor="text1"/>
          <w:sz w:val="24"/>
          <w:szCs w:val="24"/>
          <w:highlight w:val="none"/>
          <w14:textFill>
            <w14:solidFill>
              <w14:schemeClr w14:val="tx1"/>
            </w14:solidFill>
          </w14:textFill>
        </w:rPr>
        <w:t>保缴费证明电子专用章；若项目负责人属企业退休人员、现役军人等客观原因无法提供养老保险金缴费证明，退休人员必须出具退休证及劳务合同，若事业编制人员需要提供所在单位上级人事主管部门的人事证明材料，否则一律按未提供养老保险金缴费证明材料处理；（提供证明材料复</w:t>
      </w:r>
      <w:r>
        <w:rPr>
          <w:rFonts w:hint="eastAsia" w:ascii="宋体" w:hAnsi="宋体" w:cs="宋体"/>
          <w:color w:val="000000" w:themeColor="text1"/>
          <w:sz w:val="24"/>
          <w:szCs w:val="24"/>
          <w:highlight w:val="none"/>
          <w14:textFill>
            <w14:solidFill>
              <w14:schemeClr w14:val="tx1"/>
            </w14:solidFill>
          </w14:textFill>
        </w:rPr>
        <w:t>印件加盖供应商公章编入响应文件中）</w:t>
      </w:r>
    </w:p>
    <w:p w14:paraId="3769FDC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4.拒绝下述供应商参加本次采购活动：（提供承诺书加盖供应商公章编入响应文件中）</w:t>
      </w:r>
    </w:p>
    <w:p w14:paraId="75B125C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（1）供应商单位负责人为同一人或者存在直接控股、管理关系的不同供应商，不得参加同一合同项下的采购活动。</w:t>
      </w:r>
    </w:p>
    <w:p w14:paraId="718B13CC">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（2）凡为采购项目提供整体设计、规范编制或者项目管理、监理、检测等服务的供应商，不得再参加本项目的采购活动。</w:t>
      </w:r>
    </w:p>
    <w:p w14:paraId="436FCEA9">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（3）拒绝列入失信被执行人、重大税收违法失信主体、政府采购严重违法失信行为记录名单中的供应商参加本项目的采购活动。</w:t>
      </w:r>
    </w:p>
    <w:p w14:paraId="282BD3B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注：采购人或代理机构通过 “信用中国”网站（www.creditchina.gov.cn）、“中国政府采购网”网站（www.ccgp.gov.cn）等渠道查询供应商信用记录并保存。</w:t>
      </w:r>
    </w:p>
    <w:p w14:paraId="7CF0E142">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5.根据住房和城乡建设部办公厅关于全面实行一级建造师电子注册证书的通知（建办市〔2021〕40 号）要求，自 2021 年 10 月 15 日起，在全国范围内实行一级建造师电子证书，电子证书式样按照《全国一体化在线政务服务平台电子证照一级建造师注册证书》标准执行。自 2022 年 1 月 1 日起，一级建造师统一使用电子证书，纸质注册证书作废。各投标人须提供一级建造师证书电子注册证书，电子注册证书应当符合相关文件规定，签名图像应当与持证人个人手写签名笔迹一致，证书应当在使用有效期限内。若提供的电子件无法识别有效信息的，视为无效。投标人将自行承担资格审查不通过等相应后果。</w:t>
      </w:r>
    </w:p>
    <w:p w14:paraId="63C641D1">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p>
    <w:p w14:paraId="707A4CEB">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p>
    <w:p w14:paraId="723584B1">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p>
    <w:p w14:paraId="24F7C386">
      <w:pPr>
        <w:widowControl/>
        <w:adjustRightInd w:val="0"/>
        <w:spacing w:line="240" w:lineRule="atLeast"/>
        <w:jc w:val="left"/>
        <w:outlineLvl w:val="0"/>
        <w:rPr>
          <w:rFonts w:ascii="宋体" w:hAnsi="宋体" w:cs="宋体"/>
          <w:b/>
          <w:color w:val="000000" w:themeColor="text1"/>
          <w:kern w:val="0"/>
          <w:szCs w:val="21"/>
          <w:highlight w:val="none"/>
          <w:lang w:val="zh-CN"/>
          <w14:textFill>
            <w14:solidFill>
              <w14:schemeClr w14:val="tx1"/>
            </w14:solidFill>
          </w14:textFill>
        </w:rPr>
      </w:pPr>
      <w:bookmarkStart w:id="210" w:name="_Toc11821"/>
      <w:r>
        <w:rPr>
          <w:rFonts w:hint="eastAsia" w:ascii="宋体" w:hAnsi="宋体" w:cs="宋体"/>
          <w:b/>
          <w:color w:val="000000" w:themeColor="text1"/>
          <w:kern w:val="0"/>
          <w:szCs w:val="21"/>
          <w:highlight w:val="none"/>
          <w:lang w:val="zh-CN"/>
          <w14:textFill>
            <w14:solidFill>
              <w14:schemeClr w14:val="tx1"/>
            </w14:solidFill>
          </w14:textFill>
        </w:rPr>
        <w:t>五、分项报价表格式</w:t>
      </w:r>
      <w:bookmarkEnd w:id="210"/>
    </w:p>
    <w:p w14:paraId="6F8DDE0B">
      <w:pPr>
        <w:autoSpaceDE w:val="0"/>
        <w:autoSpaceDN w:val="0"/>
        <w:adjustRightInd w:val="0"/>
        <w:jc w:val="center"/>
        <w:rPr>
          <w:rFonts w:ascii="宋体" w:hAnsi="宋体" w:cs="宋体"/>
          <w:b/>
          <w:color w:val="000000" w:themeColor="text1"/>
          <w:szCs w:val="21"/>
          <w:highlight w:val="none"/>
          <w:lang w:val="zh-CN"/>
          <w14:textFill>
            <w14:solidFill>
              <w14:schemeClr w14:val="tx1"/>
            </w14:solidFill>
          </w14:textFill>
        </w:rPr>
      </w:pPr>
    </w:p>
    <w:p w14:paraId="1ADDE895">
      <w:pPr>
        <w:autoSpaceDE w:val="0"/>
        <w:autoSpaceDN w:val="0"/>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（供应商根据本项目的工程量清单编制）</w:t>
      </w:r>
    </w:p>
    <w:p w14:paraId="1E7D701A">
      <w:pPr>
        <w:widowControl/>
        <w:adjustRightInd w:val="0"/>
        <w:spacing w:line="240" w:lineRule="atLeast"/>
        <w:jc w:val="left"/>
        <w:rPr>
          <w:rFonts w:ascii="宋体" w:hAnsi="宋体" w:cs="宋体"/>
          <w:color w:val="000000" w:themeColor="text1"/>
          <w:kern w:val="0"/>
          <w:sz w:val="36"/>
          <w:szCs w:val="36"/>
          <w:highlight w:val="none"/>
          <w:lang w:val="zh-CN"/>
          <w14:textFill>
            <w14:solidFill>
              <w14:schemeClr w14:val="tx1"/>
            </w14:solidFill>
          </w14:textFill>
        </w:rPr>
      </w:pPr>
    </w:p>
    <w:p w14:paraId="61AED19B">
      <w:pP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br w:type="page"/>
      </w:r>
    </w:p>
    <w:p w14:paraId="174D2C4A">
      <w:pPr>
        <w:spacing w:line="360" w:lineRule="auto"/>
        <w:jc w:val="lef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目录六、技术条款偏离表格式</w:t>
      </w:r>
    </w:p>
    <w:p w14:paraId="4151F897">
      <w:pPr>
        <w:spacing w:line="360" w:lineRule="auto"/>
        <w:ind w:left="420"/>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技术条款偏离表</w:t>
      </w:r>
    </w:p>
    <w:tbl>
      <w:tblPr>
        <w:tblStyle w:val="28"/>
        <w:tblW w:w="9635" w:type="dxa"/>
        <w:jc w:val="center"/>
        <w:tblLayout w:type="fixed"/>
        <w:tblCellMar>
          <w:top w:w="0" w:type="dxa"/>
          <w:left w:w="10" w:type="dxa"/>
          <w:bottom w:w="0" w:type="dxa"/>
          <w:right w:w="10" w:type="dxa"/>
        </w:tblCellMar>
      </w:tblPr>
      <w:tblGrid>
        <w:gridCol w:w="1036"/>
        <w:gridCol w:w="1828"/>
        <w:gridCol w:w="2590"/>
        <w:gridCol w:w="3107"/>
        <w:gridCol w:w="1074"/>
      </w:tblGrid>
      <w:tr w14:paraId="0D9B50CF">
        <w:tblPrEx>
          <w:tblCellMar>
            <w:top w:w="0" w:type="dxa"/>
            <w:left w:w="10" w:type="dxa"/>
            <w:bottom w:w="0" w:type="dxa"/>
            <w:right w:w="10" w:type="dxa"/>
          </w:tblCellMar>
        </w:tblPrEx>
        <w:trPr>
          <w:trHeight w:val="397" w:hRule="atLeast"/>
          <w:jc w:val="center"/>
        </w:trPr>
        <w:tc>
          <w:tcPr>
            <w:tcW w:w="5454" w:type="dxa"/>
            <w:gridSpan w:val="3"/>
            <w:shd w:val="clear" w:color="000000" w:fill="FFFFFF"/>
            <w:tcMar>
              <w:left w:w="0" w:type="dxa"/>
              <w:right w:w="0" w:type="dxa"/>
            </w:tcMar>
            <w:vAlign w:val="center"/>
          </w:tcPr>
          <w:p w14:paraId="04C5B78C">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tc>
        <w:tc>
          <w:tcPr>
            <w:tcW w:w="4181" w:type="dxa"/>
            <w:gridSpan w:val="2"/>
            <w:shd w:val="clear" w:color="000000" w:fill="FFFFFF"/>
            <w:tcMar>
              <w:left w:w="0" w:type="dxa"/>
              <w:right w:w="0" w:type="dxa"/>
            </w:tcMar>
            <w:vAlign w:val="center"/>
          </w:tcPr>
          <w:p w14:paraId="29825098">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c>
      </w:tr>
      <w:tr w14:paraId="6263794A">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D69B78A">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92C3BA0">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采购文件条目号</w:t>
            </w: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C040D0F">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采购文件要求的</w:t>
            </w:r>
            <w:r>
              <w:rPr>
                <w:rFonts w:hint="eastAsia" w:ascii="宋体" w:hAnsi="宋体" w:cs="宋体"/>
                <w:color w:val="000000" w:themeColor="text1"/>
                <w:highlight w:val="none"/>
                <w:lang w:val="en-US" w:eastAsia="zh-CN"/>
                <w14:textFill>
                  <w14:solidFill>
                    <w14:schemeClr w14:val="tx1"/>
                  </w14:solidFill>
                </w14:textFill>
              </w:rPr>
              <w:t>技术</w:t>
            </w:r>
            <w:r>
              <w:rPr>
                <w:rFonts w:hint="eastAsia" w:ascii="宋体" w:hAnsi="宋体" w:cs="宋体"/>
                <w:color w:val="000000" w:themeColor="text1"/>
                <w:highlight w:val="none"/>
                <w14:textFill>
                  <w14:solidFill>
                    <w14:schemeClr w14:val="tx1"/>
                  </w14:solidFill>
                </w14:textFill>
              </w:rPr>
              <w:t>条款</w:t>
            </w: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A786AD3">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投标响应</w:t>
            </w: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1812079">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偏离</w:t>
            </w:r>
          </w:p>
        </w:tc>
      </w:tr>
      <w:tr w14:paraId="5816D6C4">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3CE8BC9">
            <w:pP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4B2A3A7">
            <w:pP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F096BD9">
            <w:pP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DFF19CD">
            <w:pP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998A0A1">
            <w:pPr>
              <w:jc w:val="center"/>
              <w:rPr>
                <w:rFonts w:ascii="宋体" w:hAnsi="宋体" w:cs="宋体"/>
                <w:color w:val="000000" w:themeColor="text1"/>
                <w:sz w:val="22"/>
                <w:highlight w:val="none"/>
                <w14:textFill>
                  <w14:solidFill>
                    <w14:schemeClr w14:val="tx1"/>
                  </w14:solidFill>
                </w14:textFill>
              </w:rPr>
            </w:pPr>
          </w:p>
        </w:tc>
      </w:tr>
      <w:tr w14:paraId="19B77DB5">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724D4FA8">
            <w:pP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7CDC52A">
            <w:pP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20B1C2C6">
            <w:pP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709E6040">
            <w:pP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EE89ADE">
            <w:pPr>
              <w:jc w:val="center"/>
              <w:rPr>
                <w:rFonts w:ascii="宋体" w:hAnsi="宋体" w:cs="宋体"/>
                <w:color w:val="000000" w:themeColor="text1"/>
                <w:sz w:val="22"/>
                <w:highlight w:val="none"/>
                <w14:textFill>
                  <w14:solidFill>
                    <w14:schemeClr w14:val="tx1"/>
                  </w14:solidFill>
                </w14:textFill>
              </w:rPr>
            </w:pPr>
          </w:p>
        </w:tc>
      </w:tr>
      <w:tr w14:paraId="0D44E5B3">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3EF76E6">
            <w:pP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604AAEE">
            <w:pP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B712966">
            <w:pP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ACCB382">
            <w:pP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6A3E5C9">
            <w:pPr>
              <w:jc w:val="center"/>
              <w:rPr>
                <w:rFonts w:ascii="宋体" w:hAnsi="宋体" w:cs="宋体"/>
                <w:color w:val="000000" w:themeColor="text1"/>
                <w:sz w:val="22"/>
                <w:highlight w:val="none"/>
                <w14:textFill>
                  <w14:solidFill>
                    <w14:schemeClr w14:val="tx1"/>
                  </w14:solidFill>
                </w14:textFill>
              </w:rPr>
            </w:pPr>
          </w:p>
        </w:tc>
      </w:tr>
    </w:tbl>
    <w:p w14:paraId="50BE2096">
      <w:pPr>
        <w:spacing w:line="360" w:lineRule="auto"/>
        <w:jc w:val="left"/>
        <w:rPr>
          <w:rFonts w:ascii="宋体" w:hAnsi="宋体" w:cs="宋体"/>
          <w:color w:val="000000" w:themeColor="text1"/>
          <w:highlight w:val="none"/>
          <w14:textFill>
            <w14:solidFill>
              <w14:schemeClr w14:val="tx1"/>
            </w14:solidFill>
          </w14:textFill>
        </w:rPr>
      </w:pPr>
    </w:p>
    <w:p w14:paraId="1085DE4B">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738E46E8">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说明：1、如果行数不够，请自行增加。</w:t>
      </w:r>
    </w:p>
    <w:p w14:paraId="43F94281">
      <w:pPr>
        <w:spacing w:line="360" w:lineRule="auto"/>
        <w:jc w:val="lef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2、供应商应对磋商文件</w:t>
      </w:r>
      <w:r>
        <w:rPr>
          <w:rFonts w:hint="eastAsia" w:ascii="宋体" w:hAnsi="宋体" w:cs="宋体"/>
          <w:b/>
          <w:bCs/>
          <w:color w:val="000000" w:themeColor="text1"/>
          <w:highlight w:val="none"/>
          <w:lang w:eastAsia="zh-CN"/>
          <w14:textFill>
            <w14:solidFill>
              <w14:schemeClr w14:val="tx1"/>
            </w14:solidFill>
          </w14:textFill>
        </w:rPr>
        <w:t>第四章</w:t>
      </w:r>
      <w:r>
        <w:rPr>
          <w:rFonts w:hint="eastAsia" w:ascii="宋体" w:hAnsi="宋体" w:cs="宋体"/>
          <w:b/>
          <w:bCs/>
          <w:color w:val="000000" w:themeColor="text1"/>
          <w:highlight w:val="none"/>
          <w:lang w:val="en-US" w:eastAsia="zh-CN"/>
          <w14:textFill>
            <w14:solidFill>
              <w14:schemeClr w14:val="tx1"/>
            </w14:solidFill>
          </w14:textFill>
        </w:rPr>
        <w:t>“（第一部分：技术部分）”中相关要求</w:t>
      </w:r>
      <w:r>
        <w:rPr>
          <w:rFonts w:hint="eastAsia" w:ascii="宋体" w:hAnsi="宋体" w:cs="宋体"/>
          <w:b/>
          <w:bCs/>
          <w:color w:val="000000" w:themeColor="text1"/>
          <w:highlight w:val="none"/>
          <w14:textFill>
            <w14:solidFill>
              <w14:schemeClr w14:val="tx1"/>
            </w14:solidFill>
          </w14:textFill>
        </w:rPr>
        <w:t>填写偏离情况(正偏离、负偏离或无偏离)，并说明偏离的具体内容及做出必要说明。供应商需如实填写偏离表，请勿虚假响应，供应商应对故意隐瞒偏离的行为承担责任。</w:t>
      </w:r>
    </w:p>
    <w:p w14:paraId="2CD401E4">
      <w:pPr>
        <w:spacing w:line="360" w:lineRule="auto"/>
        <w:ind w:firstLine="632"/>
        <w:jc w:val="left"/>
        <w:rPr>
          <w:rFonts w:ascii="宋体" w:hAnsi="宋体" w:cs="宋体"/>
          <w:b/>
          <w:color w:val="000000" w:themeColor="text1"/>
          <w:highlight w:val="none"/>
          <w14:textFill>
            <w14:solidFill>
              <w14:schemeClr w14:val="tx1"/>
            </w14:solidFill>
          </w14:textFill>
        </w:rPr>
      </w:pPr>
    </w:p>
    <w:p w14:paraId="38F5F45A">
      <w:pPr>
        <w:jc w:val="left"/>
        <w:rPr>
          <w:rFonts w:ascii="宋体" w:hAnsi="宋体" w:cs="宋体"/>
          <w:color w:val="000000" w:themeColor="text1"/>
          <w:highlight w:val="none"/>
          <w14:textFill>
            <w14:solidFill>
              <w14:schemeClr w14:val="tx1"/>
            </w14:solidFill>
          </w14:textFill>
        </w:rPr>
      </w:pPr>
    </w:p>
    <w:p w14:paraId="3D3EF53B">
      <w:pPr>
        <w:spacing w:line="360" w:lineRule="auto"/>
        <w:jc w:val="left"/>
        <w:rPr>
          <w:rFonts w:ascii="宋体" w:hAnsi="宋体" w:cs="宋体"/>
          <w:b/>
          <w:color w:val="000000" w:themeColor="text1"/>
          <w:highlight w:val="none"/>
          <w14:textFill>
            <w14:solidFill>
              <w14:schemeClr w14:val="tx1"/>
            </w14:solidFill>
          </w14:textFill>
        </w:rPr>
      </w:pPr>
    </w:p>
    <w:p w14:paraId="56462217">
      <w:pPr>
        <w:spacing w:line="360" w:lineRule="auto"/>
        <w:jc w:val="left"/>
        <w:rPr>
          <w:rFonts w:ascii="宋体" w:hAnsi="宋体" w:cs="宋体"/>
          <w:b/>
          <w:color w:val="000000" w:themeColor="text1"/>
          <w:highlight w:val="none"/>
          <w14:textFill>
            <w14:solidFill>
              <w14:schemeClr w14:val="tx1"/>
            </w14:solidFill>
          </w14:textFill>
        </w:rPr>
      </w:pPr>
    </w:p>
    <w:p w14:paraId="4BE4A30D">
      <w:pPr>
        <w:spacing w:line="360" w:lineRule="auto"/>
        <w:jc w:val="lef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目录七、商务条款偏离表格式</w:t>
      </w:r>
    </w:p>
    <w:p w14:paraId="4BD38652">
      <w:pPr>
        <w:spacing w:line="360" w:lineRule="auto"/>
        <w:ind w:left="420"/>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商务条款偏离表</w:t>
      </w:r>
    </w:p>
    <w:tbl>
      <w:tblPr>
        <w:tblStyle w:val="28"/>
        <w:tblW w:w="9629" w:type="dxa"/>
        <w:jc w:val="center"/>
        <w:tblLayout w:type="fixed"/>
        <w:tblCellMar>
          <w:top w:w="0" w:type="dxa"/>
          <w:left w:w="10" w:type="dxa"/>
          <w:bottom w:w="0" w:type="dxa"/>
          <w:right w:w="10" w:type="dxa"/>
        </w:tblCellMar>
      </w:tblPr>
      <w:tblGrid>
        <w:gridCol w:w="944"/>
        <w:gridCol w:w="1845"/>
        <w:gridCol w:w="2658"/>
        <w:gridCol w:w="2828"/>
        <w:gridCol w:w="1354"/>
      </w:tblGrid>
      <w:tr w14:paraId="02B22E6F">
        <w:tblPrEx>
          <w:tblCellMar>
            <w:top w:w="0" w:type="dxa"/>
            <w:left w:w="10" w:type="dxa"/>
            <w:bottom w:w="0" w:type="dxa"/>
            <w:right w:w="10" w:type="dxa"/>
          </w:tblCellMar>
        </w:tblPrEx>
        <w:trPr>
          <w:trHeight w:val="454" w:hRule="atLeast"/>
          <w:jc w:val="center"/>
        </w:trPr>
        <w:tc>
          <w:tcPr>
            <w:tcW w:w="5447" w:type="dxa"/>
            <w:gridSpan w:val="3"/>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9276CC1">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tc>
        <w:tc>
          <w:tcPr>
            <w:tcW w:w="4182"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9192045">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c>
      </w:tr>
      <w:tr w14:paraId="184982BF">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023DC6D">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152A1BD">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采购文件条目号</w:t>
            </w: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12D6FFE">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采购文件要求的商务条款</w:t>
            </w: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83E3CE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投标响应</w:t>
            </w: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2AAEA85">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偏离</w:t>
            </w:r>
          </w:p>
        </w:tc>
      </w:tr>
      <w:tr w14:paraId="2CFD91C5">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BB84EB2">
            <w:pP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B1661A5">
            <w:pP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A3B2987">
            <w:pP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22DE1EA">
            <w:pP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2258916">
            <w:pPr>
              <w:jc w:val="center"/>
              <w:rPr>
                <w:rFonts w:ascii="宋体" w:hAnsi="宋体" w:cs="宋体"/>
                <w:color w:val="000000" w:themeColor="text1"/>
                <w:sz w:val="22"/>
                <w:highlight w:val="none"/>
                <w14:textFill>
                  <w14:solidFill>
                    <w14:schemeClr w14:val="tx1"/>
                  </w14:solidFill>
                </w14:textFill>
              </w:rPr>
            </w:pPr>
          </w:p>
        </w:tc>
      </w:tr>
      <w:tr w14:paraId="1F8EF677">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7D29B4D">
            <w:pP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F92BD8C">
            <w:pP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76CF033">
            <w:pP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C14F843">
            <w:pP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05C39C5">
            <w:pPr>
              <w:jc w:val="center"/>
              <w:rPr>
                <w:rFonts w:ascii="宋体" w:hAnsi="宋体" w:cs="宋体"/>
                <w:color w:val="000000" w:themeColor="text1"/>
                <w:sz w:val="22"/>
                <w:highlight w:val="none"/>
                <w14:textFill>
                  <w14:solidFill>
                    <w14:schemeClr w14:val="tx1"/>
                  </w14:solidFill>
                </w14:textFill>
              </w:rPr>
            </w:pPr>
          </w:p>
        </w:tc>
      </w:tr>
      <w:tr w14:paraId="5E5510E4">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9112744">
            <w:pP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141EFBF">
            <w:pP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BC9174D">
            <w:pP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BBB34FA">
            <w:pP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69F8D4B">
            <w:pPr>
              <w:jc w:val="center"/>
              <w:rPr>
                <w:rFonts w:ascii="宋体" w:hAnsi="宋体" w:cs="宋体"/>
                <w:color w:val="000000" w:themeColor="text1"/>
                <w:sz w:val="22"/>
                <w:highlight w:val="none"/>
                <w14:textFill>
                  <w14:solidFill>
                    <w14:schemeClr w14:val="tx1"/>
                  </w14:solidFill>
                </w14:textFill>
              </w:rPr>
            </w:pPr>
          </w:p>
        </w:tc>
      </w:tr>
    </w:tbl>
    <w:p w14:paraId="1C45559B">
      <w:pPr>
        <w:spacing w:line="360" w:lineRule="auto"/>
        <w:jc w:val="left"/>
        <w:rPr>
          <w:rFonts w:ascii="宋体" w:hAnsi="宋体" w:cs="宋体"/>
          <w:color w:val="000000" w:themeColor="text1"/>
          <w:highlight w:val="none"/>
          <w14:textFill>
            <w14:solidFill>
              <w14:schemeClr w14:val="tx1"/>
            </w14:solidFill>
          </w14:textFill>
        </w:rPr>
      </w:pPr>
    </w:p>
    <w:p w14:paraId="7C8797F4">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2382375B">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说明：1、如果行数不够，请自行增加。</w:t>
      </w:r>
    </w:p>
    <w:p w14:paraId="77B28209">
      <w:pPr>
        <w:spacing w:line="360" w:lineRule="auto"/>
        <w:jc w:val="left"/>
        <w:rPr>
          <w:rFonts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r>
        <w:rPr>
          <w:rFonts w:hint="eastAsia" w:ascii="宋体" w:hAnsi="宋体" w:cs="宋体"/>
          <w:b/>
          <w:bCs/>
          <w:color w:val="000000" w:themeColor="text1"/>
          <w:highlight w:val="none"/>
          <w14:textFill>
            <w14:solidFill>
              <w14:schemeClr w14:val="tx1"/>
            </w14:solidFill>
          </w14:textFill>
        </w:rPr>
        <w:t>供应商应对磋商文件</w:t>
      </w:r>
      <w:r>
        <w:rPr>
          <w:rFonts w:hint="eastAsia" w:ascii="宋体" w:hAnsi="宋体" w:cs="宋体"/>
          <w:b/>
          <w:bCs/>
          <w:color w:val="000000" w:themeColor="text1"/>
          <w:highlight w:val="none"/>
          <w:lang w:eastAsia="zh-CN"/>
          <w14:textFill>
            <w14:solidFill>
              <w14:schemeClr w14:val="tx1"/>
            </w14:solidFill>
          </w14:textFill>
        </w:rPr>
        <w:t>第四章</w:t>
      </w:r>
      <w:r>
        <w:rPr>
          <w:rFonts w:hint="eastAsia" w:ascii="宋体" w:hAnsi="宋体" w:cs="宋体"/>
          <w:b/>
          <w:bCs/>
          <w:color w:val="000000" w:themeColor="text1"/>
          <w:highlight w:val="none"/>
          <w:lang w:val="en-US" w:eastAsia="zh-CN"/>
          <w14:textFill>
            <w14:solidFill>
              <w14:schemeClr w14:val="tx1"/>
            </w14:solidFill>
          </w14:textFill>
        </w:rPr>
        <w:t>“（第二部分：商务部分）”中相关要求</w:t>
      </w:r>
      <w:r>
        <w:rPr>
          <w:rFonts w:hint="eastAsia" w:ascii="宋体" w:hAnsi="宋体" w:cs="宋体"/>
          <w:b/>
          <w:bCs/>
          <w:color w:val="000000" w:themeColor="text1"/>
          <w:highlight w:val="none"/>
          <w14:textFill>
            <w14:solidFill>
              <w14:schemeClr w14:val="tx1"/>
            </w14:solidFill>
          </w14:textFill>
        </w:rPr>
        <w:t>填写偏离情况(正偏离、负偏离或无偏离)，并说明偏离的具体内容及做出必要说明。供应商需如实填写偏离表，请勿虚假响应，供应商应对故意隐瞒偏离的行为承担责任。</w:t>
      </w:r>
    </w:p>
    <w:p w14:paraId="0C388089">
      <w:pPr>
        <w:jc w:val="left"/>
        <w:rPr>
          <w:rFonts w:ascii="宋体" w:hAnsi="宋体" w:cs="宋体"/>
          <w:color w:val="000000" w:themeColor="text1"/>
          <w:highlight w:val="none"/>
          <w14:textFill>
            <w14:solidFill>
              <w14:schemeClr w14:val="tx1"/>
            </w14:solidFill>
          </w14:textFill>
        </w:rPr>
      </w:pPr>
    </w:p>
    <w:p w14:paraId="2CA98C79">
      <w:pPr>
        <w:rPr>
          <w:rFonts w:ascii="宋体" w:hAnsi="宋体" w:cs="宋体"/>
          <w:b/>
          <w:color w:val="000000" w:themeColor="text1"/>
          <w:highlight w:val="none"/>
          <w14:textFill>
            <w14:solidFill>
              <w14:schemeClr w14:val="tx1"/>
            </w14:solidFill>
          </w14:textFill>
        </w:rPr>
        <w:sectPr>
          <w:pgSz w:w="11906" w:h="16838"/>
          <w:pgMar w:top="850" w:right="850" w:bottom="850" w:left="1417" w:header="170" w:footer="680" w:gutter="0"/>
          <w:cols w:space="0" w:num="1"/>
          <w:docGrid w:linePitch="290" w:charSpace="0"/>
        </w:sectPr>
      </w:pPr>
    </w:p>
    <w:p w14:paraId="20A0AA53">
      <w:pPr>
        <w:outlineLvl w:val="0"/>
        <w:rPr>
          <w:rFonts w:ascii="宋体" w:hAnsi="宋体" w:cs="宋体"/>
          <w:b/>
          <w:color w:val="000000" w:themeColor="text1"/>
          <w:highlight w:val="none"/>
          <w14:textFill>
            <w14:solidFill>
              <w14:schemeClr w14:val="tx1"/>
            </w14:solidFill>
          </w14:textFill>
        </w:rPr>
      </w:pPr>
      <w:bookmarkStart w:id="211" w:name="_Toc18109"/>
      <w:r>
        <w:rPr>
          <w:rFonts w:hint="eastAsia" w:ascii="宋体" w:hAnsi="宋体" w:cs="宋体"/>
          <w:b/>
          <w:color w:val="000000" w:themeColor="text1"/>
          <w:highlight w:val="none"/>
          <w14:textFill>
            <w14:solidFill>
              <w14:schemeClr w14:val="tx1"/>
            </w14:solidFill>
          </w14:textFill>
        </w:rPr>
        <w:t>八、项目实施或集成方案</w:t>
      </w:r>
      <w:bookmarkEnd w:id="211"/>
    </w:p>
    <w:p w14:paraId="3914C2B4">
      <w:pPr>
        <w:rPr>
          <w:rFonts w:ascii="宋体" w:hAnsi="宋体" w:cs="宋体"/>
          <w:b/>
          <w:color w:val="000000" w:themeColor="text1"/>
          <w:highlight w:val="none"/>
          <w14:textFill>
            <w14:solidFill>
              <w14:schemeClr w14:val="tx1"/>
            </w14:solidFill>
          </w14:textFill>
        </w:rPr>
      </w:pPr>
    </w:p>
    <w:p w14:paraId="776E2CB6">
      <w:pPr>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项目实施或集成方案（若有）</w:t>
      </w:r>
    </w:p>
    <w:p w14:paraId="55AC09E9">
      <w:pPr>
        <w:rPr>
          <w:rFonts w:ascii="宋体" w:hAnsi="宋体" w:cs="宋体"/>
          <w:color w:val="000000" w:themeColor="text1"/>
          <w:sz w:val="36"/>
          <w:highlight w:val="none"/>
          <w14:textFill>
            <w14:solidFill>
              <w14:schemeClr w14:val="tx1"/>
            </w14:solidFill>
          </w14:textFill>
        </w:rPr>
      </w:pPr>
    </w:p>
    <w:p w14:paraId="31130C7D">
      <w:pPr>
        <w:rPr>
          <w:rFonts w:ascii="宋体" w:hAnsi="宋体" w:cs="宋体"/>
          <w:color w:val="000000" w:themeColor="text1"/>
          <w:sz w:val="36"/>
          <w:highlight w:val="none"/>
          <w14:textFill>
            <w14:solidFill>
              <w14:schemeClr w14:val="tx1"/>
            </w14:solidFill>
          </w14:textFill>
        </w:rPr>
      </w:pPr>
    </w:p>
    <w:p w14:paraId="49E8FF2A">
      <w:pPr>
        <w:rPr>
          <w:rFonts w:ascii="宋体" w:hAnsi="宋体" w:cs="宋体"/>
          <w:color w:val="000000" w:themeColor="text1"/>
          <w:sz w:val="28"/>
          <w:highlight w:val="none"/>
          <w14:textFill>
            <w14:solidFill>
              <w14:schemeClr w14:val="tx1"/>
            </w14:solidFill>
          </w14:textFill>
        </w:rPr>
      </w:pPr>
    </w:p>
    <w:p w14:paraId="217909A4">
      <w:pPr>
        <w:widowControl/>
        <w:jc w:val="left"/>
        <w:rPr>
          <w:rFonts w:ascii="宋体" w:hAnsi="宋体" w:cs="宋体"/>
          <w:b/>
          <w:color w:val="000000" w:themeColor="text1"/>
          <w:highlight w:val="none"/>
          <w14:textFill>
            <w14:solidFill>
              <w14:schemeClr w14:val="tx1"/>
            </w14:solidFill>
          </w14:textFill>
        </w:rPr>
      </w:pPr>
    </w:p>
    <w:p w14:paraId="5D13D240">
      <w:pPr>
        <w:widowControl/>
        <w:jc w:val="left"/>
        <w:rPr>
          <w:rFonts w:ascii="宋体" w:hAnsi="宋体" w:cs="宋体"/>
          <w:b/>
          <w:color w:val="000000" w:themeColor="text1"/>
          <w:highlight w:val="none"/>
          <w14:textFill>
            <w14:solidFill>
              <w14:schemeClr w14:val="tx1"/>
            </w14:solidFill>
          </w14:textFill>
        </w:rPr>
      </w:pPr>
    </w:p>
    <w:p w14:paraId="182144C7">
      <w:pPr>
        <w:widowControl/>
        <w:jc w:val="left"/>
        <w:rPr>
          <w:rFonts w:ascii="宋体" w:hAnsi="宋体" w:cs="宋体"/>
          <w:b/>
          <w:color w:val="000000" w:themeColor="text1"/>
          <w:highlight w:val="none"/>
          <w14:textFill>
            <w14:solidFill>
              <w14:schemeClr w14:val="tx1"/>
            </w14:solidFill>
          </w14:textFill>
        </w:rPr>
      </w:pPr>
    </w:p>
    <w:p w14:paraId="08E370D5">
      <w:pPr>
        <w:widowControl/>
        <w:jc w:val="left"/>
        <w:rPr>
          <w:rFonts w:ascii="宋体" w:hAnsi="宋体" w:cs="宋体"/>
          <w:b/>
          <w:color w:val="000000" w:themeColor="text1"/>
          <w:highlight w:val="none"/>
          <w14:textFill>
            <w14:solidFill>
              <w14:schemeClr w14:val="tx1"/>
            </w14:solidFill>
          </w14:textFill>
        </w:rPr>
      </w:pPr>
    </w:p>
    <w:p w14:paraId="0A4C871A">
      <w:pPr>
        <w:widowControl/>
        <w:jc w:val="left"/>
        <w:rPr>
          <w:rFonts w:ascii="宋体" w:hAnsi="宋体" w:cs="宋体"/>
          <w:b/>
          <w:color w:val="000000" w:themeColor="text1"/>
          <w:highlight w:val="none"/>
          <w14:textFill>
            <w14:solidFill>
              <w14:schemeClr w14:val="tx1"/>
            </w14:solidFill>
          </w14:textFill>
        </w:rPr>
      </w:pPr>
    </w:p>
    <w:p w14:paraId="447B31E0">
      <w:pPr>
        <w:widowControl/>
        <w:jc w:val="left"/>
        <w:rPr>
          <w:rFonts w:ascii="宋体" w:hAnsi="宋体" w:cs="宋体"/>
          <w:b/>
          <w:color w:val="000000" w:themeColor="text1"/>
          <w:highlight w:val="none"/>
          <w14:textFill>
            <w14:solidFill>
              <w14:schemeClr w14:val="tx1"/>
            </w14:solidFill>
          </w14:textFill>
        </w:rPr>
      </w:pPr>
    </w:p>
    <w:p w14:paraId="7FB97241">
      <w:pPr>
        <w:widowControl/>
        <w:jc w:val="left"/>
        <w:outlineLvl w:val="0"/>
        <w:rPr>
          <w:rFonts w:ascii="宋体" w:hAnsi="宋体" w:cs="宋体"/>
          <w:b/>
          <w:color w:val="000000" w:themeColor="text1"/>
          <w:highlight w:val="none"/>
          <w14:textFill>
            <w14:solidFill>
              <w14:schemeClr w14:val="tx1"/>
            </w14:solidFill>
          </w14:textFill>
        </w:rPr>
      </w:pPr>
      <w:bookmarkStart w:id="212" w:name="_Toc28264"/>
      <w:r>
        <w:rPr>
          <w:rFonts w:hint="eastAsia" w:ascii="宋体" w:hAnsi="宋体" w:cs="宋体"/>
          <w:b/>
          <w:color w:val="000000" w:themeColor="text1"/>
          <w:highlight w:val="none"/>
          <w14:textFill>
            <w14:solidFill>
              <w14:schemeClr w14:val="tx1"/>
            </w14:solidFill>
          </w14:textFill>
        </w:rPr>
        <w:t>九、服务与承诺</w:t>
      </w:r>
      <w:bookmarkEnd w:id="212"/>
    </w:p>
    <w:p w14:paraId="071FFDAB">
      <w:pPr>
        <w:rPr>
          <w:rFonts w:ascii="宋体" w:hAnsi="宋体" w:cs="宋体"/>
          <w:b/>
          <w:color w:val="000000" w:themeColor="text1"/>
          <w:highlight w:val="none"/>
          <w14:textFill>
            <w14:solidFill>
              <w14:schemeClr w14:val="tx1"/>
            </w14:solidFill>
          </w14:textFill>
        </w:rPr>
      </w:pPr>
    </w:p>
    <w:p w14:paraId="7D83C748">
      <w:pPr>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服务与承诺</w:t>
      </w:r>
    </w:p>
    <w:p w14:paraId="30E7877F">
      <w:pPr>
        <w:rPr>
          <w:rFonts w:ascii="宋体" w:hAnsi="宋体" w:cs="宋体"/>
          <w:color w:val="000000" w:themeColor="text1"/>
          <w:sz w:val="36"/>
          <w:highlight w:val="none"/>
          <w14:textFill>
            <w14:solidFill>
              <w14:schemeClr w14:val="tx1"/>
            </w14:solidFill>
          </w14:textFill>
        </w:rPr>
      </w:pPr>
    </w:p>
    <w:p w14:paraId="0BFB3681">
      <w:pPr>
        <w:widowControl/>
        <w:jc w:val="left"/>
        <w:outlineLvl w:val="0"/>
        <w:rPr>
          <w:rFonts w:ascii="宋体" w:hAnsi="宋体" w:cs="宋体"/>
          <w:b/>
          <w:color w:val="000000" w:themeColor="text1"/>
          <w:highlight w:val="none"/>
          <w14:textFill>
            <w14:solidFill>
              <w14:schemeClr w14:val="tx1"/>
            </w14:solidFill>
          </w14:textFill>
        </w:rPr>
      </w:pPr>
      <w:bookmarkStart w:id="213" w:name="_Toc12291"/>
      <w:r>
        <w:rPr>
          <w:rFonts w:hint="eastAsia" w:ascii="宋体" w:hAnsi="宋体" w:cs="宋体"/>
          <w:b/>
          <w:color w:val="000000" w:themeColor="text1"/>
          <w:highlight w:val="none"/>
          <w14:textFill>
            <w14:solidFill>
              <w14:schemeClr w14:val="tx1"/>
            </w14:solidFill>
          </w14:textFill>
        </w:rPr>
        <w:t>十、投标需要的其他证明文件及材料</w:t>
      </w:r>
      <w:bookmarkEnd w:id="213"/>
    </w:p>
    <w:p w14:paraId="62B730F7">
      <w:pPr>
        <w:rPr>
          <w:rFonts w:ascii="宋体" w:hAnsi="宋体" w:cs="宋体"/>
          <w:b/>
          <w:color w:val="000000" w:themeColor="text1"/>
          <w:highlight w:val="none"/>
          <w14:textFill>
            <w14:solidFill>
              <w14:schemeClr w14:val="tx1"/>
            </w14:solidFill>
          </w14:textFill>
        </w:rPr>
      </w:pPr>
    </w:p>
    <w:p w14:paraId="00FDD2C1">
      <w:pPr>
        <w:rPr>
          <w:rFonts w:ascii="宋体" w:hAnsi="宋体" w:cs="宋体"/>
          <w:b/>
          <w:color w:val="000000" w:themeColor="text1"/>
          <w:highlight w:val="none"/>
          <w14:textFill>
            <w14:solidFill>
              <w14:schemeClr w14:val="tx1"/>
            </w14:solidFill>
          </w14:textFill>
        </w:rPr>
      </w:pPr>
    </w:p>
    <w:p w14:paraId="1F71E53C">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投标需要的其他证明文件及材料（若有）</w:t>
      </w:r>
    </w:p>
    <w:p w14:paraId="48A0A061">
      <w:pPr>
        <w:rPr>
          <w:rFonts w:ascii="宋体" w:hAnsi="宋体" w:cs="宋体"/>
          <w:b/>
          <w:color w:val="000000" w:themeColor="text1"/>
          <w:highlight w:val="none"/>
          <w14:textFill>
            <w14:solidFill>
              <w14:schemeClr w14:val="tx1"/>
            </w14:solidFill>
          </w14:textFill>
        </w:rPr>
      </w:pPr>
    </w:p>
    <w:p w14:paraId="46F2BF00">
      <w:pPr>
        <w:spacing w:before="50" w:after="50" w:line="360" w:lineRule="auto"/>
        <w:jc w:val="left"/>
        <w:rPr>
          <w:rFonts w:ascii="宋体" w:hAnsi="宋体" w:cs="宋体"/>
          <w:b/>
          <w:color w:val="000000" w:themeColor="text1"/>
          <w:highlight w:val="none"/>
          <w14:textFill>
            <w14:solidFill>
              <w14:schemeClr w14:val="tx1"/>
            </w14:solidFill>
          </w14:textFill>
        </w:rPr>
        <w:sectPr>
          <w:pgSz w:w="11906" w:h="16838"/>
          <w:pgMar w:top="850" w:right="850" w:bottom="850" w:left="1417" w:header="170" w:footer="680" w:gutter="0"/>
          <w:cols w:space="0" w:num="1"/>
          <w:docGrid w:linePitch="290" w:charSpace="0"/>
        </w:sectPr>
      </w:pPr>
    </w:p>
    <w:p w14:paraId="59283638">
      <w:pPr>
        <w:spacing w:before="50" w:after="50" w:line="360" w:lineRule="auto"/>
        <w:jc w:val="left"/>
        <w:outlineLvl w:val="0"/>
        <w:rPr>
          <w:rFonts w:ascii="宋体" w:hAnsi="宋体" w:cs="宋体"/>
          <w:b/>
          <w:color w:val="000000" w:themeColor="text1"/>
          <w:highlight w:val="none"/>
          <w14:textFill>
            <w14:solidFill>
              <w14:schemeClr w14:val="tx1"/>
            </w14:solidFill>
          </w14:textFill>
        </w:rPr>
      </w:pPr>
      <w:bookmarkStart w:id="214" w:name="_Toc23370"/>
      <w:r>
        <w:rPr>
          <w:rFonts w:hint="eastAsia" w:ascii="宋体" w:hAnsi="宋体" w:cs="宋体"/>
          <w:b/>
          <w:color w:val="000000" w:themeColor="text1"/>
          <w:highlight w:val="none"/>
          <w14:textFill>
            <w14:solidFill>
              <w14:schemeClr w14:val="tx1"/>
            </w14:solidFill>
          </w14:textFill>
        </w:rPr>
        <w:t>十一、资格性审查响应对照表</w:t>
      </w:r>
      <w:bookmarkEnd w:id="214"/>
    </w:p>
    <w:p w14:paraId="4FAD4617">
      <w:pPr>
        <w:spacing w:before="50" w:after="50" w:line="360" w:lineRule="auto"/>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资格性审查响应对照表</w:t>
      </w:r>
    </w:p>
    <w:p w14:paraId="48EDE623">
      <w:pPr>
        <w:spacing w:before="50" w:after="50"/>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p w14:paraId="15DB3515">
      <w:pPr>
        <w:spacing w:before="50" w:after="50"/>
        <w:jc w:val="left"/>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bl>
      <w:tblPr>
        <w:tblStyle w:val="28"/>
        <w:tblW w:w="9699" w:type="dxa"/>
        <w:jc w:val="center"/>
        <w:tblLayout w:type="fixed"/>
        <w:tblCellMar>
          <w:top w:w="0" w:type="dxa"/>
          <w:left w:w="10" w:type="dxa"/>
          <w:bottom w:w="0" w:type="dxa"/>
          <w:right w:w="10" w:type="dxa"/>
        </w:tblCellMar>
      </w:tblPr>
      <w:tblGrid>
        <w:gridCol w:w="1023"/>
        <w:gridCol w:w="5327"/>
        <w:gridCol w:w="1629"/>
        <w:gridCol w:w="1720"/>
      </w:tblGrid>
      <w:tr w14:paraId="26D835C4">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AD4418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F40AA39">
            <w:pPr>
              <w:jc w:val="center"/>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资格性审查响应内容</w:t>
            </w: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7880297">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是否响应</w:t>
            </w:r>
          </w:p>
          <w:p w14:paraId="20072C3B">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（填是或者否）</w:t>
            </w: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37C1287">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投标文件中的</w:t>
            </w:r>
          </w:p>
          <w:p w14:paraId="63130587">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页码位置</w:t>
            </w:r>
          </w:p>
        </w:tc>
      </w:tr>
      <w:tr w14:paraId="6003FA21">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2B8F931">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15E208F">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9018A7D">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07B9E63">
            <w:pPr>
              <w:rPr>
                <w:rFonts w:ascii="宋体" w:hAnsi="宋体" w:cs="宋体"/>
                <w:color w:val="000000" w:themeColor="text1"/>
                <w:sz w:val="22"/>
                <w:highlight w:val="none"/>
                <w14:textFill>
                  <w14:solidFill>
                    <w14:schemeClr w14:val="tx1"/>
                  </w14:solidFill>
                </w14:textFill>
              </w:rPr>
            </w:pPr>
          </w:p>
        </w:tc>
      </w:tr>
      <w:tr w14:paraId="489DC23E">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D9EA0B7">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F57829B">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882CAE1">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6284EAE">
            <w:pPr>
              <w:rPr>
                <w:rFonts w:ascii="宋体" w:hAnsi="宋体" w:cs="宋体"/>
                <w:color w:val="000000" w:themeColor="text1"/>
                <w:sz w:val="22"/>
                <w:highlight w:val="none"/>
                <w14:textFill>
                  <w14:solidFill>
                    <w14:schemeClr w14:val="tx1"/>
                  </w14:solidFill>
                </w14:textFill>
              </w:rPr>
            </w:pPr>
          </w:p>
        </w:tc>
      </w:tr>
      <w:tr w14:paraId="5FEE8803">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8CBD2B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F6E618F">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1DD62F9">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2D03C8E">
            <w:pPr>
              <w:rPr>
                <w:rFonts w:ascii="宋体" w:hAnsi="宋体" w:cs="宋体"/>
                <w:color w:val="000000" w:themeColor="text1"/>
                <w:sz w:val="22"/>
                <w:highlight w:val="none"/>
                <w14:textFill>
                  <w14:solidFill>
                    <w14:schemeClr w14:val="tx1"/>
                  </w14:solidFill>
                </w14:textFill>
              </w:rPr>
            </w:pPr>
          </w:p>
        </w:tc>
      </w:tr>
      <w:tr w14:paraId="2F791F75">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0C2BA4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D8AC5EE">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0C51A0F">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74CDA73">
            <w:pPr>
              <w:rPr>
                <w:rFonts w:ascii="宋体" w:hAnsi="宋体" w:cs="宋体"/>
                <w:color w:val="000000" w:themeColor="text1"/>
                <w:sz w:val="22"/>
                <w:highlight w:val="none"/>
                <w14:textFill>
                  <w14:solidFill>
                    <w14:schemeClr w14:val="tx1"/>
                  </w14:solidFill>
                </w14:textFill>
              </w:rPr>
            </w:pPr>
          </w:p>
        </w:tc>
      </w:tr>
      <w:tr w14:paraId="19468F72">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8BAD4B6">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C0A3793">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3412F5B">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A2E2DC3">
            <w:pPr>
              <w:rPr>
                <w:rFonts w:ascii="宋体" w:hAnsi="宋体" w:cs="宋体"/>
                <w:color w:val="000000" w:themeColor="text1"/>
                <w:sz w:val="22"/>
                <w:highlight w:val="none"/>
                <w14:textFill>
                  <w14:solidFill>
                    <w14:schemeClr w14:val="tx1"/>
                  </w14:solidFill>
                </w14:textFill>
              </w:rPr>
            </w:pPr>
          </w:p>
        </w:tc>
      </w:tr>
    </w:tbl>
    <w:p w14:paraId="374CC1DC">
      <w:pPr>
        <w:spacing w:line="360" w:lineRule="auto"/>
        <w:jc w:val="left"/>
        <w:rPr>
          <w:rFonts w:ascii="宋体" w:hAnsi="宋体" w:cs="宋体"/>
          <w:color w:val="000000" w:themeColor="text1"/>
          <w:highlight w:val="none"/>
          <w14:textFill>
            <w14:solidFill>
              <w14:schemeClr w14:val="tx1"/>
            </w14:solidFill>
          </w14:textFill>
        </w:rPr>
      </w:pPr>
    </w:p>
    <w:p w14:paraId="3D8C2791">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30E181DA">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说明：如果行数不够，请自行增加。</w:t>
      </w:r>
    </w:p>
    <w:p w14:paraId="7FBFE14F">
      <w:pPr>
        <w:spacing w:line="360" w:lineRule="auto"/>
        <w:jc w:val="left"/>
        <w:rPr>
          <w:rFonts w:ascii="宋体" w:hAnsi="宋体" w:cs="宋体"/>
          <w:b/>
          <w:color w:val="000000" w:themeColor="text1"/>
          <w:highlight w:val="none"/>
          <w14:textFill>
            <w14:solidFill>
              <w14:schemeClr w14:val="tx1"/>
            </w14:solidFill>
          </w14:textFill>
        </w:rPr>
        <w:sectPr>
          <w:pgSz w:w="11906" w:h="16838"/>
          <w:pgMar w:top="850" w:right="850" w:bottom="850" w:left="1417" w:header="170" w:footer="680" w:gutter="0"/>
          <w:cols w:space="0" w:num="1"/>
          <w:docGrid w:linePitch="290" w:charSpace="0"/>
        </w:sectPr>
      </w:pPr>
    </w:p>
    <w:p w14:paraId="777407FC">
      <w:pPr>
        <w:rPr>
          <w:rFonts w:ascii="宋体" w:hAnsi="宋体" w:cs="宋体"/>
          <w:b/>
          <w:color w:val="000000" w:themeColor="text1"/>
          <w:highlight w:val="none"/>
          <w14:textFill>
            <w14:solidFill>
              <w14:schemeClr w14:val="tx1"/>
            </w14:solidFill>
          </w14:textFill>
        </w:rPr>
      </w:pPr>
    </w:p>
    <w:p w14:paraId="7E6A3BA1">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附件一、中小企业声明函格式</w:t>
      </w:r>
    </w:p>
    <w:p w14:paraId="5E4F5A5E">
      <w:pPr>
        <w:widowControl/>
        <w:adjustRightInd w:val="0"/>
        <w:spacing w:line="240" w:lineRule="atLeast"/>
        <w:ind w:left="420" w:leftChars="0"/>
        <w:jc w:val="center"/>
        <w:outlineLvl w:val="9"/>
        <w:rPr>
          <w:rFonts w:ascii="宋体" w:hAnsi="宋体" w:cs="宋体"/>
          <w:color w:val="000000" w:themeColor="text1"/>
          <w:kern w:val="0"/>
          <w:sz w:val="36"/>
          <w:szCs w:val="36"/>
          <w:highlight w:val="none"/>
          <w:lang w:val="zh-CN"/>
          <w14:textFill>
            <w14:solidFill>
              <w14:schemeClr w14:val="tx1"/>
            </w14:solidFill>
          </w14:textFill>
        </w:rPr>
      </w:pPr>
      <w:r>
        <w:rPr>
          <w:rFonts w:hint="eastAsia" w:ascii="宋体" w:hAnsi="宋体" w:cs="宋体"/>
          <w:color w:val="000000" w:themeColor="text1"/>
          <w:kern w:val="0"/>
          <w:sz w:val="36"/>
          <w:szCs w:val="36"/>
          <w:highlight w:val="none"/>
          <w:lang w:val="zh-CN"/>
          <w14:textFill>
            <w14:solidFill>
              <w14:schemeClr w14:val="tx1"/>
            </w14:solidFill>
          </w14:textFill>
        </w:rPr>
        <w:t>中小企业声明函（工程、服务）</w:t>
      </w:r>
    </w:p>
    <w:p w14:paraId="45ABD840">
      <w:pPr>
        <w:spacing w:line="360" w:lineRule="auto"/>
        <w:rPr>
          <w:color w:val="000000" w:themeColor="text1"/>
          <w:highlight w:val="none"/>
          <w14:textFill>
            <w14:solidFill>
              <w14:schemeClr w14:val="tx1"/>
            </w14:solidFill>
          </w14:textFill>
        </w:rPr>
      </w:pPr>
    </w:p>
    <w:p w14:paraId="2F96D432">
      <w:pPr>
        <w:autoSpaceDE w:val="0"/>
        <w:autoSpaceDN w:val="0"/>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本公司（联合体）郑重声明，根据《政府采购促进中小企业发展管理办法》（财库﹝2020﹞46 号）的规定，本公司（联合体）参加</w:t>
      </w:r>
      <w:r>
        <w:rPr>
          <w:color w:val="000000" w:themeColor="text1"/>
          <w:highlight w:val="none"/>
          <w:u w:val="single"/>
          <w14:textFill>
            <w14:solidFill>
              <w14:schemeClr w14:val="tx1"/>
            </w14:solidFill>
          </w14:textFill>
        </w:rPr>
        <w:t>（单位名称）</w:t>
      </w:r>
      <w:r>
        <w:rPr>
          <w:color w:val="000000" w:themeColor="text1"/>
          <w:highlight w:val="none"/>
          <w14:textFill>
            <w14:solidFill>
              <w14:schemeClr w14:val="tx1"/>
            </w14:solidFill>
          </w14:textFill>
        </w:rPr>
        <w:t>的</w:t>
      </w:r>
      <w:r>
        <w:rPr>
          <w:color w:val="000000" w:themeColor="text1"/>
          <w:highlight w:val="none"/>
          <w:u w:val="single"/>
          <w14:textFill>
            <w14:solidFill>
              <w14:schemeClr w14:val="tx1"/>
            </w14:solidFill>
          </w14:textFill>
        </w:rPr>
        <w:t>（项目名称）</w:t>
      </w:r>
      <w:r>
        <w:rPr>
          <w:color w:val="000000" w:themeColor="text1"/>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071FE2F0">
      <w:pPr>
        <w:autoSpaceDE w:val="0"/>
        <w:autoSpaceDN w:val="0"/>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（标的名称），属于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建筑业</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 xml:space="preserve">采购文件中明确的所属行业 </w:t>
      </w:r>
      <w:r>
        <w:rPr>
          <w:color w:val="000000" w:themeColor="text1"/>
          <w:highlight w:val="none"/>
          <w14:textFill>
            <w14:solidFill>
              <w14:schemeClr w14:val="tx1"/>
            </w14:solidFill>
          </w14:textFill>
        </w:rPr>
        <w:t>）；承建（承接）企业</w:t>
      </w:r>
      <w:r>
        <w:rPr>
          <w:rFonts w:hint="eastAsia"/>
          <w:color w:val="000000" w:themeColor="text1"/>
          <w:highlight w:val="none"/>
          <w14:textFill>
            <w14:solidFill>
              <w14:schemeClr w14:val="tx1"/>
            </w14:solidFill>
          </w14:textFill>
        </w:rPr>
        <w:t>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（企业名称），从业人员</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人，营业收入为</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万元，资产总额为</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万元，属于</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（中型企业、小型企业、微型企业）；</w:t>
      </w:r>
    </w:p>
    <w:p w14:paraId="5E173B2C">
      <w:pPr>
        <w:autoSpaceDE w:val="0"/>
        <w:autoSpaceDN w:val="0"/>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（标的名称），属于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建筑业</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 xml:space="preserve">采购文件中明确的所属行业 </w:t>
      </w:r>
      <w:r>
        <w:rPr>
          <w:color w:val="000000" w:themeColor="text1"/>
          <w:highlight w:val="none"/>
          <w14:textFill>
            <w14:solidFill>
              <w14:schemeClr w14:val="tx1"/>
            </w14:solidFill>
          </w14:textFill>
        </w:rPr>
        <w:t>）；承建（承接）企业</w:t>
      </w:r>
      <w:r>
        <w:rPr>
          <w:rFonts w:hint="eastAsia"/>
          <w:color w:val="000000" w:themeColor="text1"/>
          <w:highlight w:val="none"/>
          <w14:textFill>
            <w14:solidFill>
              <w14:schemeClr w14:val="tx1"/>
            </w14:solidFill>
          </w14:textFill>
        </w:rPr>
        <w:t>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（企业名称），从业人员</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人，营业收入为</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万元，资产总额为</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万元，属于</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（中型企业、小型企业、微型企业）；</w:t>
      </w:r>
    </w:p>
    <w:p w14:paraId="079E9B17">
      <w:pPr>
        <w:autoSpaceDE w:val="0"/>
        <w:autoSpaceDN w:val="0"/>
        <w:spacing w:line="360" w:lineRule="auto"/>
        <w:ind w:firstLine="420" w:firstLineChars="200"/>
        <w:rPr>
          <w:rFonts w:hint="eastAsia"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 xml:space="preserve"> </w:t>
      </w:r>
    </w:p>
    <w:p w14:paraId="669B6950">
      <w:pPr>
        <w:autoSpaceDE w:val="0"/>
        <w:autoSpaceDN w:val="0"/>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以上企业，不属于大企业的分支机构，不存在控股股东为大企业的情形，也不存在与大企业的负责人为同一人的情形。</w:t>
      </w:r>
    </w:p>
    <w:p w14:paraId="304258A3">
      <w:pPr>
        <w:ind w:firstLine="420"/>
        <w:rPr>
          <w:rFonts w:ascii="宋体"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本企业对上述声明内容的真实性负责。如有虚假，将依法承担相应责任。</w:t>
      </w:r>
    </w:p>
    <w:p w14:paraId="1D2A96B7">
      <w:pPr>
        <w:rPr>
          <w:rFonts w:ascii="宋体" w:hAnsi="宋体" w:cs="宋体"/>
          <w:color w:val="000000" w:themeColor="text1"/>
          <w:highlight w:val="none"/>
          <w14:textFill>
            <w14:solidFill>
              <w14:schemeClr w14:val="tx1"/>
            </w14:solidFill>
          </w14:textFill>
        </w:rPr>
      </w:pPr>
    </w:p>
    <w:p w14:paraId="735B086F">
      <w:pPr>
        <w:ind w:firstLine="4200" w:firstLineChars="20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企业名称（盖章）：</w:t>
      </w:r>
    </w:p>
    <w:p w14:paraId="58A7F6AD">
      <w:pPr>
        <w:ind w:firstLine="4200" w:firstLineChars="2000"/>
        <w:rPr>
          <w:rFonts w:ascii="宋体" w:hAnsi="宋体" w:cs="宋体"/>
          <w:color w:val="000000" w:themeColor="text1"/>
          <w:highlight w:val="none"/>
          <w14:textFill>
            <w14:solidFill>
              <w14:schemeClr w14:val="tx1"/>
            </w14:solidFill>
          </w14:textFill>
        </w:rPr>
      </w:pPr>
    </w:p>
    <w:p w14:paraId="0E4FB623">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日　　　　　　期：</w:t>
      </w:r>
    </w:p>
    <w:p w14:paraId="471C5246">
      <w:pPr>
        <w:spacing w:line="360" w:lineRule="auto"/>
        <w:jc w:val="lef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p>
    <w:p w14:paraId="72FDD0B9">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注2：从业人员、营业收入、资产总额填报上一年度数据，无上一年度数据的新成立企业可不填报。</w:t>
      </w:r>
    </w:p>
    <w:p w14:paraId="047052F4">
      <w:pPr>
        <w:pageBreakBefore w:val="0"/>
        <w:shd w:val="clear" w:color="auto" w:fill="auto"/>
        <w:kinsoku/>
        <w:overflowPunct/>
        <w:bidi w:val="0"/>
        <w:adjustRightInd w:val="0"/>
        <w:spacing w:line="360" w:lineRule="auto"/>
        <w:ind w:left="0" w:leftChars="0" w:right="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注3：投标人如不提供此声明函，价格将不做相应扣除。</w:t>
      </w:r>
    </w:p>
    <w:p w14:paraId="2ED95776">
      <w:pPr>
        <w:pageBreakBefore w:val="0"/>
        <w:shd w:val="clear" w:color="auto" w:fill="auto"/>
        <w:kinsoku/>
        <w:overflowPunct/>
        <w:bidi w:val="0"/>
        <w:adjustRightInd w:val="0"/>
        <w:spacing w:line="360" w:lineRule="auto"/>
        <w:ind w:left="0" w:leftChars="0" w:right="0"/>
        <w:rPr>
          <w:rFonts w:hint="eastAsia" w:ascii="宋体" w:hAnsi="宋体" w:eastAsia="宋体" w:cs="宋体"/>
          <w:snapToGrid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注4：</w:t>
      </w:r>
      <w:r>
        <w:rPr>
          <w:rFonts w:hint="eastAsia" w:ascii="宋体" w:hAnsi="宋体" w:eastAsia="宋体" w:cs="宋体"/>
          <w:snapToGrid w:val="0"/>
          <w:color w:val="000000" w:themeColor="text1"/>
          <w:sz w:val="21"/>
          <w:szCs w:val="21"/>
          <w:highlight w:val="none"/>
          <w:lang w:val="en-US" w:eastAsia="zh-CN"/>
          <w14:textFill>
            <w14:solidFill>
              <w14:schemeClr w14:val="tx1"/>
            </w14:solidFill>
          </w14:textFill>
        </w:rPr>
        <w:t>依据《</w:t>
      </w:r>
      <w:r>
        <w:rPr>
          <w:rFonts w:hint="eastAsia" w:ascii="宋体" w:hAnsi="宋体" w:eastAsia="宋体" w:cs="宋体"/>
          <w:snapToGrid w:val="0"/>
          <w:color w:val="000000" w:themeColor="text1"/>
          <w:sz w:val="21"/>
          <w:szCs w:val="21"/>
          <w:highlight w:val="none"/>
          <w14:textFill>
            <w14:solidFill>
              <w14:schemeClr w14:val="tx1"/>
            </w14:solidFill>
          </w14:textFill>
        </w:rPr>
        <w:t>关于印发中小企业划型标准规定的通知</w:t>
      </w:r>
      <w:r>
        <w:rPr>
          <w:rFonts w:hint="eastAsia" w:ascii="宋体" w:hAnsi="宋体" w:eastAsia="宋体" w:cs="宋体"/>
          <w:snapToGrid w:val="0"/>
          <w:color w:val="000000" w:themeColor="text1"/>
          <w:sz w:val="21"/>
          <w:szCs w:val="21"/>
          <w:highlight w:val="none"/>
          <w:lang w:val="en-US" w:eastAsia="zh-CN"/>
          <w14:textFill>
            <w14:solidFill>
              <w14:schemeClr w14:val="tx1"/>
            </w14:solidFill>
          </w14:textFill>
        </w:rPr>
        <w:t>》（</w:t>
      </w:r>
      <w:r>
        <w:rPr>
          <w:rFonts w:hint="eastAsia" w:ascii="宋体" w:hAnsi="宋体" w:eastAsia="宋体" w:cs="宋体"/>
          <w:snapToGrid w:val="0"/>
          <w:color w:val="000000" w:themeColor="text1"/>
          <w:sz w:val="21"/>
          <w:szCs w:val="21"/>
          <w:highlight w:val="none"/>
          <w14:textFill>
            <w14:solidFill>
              <w14:schemeClr w14:val="tx1"/>
            </w14:solidFill>
          </w14:textFill>
        </w:rPr>
        <w:t xml:space="preserve">工信部联企业〔2011〕300号 </w:t>
      </w:r>
      <w:r>
        <w:rPr>
          <w:rFonts w:hint="eastAsia" w:ascii="宋体" w:hAnsi="宋体" w:eastAsia="宋体" w:cs="宋体"/>
          <w:snapToGrid w:val="0"/>
          <w:color w:val="000000" w:themeColor="text1"/>
          <w:sz w:val="21"/>
          <w:szCs w:val="21"/>
          <w:highlight w:val="none"/>
          <w:lang w:val="en-US" w:eastAsia="zh-CN"/>
          <w14:textFill>
            <w14:solidFill>
              <w14:schemeClr w14:val="tx1"/>
            </w14:solidFill>
          </w14:textFill>
        </w:rPr>
        <w:t>）：</w:t>
      </w:r>
    </w:p>
    <w:p w14:paraId="7DF120EE">
      <w:pPr>
        <w:widowControl/>
        <w:adjustRightInd w:val="0"/>
        <w:spacing w:line="360" w:lineRule="auto"/>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 300万元以下或资产总额300万元以下的为微型企业。</w:t>
      </w:r>
    </w:p>
    <w:p w14:paraId="40FC25E3">
      <w:pPr>
        <w:widowControl/>
        <w:jc w:val="left"/>
        <w:rPr>
          <w:rFonts w:ascii="宋体" w:hAnsi="宋体" w:cs="宋体"/>
          <w:b/>
          <w:color w:val="000000" w:themeColor="text1"/>
          <w:highlight w:val="none"/>
          <w14:textFill>
            <w14:solidFill>
              <w14:schemeClr w14:val="tx1"/>
            </w14:solidFill>
          </w14:textFill>
        </w:rPr>
      </w:pPr>
    </w:p>
    <w:p w14:paraId="2816A422">
      <w:pPr>
        <w:widowControl/>
        <w:jc w:val="left"/>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br w:type="page"/>
      </w:r>
    </w:p>
    <w:p w14:paraId="31970955">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附件二、无重大违法记录声明格式</w:t>
      </w:r>
    </w:p>
    <w:p w14:paraId="3DAA79F9">
      <w:pPr>
        <w:widowControl/>
        <w:adjustRightInd w:val="0"/>
        <w:spacing w:line="240" w:lineRule="atLeast"/>
        <w:rPr>
          <w:rFonts w:ascii="宋体" w:hAnsi="宋体" w:cs="宋体"/>
          <w:b/>
          <w:color w:val="000000" w:themeColor="text1"/>
          <w:highlight w:val="none"/>
          <w14:textFill>
            <w14:solidFill>
              <w14:schemeClr w14:val="tx1"/>
            </w14:solidFill>
          </w14:textFill>
        </w:rPr>
      </w:pPr>
    </w:p>
    <w:p w14:paraId="2C04EE86">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无重大违法记录声明</w:t>
      </w:r>
    </w:p>
    <w:p w14:paraId="264A36D8">
      <w:pPr>
        <w:rPr>
          <w:rFonts w:ascii="宋体" w:hAnsi="宋体" w:cs="宋体"/>
          <w:color w:val="000000" w:themeColor="text1"/>
          <w:sz w:val="30"/>
          <w:szCs w:val="30"/>
          <w:highlight w:val="none"/>
          <w14:textFill>
            <w14:solidFill>
              <w14:schemeClr w14:val="tx1"/>
            </w14:solidFill>
          </w14:textFill>
        </w:rPr>
      </w:pPr>
    </w:p>
    <w:p w14:paraId="7446B6A6">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中国药科大学</w:t>
      </w:r>
      <w:r>
        <w:rPr>
          <w:rFonts w:hint="eastAsia" w:ascii="宋体" w:hAnsi="宋体" w:cs="宋体"/>
          <w:color w:val="000000" w:themeColor="text1"/>
          <w:highlight w:val="none"/>
          <w14:textFill>
            <w14:solidFill>
              <w14:schemeClr w14:val="tx1"/>
            </w14:solidFill>
          </w14:textFill>
        </w:rPr>
        <w:t>：</w:t>
      </w:r>
    </w:p>
    <w:p w14:paraId="1FBC2CA5">
      <w:pPr>
        <w:ind w:firstLine="420"/>
        <w:rPr>
          <w:rFonts w:ascii="宋体" w:hAnsi="宋体" w:cs="宋体"/>
          <w:color w:val="000000" w:themeColor="text1"/>
          <w:highlight w:val="none"/>
          <w14:textFill>
            <w14:solidFill>
              <w14:schemeClr w14:val="tx1"/>
            </w14:solidFill>
          </w14:textFill>
        </w:rPr>
      </w:pPr>
    </w:p>
    <w:p w14:paraId="1BFA7A1D">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我单位</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（供应商名称）郑重声明：</w:t>
      </w:r>
    </w:p>
    <w:p w14:paraId="7E62A0DC">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参加政府采购活动前3年内在经营活动中</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（在下划线上如实填写：有或没有）重大违法记录。</w:t>
      </w:r>
    </w:p>
    <w:p w14:paraId="5FF77286">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p>
    <w:p w14:paraId="6B72DF74">
      <w:pPr>
        <w:ind w:firstLine="420"/>
        <w:rPr>
          <w:rFonts w:ascii="宋体" w:hAnsi="宋体" w:cs="宋体"/>
          <w:color w:val="000000" w:themeColor="text1"/>
          <w:highlight w:val="none"/>
          <w14:textFill>
            <w14:solidFill>
              <w14:schemeClr w14:val="tx1"/>
            </w14:solidFill>
          </w14:textFill>
        </w:rPr>
      </w:pPr>
    </w:p>
    <w:p w14:paraId="6EF97E22">
      <w:pPr>
        <w:spacing w:line="360" w:lineRule="auto"/>
        <w:rPr>
          <w:rFonts w:ascii="宋体" w:hAnsi="宋体" w:cs="宋体"/>
          <w:color w:val="000000" w:themeColor="text1"/>
          <w:sz w:val="30"/>
          <w:szCs w:val="30"/>
          <w:highlight w:val="none"/>
          <w14:textFill>
            <w14:solidFill>
              <w14:schemeClr w14:val="tx1"/>
            </w14:solidFill>
          </w14:textFill>
        </w:rPr>
      </w:pPr>
    </w:p>
    <w:p w14:paraId="1ABF7767">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声明人：          （公章）</w:t>
      </w:r>
    </w:p>
    <w:p w14:paraId="540C4253">
      <w:pPr>
        <w:rPr>
          <w:rFonts w:ascii="宋体" w:hAnsi="宋体" w:cs="宋体"/>
          <w:color w:val="000000" w:themeColor="text1"/>
          <w:highlight w:val="none"/>
          <w14:textFill>
            <w14:solidFill>
              <w14:schemeClr w14:val="tx1"/>
            </w14:solidFill>
          </w14:textFill>
        </w:rPr>
      </w:pPr>
    </w:p>
    <w:p w14:paraId="4871A4CB">
      <w:pPr>
        <w:spacing w:line="360" w:lineRule="auto"/>
        <w:ind w:firstLine="211" w:firstLineChars="100"/>
        <w:rPr>
          <w:rFonts w:ascii="宋体" w:hAnsi="宋体" w:cs="宋体"/>
          <w:b/>
          <w:color w:val="000000" w:themeColor="text1"/>
          <w:highlight w:val="none"/>
          <w14:textFill>
            <w14:solidFill>
              <w14:schemeClr w14:val="tx1"/>
            </w14:solidFill>
          </w14:textFill>
        </w:rPr>
      </w:pPr>
    </w:p>
    <w:p w14:paraId="05642B33">
      <w:pPr>
        <w:spacing w:line="360" w:lineRule="auto"/>
        <w:ind w:firstLine="211" w:firstLineChars="100"/>
        <w:rPr>
          <w:rFonts w:ascii="宋体" w:hAnsi="宋体" w:cs="宋体"/>
          <w:b/>
          <w:color w:val="000000" w:themeColor="text1"/>
          <w:highlight w:val="none"/>
          <w14:textFill>
            <w14:solidFill>
              <w14:schemeClr w14:val="tx1"/>
            </w14:solidFill>
          </w14:textFill>
        </w:rPr>
      </w:pPr>
    </w:p>
    <w:p w14:paraId="4D57EE54">
      <w:pPr>
        <w:spacing w:line="360" w:lineRule="auto"/>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b/>
          <w:color w:val="000000" w:themeColor="text1"/>
          <w:highlight w:val="none"/>
          <w14:textFill>
            <w14:solidFill>
              <w14:schemeClr w14:val="tx1"/>
            </w14:solidFill>
          </w14:textFill>
        </w:rPr>
        <w:t>附件三：具备履行合同所必需的设备和专业技术能力的声明格式及证明材料</w:t>
      </w:r>
    </w:p>
    <w:p w14:paraId="0DB7D575">
      <w:pPr>
        <w:rPr>
          <w:rFonts w:ascii="宋体" w:hAnsi="宋体" w:cs="宋体"/>
          <w:b/>
          <w:color w:val="000000" w:themeColor="text1"/>
          <w:highlight w:val="none"/>
          <w14:textFill>
            <w14:solidFill>
              <w14:schemeClr w14:val="tx1"/>
            </w14:solidFill>
          </w14:textFill>
        </w:rPr>
      </w:pPr>
    </w:p>
    <w:p w14:paraId="76C997D5">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具备履行合同所必需的设备和专业技术能力的声明</w:t>
      </w:r>
    </w:p>
    <w:p w14:paraId="177EDA15">
      <w:pPr>
        <w:pStyle w:val="10"/>
        <w:rPr>
          <w:color w:val="000000" w:themeColor="text1"/>
          <w:highlight w:val="none"/>
          <w14:textFill>
            <w14:solidFill>
              <w14:schemeClr w14:val="tx1"/>
            </w14:solidFill>
          </w14:textFill>
        </w:rPr>
      </w:pPr>
    </w:p>
    <w:p w14:paraId="5AEBB1DB">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中国药科大学：</w:t>
      </w:r>
    </w:p>
    <w:p w14:paraId="5C3E792A">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14:paraId="0AD1A4D3">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主要设备有：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675A7E30">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主要专业技术能力有：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0D8A31AA">
      <w:pPr>
        <w:spacing w:line="360" w:lineRule="auto"/>
        <w:rPr>
          <w:rFonts w:ascii="宋体" w:hAnsi="宋体" w:cs="宋体"/>
          <w:color w:val="000000" w:themeColor="text1"/>
          <w:highlight w:val="none"/>
          <w14:textFill>
            <w14:solidFill>
              <w14:schemeClr w14:val="tx1"/>
            </w14:solidFill>
          </w14:textFill>
        </w:rPr>
      </w:pPr>
    </w:p>
    <w:p w14:paraId="6F112D23">
      <w:pPr>
        <w:spacing w:line="360" w:lineRule="auto"/>
        <w:rPr>
          <w:rFonts w:ascii="宋体" w:hAnsi="宋体" w:cs="宋体"/>
          <w:color w:val="000000" w:themeColor="text1"/>
          <w:highlight w:val="none"/>
          <w14:textFill>
            <w14:solidFill>
              <w14:schemeClr w14:val="tx1"/>
            </w14:solidFill>
          </w14:textFill>
        </w:rPr>
      </w:pPr>
    </w:p>
    <w:p w14:paraId="7F0EE72A">
      <w:pPr>
        <w:spacing w:line="360" w:lineRule="auto"/>
        <w:ind w:firstLine="5250" w:firstLineChars="25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声明人（公章）：</w:t>
      </w:r>
    </w:p>
    <w:p w14:paraId="5C9E2265">
      <w:pPr>
        <w:spacing w:line="360" w:lineRule="auto"/>
        <w:ind w:firstLine="5250" w:firstLineChars="25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  期：        年     月    日</w:t>
      </w:r>
    </w:p>
    <w:p w14:paraId="50B5C904">
      <w:pPr>
        <w:spacing w:line="360" w:lineRule="auto"/>
        <w:rPr>
          <w:rFonts w:ascii="宋体" w:hAnsi="宋体" w:cs="宋体"/>
          <w:color w:val="000000" w:themeColor="text1"/>
          <w:highlight w:val="none"/>
          <w14:textFill>
            <w14:solidFill>
              <w14:schemeClr w14:val="tx1"/>
            </w14:solidFill>
          </w14:textFill>
        </w:rPr>
      </w:pPr>
    </w:p>
    <w:p w14:paraId="27D476FF">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其他证明材料及文件：（如果投标人认为需要提供的话）  </w:t>
      </w:r>
    </w:p>
    <w:p w14:paraId="43C8E128">
      <w:pPr>
        <w:pStyle w:val="56"/>
        <w:widowControl/>
        <w:spacing w:before="20"/>
        <w:ind w:left="0"/>
        <w:outlineLvl w:val="9"/>
        <w:rPr>
          <w:rFonts w:hint="default" w:cs="宋体"/>
          <w:color w:val="000000" w:themeColor="text1"/>
          <w:highlight w:val="none"/>
          <w14:textFill>
            <w14:solidFill>
              <w14:schemeClr w14:val="tx1"/>
            </w14:solidFill>
          </w14:textFill>
        </w:rPr>
      </w:pPr>
    </w:p>
    <w:p w14:paraId="5EA940BC">
      <w:pPr>
        <w:pStyle w:val="56"/>
        <w:widowControl/>
        <w:spacing w:before="20"/>
        <w:ind w:left="0"/>
        <w:outlineLvl w:val="9"/>
        <w:rPr>
          <w:rFonts w:hint="default" w:cs="宋体"/>
          <w:color w:val="000000" w:themeColor="text1"/>
          <w:highlight w:val="none"/>
          <w14:textFill>
            <w14:solidFill>
              <w14:schemeClr w14:val="tx1"/>
            </w14:solidFill>
          </w14:textFill>
        </w:rPr>
      </w:pPr>
    </w:p>
    <w:p w14:paraId="64384068">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14:paraId="615062E3">
      <w:pPr>
        <w:widowControl/>
        <w:adjustRightInd w:val="0"/>
        <w:spacing w:line="240" w:lineRule="atLeast"/>
        <w:rPr>
          <w:rFonts w:ascii="宋体" w:hAnsi="宋体" w:cs="宋体"/>
          <w:b/>
          <w:color w:val="000000" w:themeColor="text1"/>
          <w:highlight w:val="none"/>
          <w14:textFill>
            <w14:solidFill>
              <w14:schemeClr w14:val="tx1"/>
            </w14:solidFill>
          </w14:textFill>
        </w:rPr>
      </w:pPr>
    </w:p>
    <w:p w14:paraId="54597EB8">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附件四、残疾人福利性单位声明函格式</w:t>
      </w:r>
    </w:p>
    <w:p w14:paraId="756721BB">
      <w:pPr>
        <w:pStyle w:val="10"/>
        <w:widowControl/>
        <w:rPr>
          <w:rFonts w:ascii="宋体" w:hAnsi="宋体" w:cs="宋体"/>
          <w:b/>
          <w:color w:val="000000" w:themeColor="text1"/>
          <w:highlight w:val="none"/>
          <w14:textFill>
            <w14:solidFill>
              <w14:schemeClr w14:val="tx1"/>
            </w14:solidFill>
          </w14:textFill>
        </w:rPr>
      </w:pPr>
    </w:p>
    <w:p w14:paraId="1CC643A4">
      <w:pPr>
        <w:pStyle w:val="10"/>
        <w:widowControl/>
        <w:rPr>
          <w:rFonts w:ascii="宋体" w:hAnsi="宋体" w:cs="宋体"/>
          <w:b/>
          <w:color w:val="000000" w:themeColor="text1"/>
          <w:highlight w:val="none"/>
          <w14:textFill>
            <w14:solidFill>
              <w14:schemeClr w14:val="tx1"/>
            </w14:solidFill>
          </w14:textFill>
        </w:rPr>
      </w:pPr>
    </w:p>
    <w:p w14:paraId="2E9A0194">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残疾人福利性单位声明函</w:t>
      </w:r>
    </w:p>
    <w:p w14:paraId="3ADA0A23">
      <w:pPr>
        <w:pStyle w:val="10"/>
        <w:widowControl/>
        <w:spacing w:before="7"/>
        <w:rPr>
          <w:rFonts w:ascii="宋体" w:hAnsi="宋体" w:cs="宋体"/>
          <w:b/>
          <w:color w:val="000000" w:themeColor="text1"/>
          <w:sz w:val="18"/>
          <w:highlight w:val="none"/>
          <w14:textFill>
            <w14:solidFill>
              <w14:schemeClr w14:val="tx1"/>
            </w14:solidFill>
          </w14:textFill>
        </w:rPr>
      </w:pPr>
    </w:p>
    <w:p w14:paraId="58C5A9FE">
      <w:pPr>
        <w:pStyle w:val="10"/>
        <w:widowControl/>
        <w:tabs>
          <w:tab w:val="left" w:pos="3711"/>
          <w:tab w:val="left" w:pos="5151"/>
        </w:tabs>
        <w:spacing w:line="422" w:lineRule="auto"/>
        <w:ind w:right="617"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本单位郑重声明</w:t>
      </w:r>
      <w:r>
        <w:rPr>
          <w:rFonts w:hint="eastAsia" w:ascii="宋体" w:hAnsi="宋体" w:cs="宋体"/>
          <w:color w:val="000000" w:themeColor="text1"/>
          <w:spacing w:val="-27"/>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根</w:t>
      </w:r>
      <w:r>
        <w:rPr>
          <w:rFonts w:hint="eastAsia" w:ascii="宋体" w:hAnsi="宋体" w:cs="宋体"/>
          <w:color w:val="000000" w:themeColor="text1"/>
          <w:spacing w:val="-24"/>
          <w:highlight w:val="none"/>
          <w14:textFill>
            <w14:solidFill>
              <w14:schemeClr w14:val="tx1"/>
            </w14:solidFill>
          </w14:textFill>
        </w:rPr>
        <w:t>据</w:t>
      </w:r>
      <w:r>
        <w:rPr>
          <w:rFonts w:hint="eastAsia" w:ascii="宋体" w:hAnsi="宋体" w:cs="宋体"/>
          <w:color w:val="000000" w:themeColor="text1"/>
          <w:highlight w:val="none"/>
          <w14:textFill>
            <w14:solidFill>
              <w14:schemeClr w14:val="tx1"/>
            </w14:solidFill>
          </w14:textFill>
        </w:rPr>
        <w:t>《财政部 民政部 中国残疾人联合会关于促进残疾人就业</w:t>
      </w:r>
      <w:r>
        <w:rPr>
          <w:rFonts w:hint="eastAsia" w:ascii="宋体" w:hAnsi="宋体" w:cs="宋体"/>
          <w:color w:val="000000" w:themeColor="text1"/>
          <w:spacing w:val="-18"/>
          <w:highlight w:val="none"/>
          <w14:textFill>
            <w14:solidFill>
              <w14:schemeClr w14:val="tx1"/>
            </w14:solidFill>
          </w14:textFill>
        </w:rPr>
        <w:t>政</w:t>
      </w:r>
      <w:r>
        <w:rPr>
          <w:rFonts w:hint="eastAsia" w:ascii="宋体" w:hAnsi="宋体" w:cs="宋体"/>
          <w:color w:val="000000" w:themeColor="text1"/>
          <w:highlight w:val="none"/>
          <w14:textFill>
            <w14:solidFill>
              <w14:schemeClr w14:val="tx1"/>
            </w14:solidFill>
          </w14:textFill>
        </w:rPr>
        <w:t>府采购政策的通知</w:t>
      </w:r>
      <w:r>
        <w:rPr>
          <w:rFonts w:hint="eastAsia" w:ascii="宋体" w:hAnsi="宋体" w:cs="宋体"/>
          <w:color w:val="000000" w:themeColor="text1"/>
          <w:spacing w:val="-39"/>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（财</w:t>
      </w:r>
      <w:r>
        <w:rPr>
          <w:rFonts w:hint="eastAsia" w:ascii="宋体" w:hAnsi="宋体" w:cs="宋体"/>
          <w:color w:val="000000" w:themeColor="text1"/>
          <w:spacing w:val="-17"/>
          <w:highlight w:val="none"/>
          <w14:textFill>
            <w14:solidFill>
              <w14:schemeClr w14:val="tx1"/>
            </w14:solidFill>
          </w14:textFill>
        </w:rPr>
        <w:t>库</w:t>
      </w:r>
      <w:r>
        <w:rPr>
          <w:rFonts w:hint="eastAsia" w:ascii="宋体" w:hAnsi="宋体" w:cs="宋体"/>
          <w:color w:val="000000" w:themeColor="text1"/>
          <w:highlight w:val="none"/>
          <w14:textFill>
            <w14:solidFill>
              <w14:schemeClr w14:val="tx1"/>
            </w14:solidFill>
          </w14:textFill>
        </w:rPr>
        <w:t>〔2017〕141号</w:t>
      </w:r>
      <w:r>
        <w:rPr>
          <w:rFonts w:hint="eastAsia" w:ascii="宋体" w:hAnsi="宋体" w:cs="宋体"/>
          <w:color w:val="000000" w:themeColor="text1"/>
          <w:spacing w:val="-20"/>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的规定</w:t>
      </w:r>
      <w:r>
        <w:rPr>
          <w:rFonts w:hint="eastAsia" w:ascii="宋体" w:hAnsi="宋体" w:cs="宋体"/>
          <w:color w:val="000000" w:themeColor="text1"/>
          <w:spacing w:val="-17"/>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本单位为符合条件的残疾人福</w:t>
      </w:r>
      <w:r>
        <w:rPr>
          <w:rFonts w:hint="eastAsia" w:ascii="宋体" w:hAnsi="宋体" w:cs="宋体"/>
          <w:color w:val="000000" w:themeColor="text1"/>
          <w:spacing w:val="-16"/>
          <w:highlight w:val="none"/>
          <w14:textFill>
            <w14:solidFill>
              <w14:schemeClr w14:val="tx1"/>
            </w14:solidFill>
          </w14:textFill>
        </w:rPr>
        <w:t>利</w:t>
      </w:r>
      <w:r>
        <w:rPr>
          <w:rFonts w:hint="eastAsia" w:ascii="宋体" w:hAnsi="宋体" w:cs="宋体"/>
          <w:color w:val="000000" w:themeColor="text1"/>
          <w:highlight w:val="none"/>
          <w14:textFill>
            <w14:solidFill>
              <w14:schemeClr w14:val="tx1"/>
            </w14:solidFill>
          </w14:textFill>
        </w:rPr>
        <w:t>性单位</w:t>
      </w:r>
      <w:r>
        <w:rPr>
          <w:rFonts w:hint="eastAsia" w:ascii="宋体" w:hAnsi="宋体" w:cs="宋体"/>
          <w:color w:val="000000" w:themeColor="text1"/>
          <w:spacing w:val="-27"/>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且本单位参加</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单位的</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项目采购活动提供本单位制造的货</w:t>
      </w:r>
      <w:r>
        <w:rPr>
          <w:rFonts w:hint="eastAsia" w:ascii="宋体" w:hAnsi="宋体" w:cs="宋体"/>
          <w:color w:val="000000" w:themeColor="text1"/>
          <w:spacing w:val="-24"/>
          <w:highlight w:val="none"/>
          <w14:textFill>
            <w14:solidFill>
              <w14:schemeClr w14:val="tx1"/>
            </w14:solidFill>
          </w14:textFill>
        </w:rPr>
        <w:t>物</w:t>
      </w:r>
      <w:r>
        <w:rPr>
          <w:rFonts w:hint="eastAsia" w:ascii="宋体" w:hAnsi="宋体" w:cs="宋体"/>
          <w:color w:val="000000" w:themeColor="text1"/>
          <w:highlight w:val="none"/>
          <w14:textFill>
            <w14:solidFill>
              <w14:schemeClr w14:val="tx1"/>
            </w14:solidFill>
          </w14:textFill>
        </w:rPr>
        <w:t>（由</w:t>
      </w:r>
      <w:r>
        <w:rPr>
          <w:rFonts w:hint="eastAsia" w:ascii="宋体" w:hAnsi="宋体" w:cs="宋体"/>
          <w:color w:val="000000" w:themeColor="text1"/>
          <w:spacing w:val="-18"/>
          <w:highlight w:val="none"/>
          <w14:textFill>
            <w14:solidFill>
              <w14:schemeClr w14:val="tx1"/>
            </w14:solidFill>
          </w14:textFill>
        </w:rPr>
        <w:t>本</w:t>
      </w:r>
      <w:r>
        <w:rPr>
          <w:rFonts w:hint="eastAsia" w:ascii="宋体" w:hAnsi="宋体" w:cs="宋体"/>
          <w:color w:val="000000" w:themeColor="text1"/>
          <w:highlight w:val="none"/>
          <w14:textFill>
            <w14:solidFill>
              <w14:schemeClr w14:val="tx1"/>
            </w14:solidFill>
          </w14:textFill>
        </w:rPr>
        <w:t>单位承担工程/提供服务），或者提供其他残疾人福利性单位制造的货物（不包括使用非残疾人福利性单位注册商标的货物）。</w:t>
      </w:r>
    </w:p>
    <w:p w14:paraId="450D9256">
      <w:pPr>
        <w:pStyle w:val="10"/>
        <w:widowControl/>
        <w:spacing w:before="3"/>
        <w:ind w:left="1098"/>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本单位对上述声明的真实性负责。如有虚假，将依法承担相应责任。</w:t>
      </w:r>
    </w:p>
    <w:p w14:paraId="10D3F1B0">
      <w:pPr>
        <w:pStyle w:val="10"/>
        <w:widowControl/>
        <w:spacing w:before="6"/>
        <w:rPr>
          <w:rFonts w:ascii="宋体" w:hAnsi="宋体" w:cs="宋体"/>
          <w:color w:val="000000" w:themeColor="text1"/>
          <w:sz w:val="18"/>
          <w:highlight w:val="none"/>
          <w14:textFill>
            <w14:solidFill>
              <w14:schemeClr w14:val="tx1"/>
            </w14:solidFill>
          </w14:textFill>
        </w:rPr>
      </w:pPr>
    </w:p>
    <w:p w14:paraId="2130E755">
      <w:pPr>
        <w:pStyle w:val="10"/>
        <w:widowControl/>
        <w:tabs>
          <w:tab w:val="left" w:pos="7098"/>
        </w:tabs>
        <w:spacing w:line="420" w:lineRule="auto"/>
        <w:ind w:right="2725"/>
        <w:rPr>
          <w:rFonts w:ascii="宋体" w:hAnsi="宋体" w:cs="宋体"/>
          <w:color w:val="000000" w:themeColor="text1"/>
          <w:spacing w:val="-9"/>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单位名称（盖章</w:t>
      </w:r>
      <w:r>
        <w:rPr>
          <w:rFonts w:hint="eastAsia" w:ascii="宋体" w:hAnsi="宋体" w:cs="宋体"/>
          <w:color w:val="000000" w:themeColor="text1"/>
          <w:spacing w:val="-9"/>
          <w:highlight w:val="none"/>
          <w14:textFill>
            <w14:solidFill>
              <w14:schemeClr w14:val="tx1"/>
            </w14:solidFill>
          </w14:textFill>
        </w:rPr>
        <w:t>）：</w:t>
      </w:r>
    </w:p>
    <w:p w14:paraId="6256A716">
      <w:pPr>
        <w:pStyle w:val="10"/>
        <w:widowControl/>
        <w:tabs>
          <w:tab w:val="left" w:pos="7098"/>
        </w:tabs>
        <w:spacing w:line="420" w:lineRule="auto"/>
        <w:ind w:right="2725"/>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9"/>
          <w:highlight w:val="none"/>
          <w14:textFill>
            <w14:solidFill>
              <w14:schemeClr w14:val="tx1"/>
            </w14:solidFill>
          </w14:textFill>
        </w:rPr>
        <w:t>日</w:t>
      </w:r>
      <w:r>
        <w:rPr>
          <w:rFonts w:hint="eastAsia" w:ascii="宋体" w:hAnsi="宋体" w:cs="宋体"/>
          <w:color w:val="000000" w:themeColor="text1"/>
          <w:highlight w:val="none"/>
          <w14:textFill>
            <w14:solidFill>
              <w14:schemeClr w14:val="tx1"/>
            </w14:solidFill>
          </w14:textFill>
        </w:rPr>
        <w:t>期</w:t>
      </w:r>
      <w:r>
        <w:rPr>
          <w:rFonts w:hint="eastAsia" w:ascii="宋体" w:hAnsi="宋体" w:cs="宋体"/>
          <w:color w:val="000000" w:themeColor="text1"/>
          <w:spacing w:val="-17"/>
          <w:highlight w:val="none"/>
          <w14:textFill>
            <w14:solidFill>
              <w14:schemeClr w14:val="tx1"/>
            </w14:solidFill>
          </w14:textFill>
        </w:rPr>
        <w:t>：</w:t>
      </w:r>
    </w:p>
    <w:p w14:paraId="5F338732">
      <w:pPr>
        <w:widowControl/>
        <w:adjustRightInd w:val="0"/>
        <w:spacing w:line="240" w:lineRule="atLeast"/>
        <w:rPr>
          <w:rFonts w:ascii="宋体" w:hAnsi="宋体" w:cs="宋体"/>
          <w:b/>
          <w:color w:val="000000" w:themeColor="text1"/>
          <w:highlight w:val="none"/>
          <w14:textFill>
            <w14:solidFill>
              <w14:schemeClr w14:val="tx1"/>
            </w14:solidFill>
          </w14:textFill>
        </w:rPr>
      </w:pPr>
    </w:p>
    <w:p w14:paraId="5B654382">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附件五、属于监狱企业的证明文件</w:t>
      </w:r>
    </w:p>
    <w:p w14:paraId="112927CF">
      <w:pPr>
        <w:pStyle w:val="10"/>
        <w:widowControl/>
        <w:rPr>
          <w:rFonts w:ascii="宋体" w:hAnsi="宋体" w:cs="宋体"/>
          <w:b/>
          <w:color w:val="000000" w:themeColor="text1"/>
          <w:highlight w:val="none"/>
          <w14:textFill>
            <w14:solidFill>
              <w14:schemeClr w14:val="tx1"/>
            </w14:solidFill>
          </w14:textFill>
        </w:rPr>
      </w:pPr>
    </w:p>
    <w:p w14:paraId="04EA3910">
      <w:pPr>
        <w:pStyle w:val="10"/>
        <w:widowControl/>
        <w:rPr>
          <w:rFonts w:ascii="宋体" w:hAnsi="宋体" w:cs="宋体"/>
          <w:b/>
          <w:color w:val="000000" w:themeColor="text1"/>
          <w:highlight w:val="none"/>
          <w14:textFill>
            <w14:solidFill>
              <w14:schemeClr w14:val="tx1"/>
            </w14:solidFill>
          </w14:textFill>
        </w:rPr>
      </w:pPr>
    </w:p>
    <w:p w14:paraId="5189FBD8">
      <w:pPr>
        <w:pStyle w:val="10"/>
        <w:widowControl/>
        <w:spacing w:before="165" w:line="422" w:lineRule="auto"/>
        <w:ind w:right="554" w:firstLine="480"/>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提供由省级以上监狱管理局、戒毒管理局（含新疆生产建设兵团）出具的属于监狱企业的证明文件</w:t>
      </w:r>
    </w:p>
    <w:p w14:paraId="603120B3">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14:paraId="4694A798">
      <w:pPr>
        <w:rPr>
          <w:rFonts w:ascii="宋体" w:hAnsi="宋体" w:cs="宋体"/>
          <w:b/>
          <w:color w:val="000000" w:themeColor="text1"/>
          <w:highlight w:val="none"/>
          <w14:textFill>
            <w14:solidFill>
              <w14:schemeClr w14:val="tx1"/>
            </w14:solidFill>
          </w14:textFill>
        </w:rPr>
      </w:pPr>
    </w:p>
    <w:p w14:paraId="1F83458F">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附件六、投标单位廉政承诺书</w:t>
      </w:r>
    </w:p>
    <w:p w14:paraId="747CFA2D">
      <w:pPr>
        <w:spacing w:line="360" w:lineRule="auto"/>
        <w:ind w:firstLine="643" w:firstLineChars="200"/>
        <w:jc w:val="center"/>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投标单位廉政承诺书</w:t>
      </w:r>
    </w:p>
    <w:p w14:paraId="0A21FC95">
      <w:pPr>
        <w:spacing w:line="360" w:lineRule="auto"/>
        <w:ind w:firstLine="480" w:firstLineChars="200"/>
        <w:jc w:val="center"/>
        <w:rPr>
          <w:color w:val="000000" w:themeColor="text1"/>
          <w:sz w:val="24"/>
          <w:szCs w:val="24"/>
          <w:highlight w:val="none"/>
          <w14:textFill>
            <w14:solidFill>
              <w14:schemeClr w14:val="tx1"/>
            </w14:solidFill>
          </w14:textFill>
        </w:rPr>
      </w:pPr>
    </w:p>
    <w:p w14:paraId="0950EAE0">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为充分体现公开、公平、公正、诚实信用原则，维护招标采购环节秩序，本单位承诺在参与</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项目投标过程中无任何违法、违规、违纪行为，自觉接受监督。承诺如下：</w:t>
      </w:r>
    </w:p>
    <w:p w14:paraId="1AA2F4D1">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1、不以不正当手段向招标人谋取资格预审及投标的不正当照顾。</w:t>
      </w:r>
    </w:p>
    <w:p w14:paraId="41DD8610">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2、不使用不正当手段妨碍、排挤其他投标单位。</w:t>
      </w:r>
    </w:p>
    <w:p w14:paraId="3D4FC2E9">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3、严格按照招标文件规定的方式进行投标，不隐瞒本单位任何真实情况。不以其他人名义投标或以其他方式弄虚作假，骗取中标。</w:t>
      </w:r>
    </w:p>
    <w:p w14:paraId="497C2B72">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4、不与其他投标人相互串标，不联合其他单位进行围标。</w:t>
      </w:r>
    </w:p>
    <w:p w14:paraId="700C78DA">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不以任何方式向招标相关人员或评标人员赠送礼品、礼金、有价证券等；不宴请或邀请招标相关人员参加娱乐消费、旅游等活动；不以任何形式报销招标相关人员及其亲友的各种票据、费用。不向任何涉及招标的部门和个人支付好处费、介绍费等，或购置、提供通讯工具、交通工具、各类电子设备等。</w:t>
      </w:r>
    </w:p>
    <w:p w14:paraId="20A2F553">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6、一旦发现招标相关人员在招标过程中有不廉洁行为，立即向招标方举报。</w:t>
      </w:r>
    </w:p>
    <w:p w14:paraId="61D38171">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7、中标后及时与招标人按招投标文件签订合同，不订立背离合同实质性内容的协议。</w:t>
      </w:r>
    </w:p>
    <w:p w14:paraId="00FAC0F1">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8、自愿将本承诺作为投标文件及合同的附件，具有同等法律效力。</w:t>
      </w:r>
    </w:p>
    <w:p w14:paraId="2153D11D">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9、若出现违反上述承诺或有关法律、法规及贵单位相关规定，三年内不参与贵单位所有采购项目投标，无条件承担招标人或相关部门在各类媒体公开我单位“不诚信或不廉洁”信息所造成的一切后果。并承担贵单位相关损失以及一切法律责任。</w:t>
      </w:r>
    </w:p>
    <w:p w14:paraId="441FEA1C">
      <w:pPr>
        <w:spacing w:line="360" w:lineRule="auto"/>
        <w:ind w:firstLine="480" w:firstLineChars="200"/>
        <w:rPr>
          <w:color w:val="000000" w:themeColor="text1"/>
          <w:sz w:val="24"/>
          <w:szCs w:val="24"/>
          <w:highlight w:val="none"/>
          <w14:textFill>
            <w14:solidFill>
              <w14:schemeClr w14:val="tx1"/>
            </w14:solidFill>
          </w14:textFill>
        </w:rPr>
      </w:pPr>
    </w:p>
    <w:p w14:paraId="33FA9F7F">
      <w:pPr>
        <w:spacing w:line="360" w:lineRule="auto"/>
        <w:ind w:firstLine="5040" w:firstLineChars="21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法定代表人（签名）：</w:t>
      </w:r>
    </w:p>
    <w:p w14:paraId="7B97AEB8">
      <w:pPr>
        <w:spacing w:line="360" w:lineRule="auto"/>
        <w:ind w:firstLine="5040" w:firstLineChars="21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单位盖章：</w:t>
      </w:r>
    </w:p>
    <w:p w14:paraId="615A59D3">
      <w:pPr>
        <w:spacing w:line="360" w:lineRule="auto"/>
        <w:ind w:firstLine="5040" w:firstLineChars="21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承诺日期：   年  月  日</w:t>
      </w:r>
    </w:p>
    <w:p w14:paraId="222983F2">
      <w:pPr>
        <w:rPr>
          <w:color w:val="000000" w:themeColor="text1"/>
          <w:sz w:val="28"/>
          <w:szCs w:val="28"/>
          <w:highlight w:val="none"/>
          <w14:textFill>
            <w14:solidFill>
              <w14:schemeClr w14:val="tx1"/>
            </w14:solidFill>
          </w14:textFill>
        </w:rPr>
      </w:pPr>
    </w:p>
    <w:p w14:paraId="6E77AA44">
      <w:pPr>
        <w:widowControl/>
        <w:jc w:val="left"/>
        <w:rPr>
          <w:rFonts w:asciiTheme="minorEastAsia" w:hAnsiTheme="minorEastAsia" w:eastAsiaTheme="minorEastAsia"/>
          <w:b/>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br w:type="page"/>
      </w:r>
    </w:p>
    <w:p w14:paraId="389DA91D">
      <w:pPr>
        <w:rPr>
          <w:rFonts w:ascii="宋体" w:hAnsi="宋体" w:cs="宋体"/>
          <w:b/>
          <w:color w:val="000000" w:themeColor="text1"/>
          <w:highlight w:val="none"/>
          <w14:textFill>
            <w14:solidFill>
              <w14:schemeClr w14:val="tx1"/>
            </w14:solidFill>
          </w14:textFill>
        </w:rPr>
      </w:pPr>
    </w:p>
    <w:p w14:paraId="6E19611A">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附件七 、承诺书</w:t>
      </w:r>
    </w:p>
    <w:p w14:paraId="16720FA1">
      <w:pPr>
        <w:widowControl/>
        <w:jc w:val="center"/>
        <w:rPr>
          <w:rFonts w:asciiTheme="minorEastAsia" w:hAnsiTheme="minorEastAsia" w:eastAsiaTheme="minorEastAsia"/>
          <w:color w:val="000000" w:themeColor="text1"/>
          <w:highlight w:val="none"/>
          <w14:textFill>
            <w14:solidFill>
              <w14:schemeClr w14:val="tx1"/>
            </w14:solidFill>
          </w14:textFill>
        </w:rPr>
      </w:pPr>
    </w:p>
    <w:p w14:paraId="3ADC69A2">
      <w:pPr>
        <w:pStyle w:val="24"/>
        <w:spacing w:before="73" w:after="73" w:line="320" w:lineRule="exact"/>
        <w:rPr>
          <w:rFonts w:hint="default"/>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（1）本单位（公司名称） 郑重承诺对于 （项目名称） 采购活动</w:t>
      </w:r>
      <w:r>
        <w:rPr>
          <w:color w:val="000000" w:themeColor="text1"/>
          <w:sz w:val="21"/>
          <w:highlight w:val="none"/>
          <w:lang w:val="zh-CN"/>
          <w14:textFill>
            <w14:solidFill>
              <w14:schemeClr w14:val="tx1"/>
            </w14:solidFill>
          </w14:textFill>
        </w:rPr>
        <w:t>：</w:t>
      </w:r>
      <w:r>
        <w:rPr>
          <w:color w:val="000000" w:themeColor="text1"/>
          <w:sz w:val="21"/>
          <w:highlight w:val="none"/>
          <w14:textFill>
            <w14:solidFill>
              <w14:schemeClr w14:val="tx1"/>
            </w14:solidFill>
          </w14:textFill>
        </w:rPr>
        <w:t>在参加本次政府采购活动不存在与参加本项目的其他供应商单位负责人为同一人或者存在直接控股、管理关系情形。</w:t>
      </w:r>
    </w:p>
    <w:p w14:paraId="269624E4">
      <w:pPr>
        <w:pStyle w:val="24"/>
        <w:spacing w:before="73" w:after="73" w:line="320" w:lineRule="exact"/>
        <w:rPr>
          <w:rFonts w:hint="default"/>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（2）我单位没有为采购项目提供整体设计、规范编制或者项目管理、监理、检测等服务。</w:t>
      </w:r>
    </w:p>
    <w:p w14:paraId="7ABF3B09">
      <w:pPr>
        <w:pStyle w:val="24"/>
        <w:spacing w:before="73" w:after="73" w:line="320" w:lineRule="exact"/>
        <w:rPr>
          <w:rFonts w:hint="default"/>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（3）我单位未被列入失信被执行人、重大税收违法失信主体、政府采购严重违法失信行为记录名单中。</w:t>
      </w:r>
    </w:p>
    <w:p w14:paraId="73A4B7B9">
      <w:pPr>
        <w:pStyle w:val="54"/>
        <w:rPr>
          <w:rFonts w:ascii="宋体" w:hAnsi="宋体"/>
          <w:color w:val="000000" w:themeColor="text1"/>
          <w:szCs w:val="21"/>
          <w:highlight w:val="none"/>
          <w14:textFill>
            <w14:solidFill>
              <w14:schemeClr w14:val="tx1"/>
            </w14:solidFill>
          </w14:textFill>
        </w:rPr>
      </w:pPr>
    </w:p>
    <w:p w14:paraId="1D1718F0">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声明人：（公章）</w:t>
      </w:r>
    </w:p>
    <w:p w14:paraId="7A776218">
      <w:pPr>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日期：______年月日</w:t>
      </w:r>
    </w:p>
    <w:p w14:paraId="5D1750C2">
      <w:pPr>
        <w:pStyle w:val="56"/>
        <w:widowControl/>
        <w:ind w:left="0"/>
        <w:outlineLvl w:val="9"/>
        <w:rPr>
          <w:rFonts w:hint="default" w:cs="宋体"/>
          <w:color w:val="000000" w:themeColor="text1"/>
          <w:highlight w:val="none"/>
          <w14:textFill>
            <w14:solidFill>
              <w14:schemeClr w14:val="tx1"/>
            </w14:solidFill>
          </w14:textFill>
        </w:rPr>
      </w:pPr>
    </w:p>
    <w:p w14:paraId="716445BB">
      <w:pPr>
        <w:pStyle w:val="56"/>
        <w:widowControl/>
        <w:ind w:left="0"/>
        <w:outlineLvl w:val="9"/>
        <w:rPr>
          <w:rFonts w:hint="default" w:asciiTheme="minorEastAsia" w:hAnsiTheme="minorEastAsia" w:eastAsiaTheme="minorEastAsia"/>
          <w:color w:val="000000" w:themeColor="text1"/>
          <w:kern w:val="2"/>
          <w:sz w:val="21"/>
          <w:szCs w:val="20"/>
          <w:highlight w:val="none"/>
          <w14:textFill>
            <w14:solidFill>
              <w14:schemeClr w14:val="tx1"/>
            </w14:solidFill>
          </w14:textFill>
        </w:rPr>
      </w:pPr>
    </w:p>
    <w:p w14:paraId="416FFDED">
      <w:pPr>
        <w:spacing w:line="360" w:lineRule="auto"/>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b/>
          <w:color w:val="000000" w:themeColor="text1"/>
          <w:highlight w:val="none"/>
          <w14:textFill>
            <w14:solidFill>
              <w14:schemeClr w14:val="tx1"/>
            </w14:solidFill>
          </w14:textFill>
        </w:rPr>
        <w:t>附件八、符合法律、行政法规规定的其他条件承诺书格式</w:t>
      </w:r>
    </w:p>
    <w:p w14:paraId="5C0EF455">
      <w:pPr>
        <w:adjustRightInd w:val="0"/>
        <w:snapToGrid w:val="0"/>
        <w:spacing w:line="360" w:lineRule="auto"/>
        <w:ind w:left="420" w:leftChars="200"/>
        <w:rPr>
          <w:rFonts w:ascii="宋体" w:hAnsi="宋体" w:cs="宋体"/>
          <w:color w:val="000000" w:themeColor="text1"/>
          <w:sz w:val="24"/>
          <w:szCs w:val="24"/>
          <w:highlight w:val="none"/>
          <w14:textFill>
            <w14:solidFill>
              <w14:schemeClr w14:val="tx1"/>
            </w14:solidFill>
          </w14:textFill>
        </w:rPr>
      </w:pPr>
    </w:p>
    <w:p w14:paraId="5DFBE938">
      <w:pPr>
        <w:adjustRightInd w:val="0"/>
        <w:snapToGrid w:val="0"/>
        <w:spacing w:line="360" w:lineRule="auto"/>
        <w:ind w:firstLine="602" w:firstLineChars="200"/>
        <w:jc w:val="center"/>
        <w:rPr>
          <w:rFonts w:ascii="宋体" w:hAnsi="宋体" w:cs="宋体"/>
          <w:b/>
          <w:bCs/>
          <w:color w:val="000000" w:themeColor="text1"/>
          <w:sz w:val="30"/>
          <w:szCs w:val="30"/>
          <w:highlight w:val="none"/>
          <w14:textFill>
            <w14:solidFill>
              <w14:schemeClr w14:val="tx1"/>
            </w14:solidFill>
          </w14:textFill>
        </w:rPr>
      </w:pPr>
    </w:p>
    <w:p w14:paraId="36DDA900">
      <w:pPr>
        <w:adjustRightInd w:val="0"/>
        <w:snapToGrid w:val="0"/>
        <w:spacing w:line="360" w:lineRule="auto"/>
        <w:ind w:firstLine="602" w:firstLineChars="200"/>
        <w:jc w:val="center"/>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符合法律、行政法规规定的其他条件承诺书格式</w:t>
      </w:r>
    </w:p>
    <w:p w14:paraId="4BBBF68B">
      <w:pPr>
        <w:adjustRightInd w:val="0"/>
        <w:snapToGrid w:val="0"/>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中国药科大学：</w:t>
      </w:r>
    </w:p>
    <w:p w14:paraId="7A585232">
      <w:pPr>
        <w:adjustRightInd w:val="0"/>
        <w:snapToGrid w:val="0"/>
        <w:spacing w:line="360" w:lineRule="auto"/>
        <w:ind w:firstLine="1200" w:firstLineChars="500"/>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我单位</w:t>
      </w:r>
      <w:r>
        <w:rPr>
          <w:rFonts w:hint="eastAsia" w:ascii="宋体" w:hAnsi="宋体" w:cs="宋体"/>
          <w:color w:val="000000" w:themeColor="text1"/>
          <w:sz w:val="24"/>
          <w:szCs w:val="24"/>
          <w:highlight w:val="none"/>
          <w:u w:val="single"/>
          <w14:textFill>
            <w14:solidFill>
              <w14:schemeClr w14:val="tx1"/>
            </w14:solidFill>
          </w14:textFill>
        </w:rPr>
        <w:t xml:space="preserve">  （供应商名称）</w:t>
      </w:r>
      <w:r>
        <w:rPr>
          <w:rFonts w:hint="eastAsia" w:ascii="宋体" w:hAnsi="宋体" w:cs="宋体"/>
          <w:color w:val="000000" w:themeColor="text1"/>
          <w:sz w:val="24"/>
          <w:szCs w:val="24"/>
          <w:highlight w:val="none"/>
          <w14:textFill>
            <w14:solidFill>
              <w14:schemeClr w14:val="tx1"/>
            </w14:solidFill>
          </w14:textFill>
        </w:rPr>
        <w:t>郑重声明：我单位符合并满足法律、行政法规规定的其他条件。</w:t>
      </w:r>
    </w:p>
    <w:p w14:paraId="56FA3347">
      <w:pPr>
        <w:adjustRightInd w:val="0"/>
        <w:snapToGrid w:val="0"/>
        <w:spacing w:line="360" w:lineRule="auto"/>
        <w:ind w:firstLine="480" w:firstLineChars="200"/>
        <w:jc w:val="righ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声明人：（公章）</w:t>
      </w:r>
    </w:p>
    <w:p w14:paraId="11A293A4">
      <w:pPr>
        <w:adjustRightInd w:val="0"/>
        <w:snapToGrid w:val="0"/>
        <w:spacing w:line="360" w:lineRule="auto"/>
        <w:ind w:firstLine="480" w:firstLineChars="200"/>
        <w:jc w:val="center"/>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日期：    年    月    日</w:t>
      </w:r>
    </w:p>
    <w:p w14:paraId="2731E8F3">
      <w:pPr>
        <w:pStyle w:val="56"/>
        <w:widowControl/>
        <w:ind w:left="0"/>
        <w:outlineLvl w:val="9"/>
        <w:rPr>
          <w:rFonts w:hint="default" w:cs="宋体"/>
          <w:color w:val="000000" w:themeColor="text1"/>
          <w:highlight w:val="none"/>
          <w14:textFill>
            <w14:solidFill>
              <w14:schemeClr w14:val="tx1"/>
            </w14:solidFill>
          </w14:textFill>
        </w:rPr>
      </w:pPr>
    </w:p>
    <w:sectPr>
      <w:footerReference r:id="rId10" w:type="default"/>
      <w:pgSz w:w="11906" w:h="16838"/>
      <w:pgMar w:top="1418" w:right="1418" w:bottom="1418" w:left="1418" w:header="510" w:footer="680" w:gutter="0"/>
      <w:cols w:space="720" w:num="1"/>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FF6D524-9189-4C85-BB20-CFDFCBE313D7}"/>
  </w:font>
  <w:font w:name="黑体">
    <w:panose1 w:val="02010609060101010101"/>
    <w:charset w:val="86"/>
    <w:family w:val="auto"/>
    <w:pitch w:val="default"/>
    <w:sig w:usb0="800002BF" w:usb1="38CF7CFA" w:usb2="00000016" w:usb3="00000000" w:csb0="00040001" w:csb1="00000000"/>
    <w:embedRegular r:id="rId2" w:fontKey="{13FFAB07-FCC5-449D-93D4-2425FC79EB1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embedRegular r:id="rId3" w:fontKey="{9B4D21A1-31D4-4C47-B992-A1678194081E}"/>
  </w:font>
  <w:font w:name="仿宋_GB2312">
    <w:panose1 w:val="02010609030101010101"/>
    <w:charset w:val="86"/>
    <w:family w:val="modern"/>
    <w:pitch w:val="default"/>
    <w:sig w:usb0="00000001" w:usb1="080E0000" w:usb2="00000000" w:usb3="00000000" w:csb0="00040000" w:csb1="00000000"/>
    <w:embedRegular r:id="rId4" w:fontKey="{39904F1D-18A5-4B7E-9C54-FE0FC69C4CF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
    <w:altName w:val="Times New Roman"/>
    <w:panose1 w:val="00000000000000000000"/>
    <w:charset w:val="00"/>
    <w:family w:val="roman"/>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003F01FF" w:csb1="00000000"/>
  </w:font>
  <w:font w:name="KNLe">
    <w:altName w:val="Times New Roman"/>
    <w:panose1 w:val="00000000000000000000"/>
    <w:charset w:val="00"/>
    <w:family w:val="roman"/>
    <w:pitch w:val="default"/>
    <w:sig w:usb0="00000000" w:usb1="00000000" w:usb2="00000000" w:usb3="00000000" w:csb0="00000001" w:csb1="00000000"/>
  </w:font>
  <w:font w:name="Garamond">
    <w:altName w:val="仓耳渔阳体 W05"/>
    <w:panose1 w:val="02020404030301010803"/>
    <w:charset w:val="00"/>
    <w:family w:val="roman"/>
    <w:pitch w:val="default"/>
    <w:sig w:usb0="00000000" w:usb1="00000000" w:usb2="00000000" w:usb3="00000000" w:csb0="0000009F" w:csb1="DFD70000"/>
  </w:font>
  <w:font w:name="仿宋">
    <w:panose1 w:val="02010609060101010101"/>
    <w:charset w:val="86"/>
    <w:family w:val="modern"/>
    <w:pitch w:val="default"/>
    <w:sig w:usb0="800002BF" w:usb1="38CF7CFA" w:usb2="00000016" w:usb3="00000000" w:csb0="00040001" w:csb1="00000000"/>
    <w:embedRegular r:id="rId5" w:fontKey="{9FD81D43-F309-4B09-809D-3B174CD69BC4}"/>
  </w:font>
  <w:font w:name="微软雅黑">
    <w:panose1 w:val="020B0503020204020204"/>
    <w:charset w:val="86"/>
    <w:family w:val="swiss"/>
    <w:pitch w:val="default"/>
    <w:sig w:usb0="80000287" w:usb1="2ACF3C50" w:usb2="00000016" w:usb3="00000000" w:csb0="0004001F" w:csb1="00000000"/>
    <w:embedRegular r:id="rId6" w:fontKey="{DF55108F-4455-42C0-9CAB-57478CA7B00B}"/>
  </w:font>
  <w:font w:name="华文中宋">
    <w:panose1 w:val="02010600040101010101"/>
    <w:charset w:val="86"/>
    <w:family w:val="auto"/>
    <w:pitch w:val="default"/>
    <w:sig w:usb0="00000287" w:usb1="080F0000" w:usb2="00000000" w:usb3="00000000" w:csb0="0004009F" w:csb1="DFD70000"/>
    <w:embedRegular r:id="rId7" w:fontKey="{20E15025-457D-4B7A-BDB5-9A6E875AF7F4}"/>
  </w:font>
  <w:font w:name="方正仿宋_GBK">
    <w:panose1 w:val="03000509000000000000"/>
    <w:charset w:val="86"/>
    <w:family w:val="script"/>
    <w:pitch w:val="default"/>
    <w:sig w:usb0="00000001" w:usb1="080E0000" w:usb2="00000000" w:usb3="00000000" w:csb0="00040000" w:csb1="00000000"/>
    <w:embedRegular r:id="rId8" w:fontKey="{B6D872E1-586F-4161-87B4-8B7FC92B535F}"/>
  </w:font>
  <w:font w:name="WPSEMBED1">
    <w:panose1 w:val="02010609030101010101"/>
    <w:charset w:val="86"/>
    <w:family w:val="auto"/>
    <w:pitch w:val="default"/>
    <w:sig w:usb0="00000001" w:usb1="080E0000" w:usb2="00000000" w:usb3="00000000" w:csb0="00040000" w:csb1="00000000"/>
  </w:font>
  <w:font w:name="仓耳渔阳体 W05">
    <w:panose1 w:val="02020400000000000000"/>
    <w:charset w:val="80"/>
    <w:family w:val="auto"/>
    <w:pitch w:val="default"/>
    <w:sig w:usb0="80000023" w:usb1="08C10458" w:usb2="00000012" w:usb3="00000000" w:csb0="00020001" w:csb1="00000000"/>
  </w:font>
  <w:font w:name="WPSEMBED2">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650B3">
    <w:pPr>
      <w:pStyle w:val="1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86435" cy="147955"/>
              <wp:effectExtent l="0" t="0" r="0" b="0"/>
              <wp:wrapNone/>
              <wp:docPr id="4" name="文本框 1"/>
              <wp:cNvGraphicFramePr/>
              <a:graphic xmlns:a="http://schemas.openxmlformats.org/drawingml/2006/main">
                <a:graphicData uri="http://schemas.microsoft.com/office/word/2010/wordprocessingShape">
                  <wps:wsp>
                    <wps:cNvSpPr txBox="1"/>
                    <wps:spPr>
                      <a:xfrm>
                        <a:off x="0" y="0"/>
                        <a:ext cx="686435" cy="147955"/>
                      </a:xfrm>
                      <a:prstGeom prst="rect">
                        <a:avLst/>
                      </a:prstGeom>
                      <a:noFill/>
                      <a:ln>
                        <a:noFill/>
                      </a:ln>
                    </wps:spPr>
                    <wps:txbx>
                      <w:txbxContent>
                        <w:p w14:paraId="5D4E7AD2">
                          <w:pPr>
                            <w:pStyle w:val="18"/>
                          </w:pPr>
                          <w:r>
                            <w:t xml:space="preserve">第 </w:t>
                          </w:r>
                          <w:r>
                            <w:fldChar w:fldCharType="begin"/>
                          </w:r>
                          <w:r>
                            <w:instrText xml:space="preserve"> PAGE  \* MERGEFORMAT </w:instrText>
                          </w:r>
                          <w:r>
                            <w:fldChar w:fldCharType="separate"/>
                          </w:r>
                          <w:r>
                            <w:t>20</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65pt;width:54.05pt;mso-position-horizontal:center;mso-position-horizontal-relative:margin;mso-wrap-style:none;z-index:251659264;mso-width-relative:page;mso-height-relative:page;" filled="f" stroked="f" coordsize="21600,21600" o:gfxdata="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Oybzr0QAAAAQBAAAPAAAAAAAAAAEAIAAAACIAAABkcnMvZG93&#10;bnJldi54bWxQSwECFAAUAAAACACHTuJADoAlzs4BAACXAwAADgAAAAAAAAABACAAAAAgAQAAZHJz&#10;L2Uyb0RvYy54bWxQSwUGAAAAAAYABgBZAQAAYAUAAAAA&#10;">
              <v:fill on="f" focussize="0,0"/>
              <v:stroke on="f"/>
              <v:imagedata o:title=""/>
              <o:lock v:ext="edit" aspectratio="f"/>
              <v:textbox inset="0mm,0mm,0mm,0mm" style="mso-fit-shape-to-text:t;">
                <w:txbxContent>
                  <w:p w14:paraId="5D4E7AD2">
                    <w:pPr>
                      <w:pStyle w:val="18"/>
                    </w:pPr>
                    <w:r>
                      <w:t xml:space="preserve">第 </w:t>
                    </w:r>
                    <w:r>
                      <w:fldChar w:fldCharType="begin"/>
                    </w:r>
                    <w:r>
                      <w:instrText xml:space="preserve"> PAGE  \* MERGEFORMAT </w:instrText>
                    </w:r>
                    <w:r>
                      <w:fldChar w:fldCharType="separate"/>
                    </w:r>
                    <w:r>
                      <w:t>20</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93372">
    <w:pPr>
      <w:pStyle w:val="1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86435" cy="147955"/>
              <wp:effectExtent l="0" t="0" r="0" b="0"/>
              <wp:wrapNone/>
              <wp:docPr id="5" name="文本框 1"/>
              <wp:cNvGraphicFramePr/>
              <a:graphic xmlns:a="http://schemas.openxmlformats.org/drawingml/2006/main">
                <a:graphicData uri="http://schemas.microsoft.com/office/word/2010/wordprocessingShape">
                  <wps:wsp>
                    <wps:cNvSpPr txBox="1"/>
                    <wps:spPr>
                      <a:xfrm>
                        <a:off x="0" y="0"/>
                        <a:ext cx="686435" cy="147955"/>
                      </a:xfrm>
                      <a:prstGeom prst="rect">
                        <a:avLst/>
                      </a:prstGeom>
                      <a:noFill/>
                      <a:ln>
                        <a:noFill/>
                      </a:ln>
                    </wps:spPr>
                    <wps:txbx>
                      <w:txbxContent>
                        <w:p w14:paraId="33A4151B">
                          <w:pPr>
                            <w:pStyle w:val="18"/>
                          </w:pPr>
                          <w:r>
                            <w:t xml:space="preserve">第 </w:t>
                          </w:r>
                          <w:r>
                            <w:fldChar w:fldCharType="begin"/>
                          </w:r>
                          <w:r>
                            <w:instrText xml:space="preserve"> PAGE  \* MERGEFORMAT </w:instrText>
                          </w:r>
                          <w:r>
                            <w:fldChar w:fldCharType="separate"/>
                          </w:r>
                          <w:r>
                            <w:t>27</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65pt;width:54.05pt;mso-position-horizontal:center;mso-position-horizontal-relative:margin;mso-wrap-style:none;z-index:251660288;mso-width-relative:page;mso-height-relative:page;" filled="f" stroked="f" coordsize="21600,21600" o:gfxdata="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Dsm869EAAAAEAQAADwAAAAAAAAABACAAAAAiAAAAZHJzL2Rv&#10;d25yZXYueG1sUEsBAhQAFAAAAAgAh07iQGvpyqvPAQAAlwMAAA4AAAAAAAAAAQAgAAAAIAEAAGRy&#10;cy9lMm9Eb2MueG1sUEsFBgAAAAAGAAYAWQEAAGEFAAAAAA==&#10;">
              <v:fill on="f" focussize="0,0"/>
              <v:stroke on="f"/>
              <v:imagedata o:title=""/>
              <o:lock v:ext="edit" aspectratio="f"/>
              <v:textbox inset="0mm,0mm,0mm,0mm" style="mso-fit-shape-to-text:t;">
                <w:txbxContent>
                  <w:p w14:paraId="33A4151B">
                    <w:pPr>
                      <w:pStyle w:val="18"/>
                    </w:pPr>
                    <w:r>
                      <w:t xml:space="preserve">第 </w:t>
                    </w:r>
                    <w:r>
                      <w:fldChar w:fldCharType="begin"/>
                    </w:r>
                    <w:r>
                      <w:instrText xml:space="preserve"> PAGE  \* MERGEFORMAT </w:instrText>
                    </w:r>
                    <w:r>
                      <w:fldChar w:fldCharType="separate"/>
                    </w:r>
                    <w:r>
                      <w:t>27</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E7459">
    <w:pPr>
      <w:pStyle w:val="1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86435" cy="147955"/>
              <wp:effectExtent l="0" t="0" r="0" b="0"/>
              <wp:wrapNone/>
              <wp:docPr id="1979938003" name="文本框 1"/>
              <wp:cNvGraphicFramePr/>
              <a:graphic xmlns:a="http://schemas.openxmlformats.org/drawingml/2006/main">
                <a:graphicData uri="http://schemas.microsoft.com/office/word/2010/wordprocessingShape">
                  <wps:wsp>
                    <wps:cNvSpPr txBox="1"/>
                    <wps:spPr>
                      <a:xfrm>
                        <a:off x="0" y="0"/>
                        <a:ext cx="686435" cy="147955"/>
                      </a:xfrm>
                      <a:prstGeom prst="rect">
                        <a:avLst/>
                      </a:prstGeom>
                      <a:noFill/>
                      <a:ln>
                        <a:noFill/>
                      </a:ln>
                    </wps:spPr>
                    <wps:txbx>
                      <w:txbxContent>
                        <w:p w14:paraId="677CECC1">
                          <w:pPr>
                            <w:pStyle w:val="18"/>
                          </w:pPr>
                          <w:r>
                            <w:t xml:space="preserve">第 </w:t>
                          </w:r>
                          <w:r>
                            <w:fldChar w:fldCharType="begin"/>
                          </w:r>
                          <w:r>
                            <w:instrText xml:space="preserve"> PAGE  \* MERGEFORMAT </w:instrText>
                          </w:r>
                          <w:r>
                            <w:fldChar w:fldCharType="separate"/>
                          </w:r>
                          <w:r>
                            <w:t>146</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65pt;width:54.05pt;mso-position-horizontal:center;mso-position-horizontal-relative:margin;mso-wrap-style:none;z-index:251661312;mso-width-relative:page;mso-height-relative:page;" filled="f" stroked="f" coordsize="21600,21600" o:gfxdata="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A7JvOvRAAAABAEAAA8AAAAAAAAAAQAgAAAAIgAA&#10;AGRycy9kb3ducmV2LnhtbFBLAQIUABQAAAAIAIdO4kDY8aW81gEAAKADAAAOAAAAAAAAAAEAIAAA&#10;ACABAABkcnMvZTJvRG9jLnhtbFBLBQYAAAAABgAGAFkBAABoBQAAAAA=&#10;">
              <v:fill on="f" focussize="0,0"/>
              <v:stroke on="f"/>
              <v:imagedata o:title=""/>
              <o:lock v:ext="edit" aspectratio="f"/>
              <v:textbox inset="0mm,0mm,0mm,0mm" style="mso-fit-shape-to-text:t;">
                <w:txbxContent>
                  <w:p w14:paraId="677CECC1">
                    <w:pPr>
                      <w:pStyle w:val="18"/>
                    </w:pPr>
                    <w:r>
                      <w:t xml:space="preserve">第 </w:t>
                    </w:r>
                    <w:r>
                      <w:fldChar w:fldCharType="begin"/>
                    </w:r>
                    <w:r>
                      <w:instrText xml:space="preserve"> PAGE  \* MERGEFORMAT </w:instrText>
                    </w:r>
                    <w:r>
                      <w:fldChar w:fldCharType="separate"/>
                    </w:r>
                    <w:r>
                      <w:t>146</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F0E041">
    <w:pPr>
      <w:pStyle w:val="18"/>
      <w:jc w:val="center"/>
      <w:rPr>
        <w:rFonts w:ascii="宋体" w:hAnsi="宋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A0AC51">
                          <w:pPr>
                            <w:pStyle w:val="18"/>
                          </w:pPr>
                          <w:r>
                            <w:t xml:space="preserve">第 </w:t>
                          </w:r>
                          <w:r>
                            <w:fldChar w:fldCharType="begin"/>
                          </w:r>
                          <w:r>
                            <w:instrText xml:space="preserve"> PAGE  \* MERGEFORMAT </w:instrText>
                          </w:r>
                          <w:r>
                            <w:fldChar w:fldCharType="separate"/>
                          </w:r>
                          <w:r>
                            <w:t>162</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9A0AC51">
                    <w:pPr>
                      <w:pStyle w:val="18"/>
                    </w:pPr>
                    <w:r>
                      <w:t xml:space="preserve">第 </w:t>
                    </w:r>
                    <w:r>
                      <w:fldChar w:fldCharType="begin"/>
                    </w:r>
                    <w:r>
                      <w:instrText xml:space="preserve"> PAGE  \* MERGEFORMAT </w:instrText>
                    </w:r>
                    <w:r>
                      <w:fldChar w:fldCharType="separate"/>
                    </w:r>
                    <w:r>
                      <w:t>162</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650FC">
    <w:pPr>
      <w:pStyle w:val="18"/>
      <w:jc w:val="center"/>
      <w:rPr>
        <w:rFonts w:ascii="宋体" w:hAns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6873DF">
                          <w:pPr>
                            <w:pStyle w:val="18"/>
                          </w:pPr>
                          <w:r>
                            <w:t xml:space="preserve">第 </w:t>
                          </w:r>
                          <w:r>
                            <w:fldChar w:fldCharType="begin"/>
                          </w:r>
                          <w:r>
                            <w:instrText xml:space="preserve"> PAGE  \* MERGEFORMAT </w:instrText>
                          </w:r>
                          <w:r>
                            <w:fldChar w:fldCharType="separate"/>
                          </w:r>
                          <w:r>
                            <w:t>167</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736873DF">
                    <w:pPr>
                      <w:pStyle w:val="18"/>
                    </w:pPr>
                    <w:r>
                      <w:t xml:space="preserve">第 </w:t>
                    </w:r>
                    <w:r>
                      <w:fldChar w:fldCharType="begin"/>
                    </w:r>
                    <w:r>
                      <w:instrText xml:space="preserve"> PAGE  \* MERGEFORMAT </w:instrText>
                    </w:r>
                    <w:r>
                      <w:fldChar w:fldCharType="separate"/>
                    </w:r>
                    <w:r>
                      <w:t>167</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B34AE">
    <w:pPr>
      <w:pStyle w:val="19"/>
      <w:tabs>
        <w:tab w:val="left" w:pos="600"/>
      </w:tabs>
      <w:jc w:val="left"/>
    </w:pPr>
  </w:p>
  <w:p w14:paraId="52FD811D">
    <w:pPr>
      <w:pStyle w:val="19"/>
      <w:tabs>
        <w:tab w:val="left" w:pos="600"/>
      </w:tabs>
      <w:jc w:val="left"/>
    </w:pPr>
    <w:r>
      <w:drawing>
        <wp:inline distT="0" distB="0" distL="114300" distR="114300">
          <wp:extent cx="1377315" cy="386715"/>
          <wp:effectExtent l="0" t="0" r="13335" b="13335"/>
          <wp:docPr id="2"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3BE79">
    <w:pPr>
      <w:pStyle w:val="19"/>
      <w:tabs>
        <w:tab w:val="left" w:pos="600"/>
      </w:tabs>
      <w:jc w:val="left"/>
    </w:pPr>
  </w:p>
  <w:p w14:paraId="7522BDCD">
    <w:pPr>
      <w:pStyle w:val="19"/>
      <w:tabs>
        <w:tab w:val="left" w:pos="600"/>
      </w:tabs>
      <w:jc w:val="left"/>
    </w:pPr>
    <w:r>
      <w:drawing>
        <wp:inline distT="0" distB="0" distL="114300" distR="114300">
          <wp:extent cx="1377315" cy="386715"/>
          <wp:effectExtent l="0" t="0" r="13335" b="13335"/>
          <wp:docPr id="1" name="图片 1"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47370">
    <w:pPr>
      <w:pStyle w:val="19"/>
      <w:tabs>
        <w:tab w:val="left" w:pos="600"/>
      </w:tabs>
      <w:jc w:val="left"/>
    </w:pPr>
  </w:p>
  <w:p w14:paraId="6535106D">
    <w:pPr>
      <w:pStyle w:val="19"/>
      <w:tabs>
        <w:tab w:val="left" w:pos="600"/>
      </w:tabs>
      <w:jc w:val="left"/>
    </w:pPr>
    <w:r>
      <w:drawing>
        <wp:inline distT="0" distB="0" distL="114300" distR="114300">
          <wp:extent cx="1377315" cy="386715"/>
          <wp:effectExtent l="0" t="0" r="13335" b="13335"/>
          <wp:docPr id="6" name="图片 6"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823756"/>
    <w:multiLevelType w:val="singleLevel"/>
    <w:tmpl w:val="8E823756"/>
    <w:lvl w:ilvl="0" w:tentative="0">
      <w:start w:val="1"/>
      <w:numFmt w:val="decimal"/>
      <w:lvlText w:val="%1."/>
      <w:lvlJc w:val="left"/>
      <w:pPr>
        <w:tabs>
          <w:tab w:val="left" w:pos="312"/>
        </w:tabs>
      </w:pPr>
    </w:lvl>
  </w:abstractNum>
  <w:abstractNum w:abstractNumId="1">
    <w:nsid w:val="BC0F499E"/>
    <w:multiLevelType w:val="singleLevel"/>
    <w:tmpl w:val="BC0F499E"/>
    <w:lvl w:ilvl="0" w:tentative="0">
      <w:start w:val="1"/>
      <w:numFmt w:val="chineseCounting"/>
      <w:suff w:val="nothing"/>
      <w:lvlText w:val="%1、"/>
      <w:lvlJc w:val="left"/>
      <w:rPr>
        <w:rFonts w:hint="eastAsia" w:cs="Times New Roman"/>
      </w:rPr>
    </w:lvl>
  </w:abstractNum>
  <w:abstractNum w:abstractNumId="2">
    <w:nsid w:val="DF21D6D2"/>
    <w:multiLevelType w:val="singleLevel"/>
    <w:tmpl w:val="DF21D6D2"/>
    <w:lvl w:ilvl="0" w:tentative="0">
      <w:start w:val="4"/>
      <w:numFmt w:val="chineseCounting"/>
      <w:suff w:val="space"/>
      <w:lvlText w:val="第%1章"/>
      <w:lvlJc w:val="left"/>
      <w:rPr>
        <w:rFonts w:hint="eastAsia"/>
      </w:rPr>
    </w:lvl>
  </w:abstractNum>
  <w:abstractNum w:abstractNumId="3">
    <w:nsid w:val="00000006"/>
    <w:multiLevelType w:val="multilevel"/>
    <w:tmpl w:val="00000006"/>
    <w:lvl w:ilvl="0" w:tentative="0">
      <w:start w:val="1"/>
      <w:numFmt w:val="chineseCountingThousand"/>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4">
    <w:nsid w:val="003822BF"/>
    <w:multiLevelType w:val="multilevel"/>
    <w:tmpl w:val="003822BF"/>
    <w:lvl w:ilvl="0" w:tentative="0">
      <w:start w:val="1"/>
      <w:numFmt w:val="japaneseCounting"/>
      <w:lvlText w:val="%1、"/>
      <w:lvlJc w:val="left"/>
      <w:pPr>
        <w:tabs>
          <w:tab w:val="left" w:pos="2280"/>
        </w:tabs>
        <w:ind w:left="2280" w:hanging="720"/>
      </w:pPr>
      <w:rPr>
        <w:rFonts w:hint="eastAsia" w:cs="Times New Roman"/>
      </w:rPr>
    </w:lvl>
    <w:lvl w:ilvl="1" w:tentative="0">
      <w:start w:val="1"/>
      <w:numFmt w:val="lowerLetter"/>
      <w:lvlText w:val="%2)"/>
      <w:lvlJc w:val="left"/>
      <w:pPr>
        <w:tabs>
          <w:tab w:val="left" w:pos="2400"/>
        </w:tabs>
        <w:ind w:left="2400" w:hanging="420"/>
      </w:pPr>
      <w:rPr>
        <w:rFonts w:cs="Times New Roman"/>
      </w:rPr>
    </w:lvl>
    <w:lvl w:ilvl="2" w:tentative="0">
      <w:start w:val="1"/>
      <w:numFmt w:val="lowerRoman"/>
      <w:lvlText w:val="%3."/>
      <w:lvlJc w:val="right"/>
      <w:pPr>
        <w:tabs>
          <w:tab w:val="left" w:pos="2820"/>
        </w:tabs>
        <w:ind w:left="2820" w:hanging="420"/>
      </w:pPr>
      <w:rPr>
        <w:rFonts w:cs="Times New Roman"/>
      </w:rPr>
    </w:lvl>
    <w:lvl w:ilvl="3" w:tentative="0">
      <w:start w:val="1"/>
      <w:numFmt w:val="decimal"/>
      <w:lvlText w:val="%4."/>
      <w:lvlJc w:val="left"/>
      <w:pPr>
        <w:tabs>
          <w:tab w:val="left" w:pos="3240"/>
        </w:tabs>
        <w:ind w:left="3240" w:hanging="420"/>
      </w:pPr>
      <w:rPr>
        <w:rFonts w:cs="Times New Roman"/>
      </w:rPr>
    </w:lvl>
    <w:lvl w:ilvl="4" w:tentative="0">
      <w:start w:val="1"/>
      <w:numFmt w:val="lowerLetter"/>
      <w:lvlText w:val="%5)"/>
      <w:lvlJc w:val="left"/>
      <w:pPr>
        <w:tabs>
          <w:tab w:val="left" w:pos="3660"/>
        </w:tabs>
        <w:ind w:left="3660" w:hanging="420"/>
      </w:pPr>
      <w:rPr>
        <w:rFonts w:cs="Times New Roman"/>
      </w:rPr>
    </w:lvl>
    <w:lvl w:ilvl="5" w:tentative="0">
      <w:start w:val="1"/>
      <w:numFmt w:val="lowerRoman"/>
      <w:lvlText w:val="%6."/>
      <w:lvlJc w:val="right"/>
      <w:pPr>
        <w:tabs>
          <w:tab w:val="left" w:pos="4080"/>
        </w:tabs>
        <w:ind w:left="4080" w:hanging="420"/>
      </w:pPr>
      <w:rPr>
        <w:rFonts w:cs="Times New Roman"/>
      </w:rPr>
    </w:lvl>
    <w:lvl w:ilvl="6" w:tentative="0">
      <w:start w:val="1"/>
      <w:numFmt w:val="decimal"/>
      <w:lvlText w:val="%7."/>
      <w:lvlJc w:val="left"/>
      <w:pPr>
        <w:tabs>
          <w:tab w:val="left" w:pos="4500"/>
        </w:tabs>
        <w:ind w:left="4500" w:hanging="420"/>
      </w:pPr>
      <w:rPr>
        <w:rFonts w:cs="Times New Roman"/>
      </w:rPr>
    </w:lvl>
    <w:lvl w:ilvl="7" w:tentative="0">
      <w:start w:val="1"/>
      <w:numFmt w:val="lowerLetter"/>
      <w:lvlText w:val="%8)"/>
      <w:lvlJc w:val="left"/>
      <w:pPr>
        <w:tabs>
          <w:tab w:val="left" w:pos="4920"/>
        </w:tabs>
        <w:ind w:left="4920" w:hanging="420"/>
      </w:pPr>
      <w:rPr>
        <w:rFonts w:cs="Times New Roman"/>
      </w:rPr>
    </w:lvl>
    <w:lvl w:ilvl="8" w:tentative="0">
      <w:start w:val="1"/>
      <w:numFmt w:val="lowerRoman"/>
      <w:lvlText w:val="%9."/>
      <w:lvlJc w:val="right"/>
      <w:pPr>
        <w:tabs>
          <w:tab w:val="left" w:pos="5340"/>
        </w:tabs>
        <w:ind w:left="5340" w:hanging="420"/>
      </w:pPr>
      <w:rPr>
        <w:rFonts w:cs="Times New Roman"/>
      </w:rPr>
    </w:lvl>
  </w:abstractNum>
  <w:abstractNum w:abstractNumId="5">
    <w:nsid w:val="309A43A6"/>
    <w:multiLevelType w:val="multilevel"/>
    <w:tmpl w:val="309A43A6"/>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6F400C11"/>
    <w:multiLevelType w:val="singleLevel"/>
    <w:tmpl w:val="6F400C11"/>
    <w:lvl w:ilvl="0" w:tentative="0">
      <w:start w:val="2"/>
      <w:numFmt w:val="chineseCounting"/>
      <w:suff w:val="nothing"/>
      <w:lvlText w:val="%1、"/>
      <w:lvlJc w:val="left"/>
      <w:rPr>
        <w:rFonts w:hint="eastAsia"/>
      </w:rPr>
    </w:lvl>
  </w:abstractNum>
  <w:num w:numId="1">
    <w:abstractNumId w:val="1"/>
  </w:num>
  <w:num w:numId="2">
    <w:abstractNumId w:val="2"/>
  </w:num>
  <w:num w:numId="3">
    <w:abstractNumId w:val="5"/>
  </w:num>
  <w:num w:numId="4">
    <w:abstractNumId w:val="3"/>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TrueTypeFonts/>
  <w:saveSubset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RmZDgxNGVhMzM0MDkyZWU3NzFjYTM5NmU3ZjE5MmUifQ=="/>
  </w:docVars>
  <w:rsids>
    <w:rsidRoot w:val="248B5DC8"/>
    <w:rsid w:val="00004C64"/>
    <w:rsid w:val="000066E9"/>
    <w:rsid w:val="00013099"/>
    <w:rsid w:val="000216C0"/>
    <w:rsid w:val="00032CB6"/>
    <w:rsid w:val="000333C4"/>
    <w:rsid w:val="000413C9"/>
    <w:rsid w:val="00055D2C"/>
    <w:rsid w:val="00073826"/>
    <w:rsid w:val="00085D17"/>
    <w:rsid w:val="000869D6"/>
    <w:rsid w:val="00086F97"/>
    <w:rsid w:val="00096C98"/>
    <w:rsid w:val="000A4534"/>
    <w:rsid w:val="000A55B2"/>
    <w:rsid w:val="000B0605"/>
    <w:rsid w:val="000C4CF4"/>
    <w:rsid w:val="000C68C0"/>
    <w:rsid w:val="000C69B0"/>
    <w:rsid w:val="000F6BBA"/>
    <w:rsid w:val="00102F7C"/>
    <w:rsid w:val="001057DA"/>
    <w:rsid w:val="00122759"/>
    <w:rsid w:val="001361EF"/>
    <w:rsid w:val="00145E34"/>
    <w:rsid w:val="00153A05"/>
    <w:rsid w:val="001657B8"/>
    <w:rsid w:val="0016627C"/>
    <w:rsid w:val="00194A43"/>
    <w:rsid w:val="001A1B62"/>
    <w:rsid w:val="001A2225"/>
    <w:rsid w:val="001A2BED"/>
    <w:rsid w:val="001A2C5C"/>
    <w:rsid w:val="001A2D60"/>
    <w:rsid w:val="001A44AE"/>
    <w:rsid w:val="001A50EC"/>
    <w:rsid w:val="001C0319"/>
    <w:rsid w:val="001D1D45"/>
    <w:rsid w:val="001D3D39"/>
    <w:rsid w:val="001E5B1D"/>
    <w:rsid w:val="001E6B31"/>
    <w:rsid w:val="002034A4"/>
    <w:rsid w:val="00213E91"/>
    <w:rsid w:val="00214166"/>
    <w:rsid w:val="0021503D"/>
    <w:rsid w:val="0021556C"/>
    <w:rsid w:val="00226340"/>
    <w:rsid w:val="00235038"/>
    <w:rsid w:val="0024020C"/>
    <w:rsid w:val="00242A50"/>
    <w:rsid w:val="002475E7"/>
    <w:rsid w:val="00251B70"/>
    <w:rsid w:val="0026142A"/>
    <w:rsid w:val="0026423B"/>
    <w:rsid w:val="002702DC"/>
    <w:rsid w:val="00271968"/>
    <w:rsid w:val="002755CB"/>
    <w:rsid w:val="0027632B"/>
    <w:rsid w:val="002A0063"/>
    <w:rsid w:val="002E485F"/>
    <w:rsid w:val="002F3854"/>
    <w:rsid w:val="002F6FDE"/>
    <w:rsid w:val="00304ED4"/>
    <w:rsid w:val="003214B7"/>
    <w:rsid w:val="00335550"/>
    <w:rsid w:val="00345364"/>
    <w:rsid w:val="003539FE"/>
    <w:rsid w:val="00357FB6"/>
    <w:rsid w:val="00360D83"/>
    <w:rsid w:val="00364A73"/>
    <w:rsid w:val="00365D27"/>
    <w:rsid w:val="00384ED0"/>
    <w:rsid w:val="00387B5C"/>
    <w:rsid w:val="0039754C"/>
    <w:rsid w:val="003B0024"/>
    <w:rsid w:val="003B453F"/>
    <w:rsid w:val="003C7EA5"/>
    <w:rsid w:val="003F6704"/>
    <w:rsid w:val="00404BE8"/>
    <w:rsid w:val="004126AE"/>
    <w:rsid w:val="0041380D"/>
    <w:rsid w:val="0041592C"/>
    <w:rsid w:val="0041639B"/>
    <w:rsid w:val="00417D98"/>
    <w:rsid w:val="00426ADC"/>
    <w:rsid w:val="004330C8"/>
    <w:rsid w:val="00440408"/>
    <w:rsid w:val="0045394B"/>
    <w:rsid w:val="00464700"/>
    <w:rsid w:val="00465CAC"/>
    <w:rsid w:val="00472B8C"/>
    <w:rsid w:val="00485D41"/>
    <w:rsid w:val="00491196"/>
    <w:rsid w:val="00492430"/>
    <w:rsid w:val="00493D88"/>
    <w:rsid w:val="00494671"/>
    <w:rsid w:val="004A1277"/>
    <w:rsid w:val="004A4B39"/>
    <w:rsid w:val="004C343F"/>
    <w:rsid w:val="004C5901"/>
    <w:rsid w:val="004D040D"/>
    <w:rsid w:val="004E033C"/>
    <w:rsid w:val="004E0AA4"/>
    <w:rsid w:val="004E3957"/>
    <w:rsid w:val="005006F9"/>
    <w:rsid w:val="00505159"/>
    <w:rsid w:val="00510F06"/>
    <w:rsid w:val="005112F2"/>
    <w:rsid w:val="00524FD7"/>
    <w:rsid w:val="00527D00"/>
    <w:rsid w:val="0053450E"/>
    <w:rsid w:val="005363ED"/>
    <w:rsid w:val="00545D25"/>
    <w:rsid w:val="00564A1C"/>
    <w:rsid w:val="0057392D"/>
    <w:rsid w:val="0058189B"/>
    <w:rsid w:val="0058376E"/>
    <w:rsid w:val="00591104"/>
    <w:rsid w:val="005B6FBC"/>
    <w:rsid w:val="005D2E05"/>
    <w:rsid w:val="005D4E6E"/>
    <w:rsid w:val="005E3228"/>
    <w:rsid w:val="0060392F"/>
    <w:rsid w:val="006201CC"/>
    <w:rsid w:val="00621197"/>
    <w:rsid w:val="006262D2"/>
    <w:rsid w:val="0064497C"/>
    <w:rsid w:val="0065060B"/>
    <w:rsid w:val="00650C71"/>
    <w:rsid w:val="00654925"/>
    <w:rsid w:val="00656894"/>
    <w:rsid w:val="006577D7"/>
    <w:rsid w:val="006645C0"/>
    <w:rsid w:val="00686BD3"/>
    <w:rsid w:val="006A2C20"/>
    <w:rsid w:val="006A535E"/>
    <w:rsid w:val="006A63B3"/>
    <w:rsid w:val="006A74DF"/>
    <w:rsid w:val="006B0601"/>
    <w:rsid w:val="006B5966"/>
    <w:rsid w:val="006E00DA"/>
    <w:rsid w:val="006E38C5"/>
    <w:rsid w:val="006E4D20"/>
    <w:rsid w:val="006F3CEA"/>
    <w:rsid w:val="006F3EFA"/>
    <w:rsid w:val="006F418F"/>
    <w:rsid w:val="006F48C7"/>
    <w:rsid w:val="00707F6F"/>
    <w:rsid w:val="00713EE8"/>
    <w:rsid w:val="00751973"/>
    <w:rsid w:val="00770F65"/>
    <w:rsid w:val="007723A3"/>
    <w:rsid w:val="00772422"/>
    <w:rsid w:val="00772CE5"/>
    <w:rsid w:val="00775EC5"/>
    <w:rsid w:val="00780606"/>
    <w:rsid w:val="00782881"/>
    <w:rsid w:val="00787AD3"/>
    <w:rsid w:val="007923AC"/>
    <w:rsid w:val="00793FA3"/>
    <w:rsid w:val="007A0E3E"/>
    <w:rsid w:val="007B11D3"/>
    <w:rsid w:val="007C3265"/>
    <w:rsid w:val="007C56AF"/>
    <w:rsid w:val="007C75FF"/>
    <w:rsid w:val="007D037C"/>
    <w:rsid w:val="007E0F2F"/>
    <w:rsid w:val="007F0855"/>
    <w:rsid w:val="007F1A22"/>
    <w:rsid w:val="007F25C4"/>
    <w:rsid w:val="00806B03"/>
    <w:rsid w:val="008240E2"/>
    <w:rsid w:val="00835F95"/>
    <w:rsid w:val="00850CE7"/>
    <w:rsid w:val="008552A0"/>
    <w:rsid w:val="00857534"/>
    <w:rsid w:val="00874308"/>
    <w:rsid w:val="0087575B"/>
    <w:rsid w:val="00881835"/>
    <w:rsid w:val="00883B2F"/>
    <w:rsid w:val="00885C5B"/>
    <w:rsid w:val="0088770D"/>
    <w:rsid w:val="0089435A"/>
    <w:rsid w:val="008B54BB"/>
    <w:rsid w:val="008C175F"/>
    <w:rsid w:val="008C705C"/>
    <w:rsid w:val="008E3063"/>
    <w:rsid w:val="008E7674"/>
    <w:rsid w:val="008F509C"/>
    <w:rsid w:val="008F7BA6"/>
    <w:rsid w:val="00903CD5"/>
    <w:rsid w:val="009143FE"/>
    <w:rsid w:val="0093034A"/>
    <w:rsid w:val="00930C6B"/>
    <w:rsid w:val="0093464F"/>
    <w:rsid w:val="009420E4"/>
    <w:rsid w:val="00943136"/>
    <w:rsid w:val="009513CF"/>
    <w:rsid w:val="00952CAF"/>
    <w:rsid w:val="009634E8"/>
    <w:rsid w:val="00963C66"/>
    <w:rsid w:val="00964D47"/>
    <w:rsid w:val="00965254"/>
    <w:rsid w:val="009669CA"/>
    <w:rsid w:val="009775B6"/>
    <w:rsid w:val="009900B0"/>
    <w:rsid w:val="009A2FC7"/>
    <w:rsid w:val="009A346C"/>
    <w:rsid w:val="009A4341"/>
    <w:rsid w:val="009A58DB"/>
    <w:rsid w:val="009B0B32"/>
    <w:rsid w:val="009C140C"/>
    <w:rsid w:val="009C22FD"/>
    <w:rsid w:val="009E4977"/>
    <w:rsid w:val="009E4AA6"/>
    <w:rsid w:val="009E53D0"/>
    <w:rsid w:val="009F7FD6"/>
    <w:rsid w:val="00A01A85"/>
    <w:rsid w:val="00A040AA"/>
    <w:rsid w:val="00A0428A"/>
    <w:rsid w:val="00A045B0"/>
    <w:rsid w:val="00A0531E"/>
    <w:rsid w:val="00A07CF7"/>
    <w:rsid w:val="00A17740"/>
    <w:rsid w:val="00A21BD9"/>
    <w:rsid w:val="00A22E16"/>
    <w:rsid w:val="00A25745"/>
    <w:rsid w:val="00A30348"/>
    <w:rsid w:val="00A50990"/>
    <w:rsid w:val="00A564DF"/>
    <w:rsid w:val="00A659C6"/>
    <w:rsid w:val="00A65B54"/>
    <w:rsid w:val="00A777B8"/>
    <w:rsid w:val="00A83D4B"/>
    <w:rsid w:val="00A86239"/>
    <w:rsid w:val="00A906EA"/>
    <w:rsid w:val="00A91E23"/>
    <w:rsid w:val="00AA12F1"/>
    <w:rsid w:val="00AB1821"/>
    <w:rsid w:val="00AB3ACC"/>
    <w:rsid w:val="00AB4C73"/>
    <w:rsid w:val="00AD2CFD"/>
    <w:rsid w:val="00AF1C79"/>
    <w:rsid w:val="00AF2CFD"/>
    <w:rsid w:val="00AF33CA"/>
    <w:rsid w:val="00AF42B7"/>
    <w:rsid w:val="00AF6C10"/>
    <w:rsid w:val="00B07214"/>
    <w:rsid w:val="00B10B2A"/>
    <w:rsid w:val="00B13E21"/>
    <w:rsid w:val="00B14E74"/>
    <w:rsid w:val="00B16E13"/>
    <w:rsid w:val="00B210BF"/>
    <w:rsid w:val="00B21A26"/>
    <w:rsid w:val="00B25FAA"/>
    <w:rsid w:val="00B27EF6"/>
    <w:rsid w:val="00B32597"/>
    <w:rsid w:val="00B35690"/>
    <w:rsid w:val="00B44CE3"/>
    <w:rsid w:val="00B701B7"/>
    <w:rsid w:val="00B7622F"/>
    <w:rsid w:val="00B7664C"/>
    <w:rsid w:val="00B77A0E"/>
    <w:rsid w:val="00BA3304"/>
    <w:rsid w:val="00BB089A"/>
    <w:rsid w:val="00BB507F"/>
    <w:rsid w:val="00BC2E99"/>
    <w:rsid w:val="00BD10F0"/>
    <w:rsid w:val="00BD46FC"/>
    <w:rsid w:val="00BD495F"/>
    <w:rsid w:val="00BD79C7"/>
    <w:rsid w:val="00BE7B12"/>
    <w:rsid w:val="00C03804"/>
    <w:rsid w:val="00C05F85"/>
    <w:rsid w:val="00C123D0"/>
    <w:rsid w:val="00C16670"/>
    <w:rsid w:val="00C37150"/>
    <w:rsid w:val="00C442D1"/>
    <w:rsid w:val="00C533F6"/>
    <w:rsid w:val="00C54757"/>
    <w:rsid w:val="00C54BD8"/>
    <w:rsid w:val="00C65B32"/>
    <w:rsid w:val="00C7281F"/>
    <w:rsid w:val="00C72948"/>
    <w:rsid w:val="00C74C0F"/>
    <w:rsid w:val="00C8188E"/>
    <w:rsid w:val="00C83DE0"/>
    <w:rsid w:val="00C84567"/>
    <w:rsid w:val="00C93CA9"/>
    <w:rsid w:val="00CC5922"/>
    <w:rsid w:val="00CC6AFD"/>
    <w:rsid w:val="00CE0D40"/>
    <w:rsid w:val="00D02AE1"/>
    <w:rsid w:val="00D253D1"/>
    <w:rsid w:val="00D310F1"/>
    <w:rsid w:val="00D35B3B"/>
    <w:rsid w:val="00D47BF8"/>
    <w:rsid w:val="00D5246E"/>
    <w:rsid w:val="00D55452"/>
    <w:rsid w:val="00D55CCB"/>
    <w:rsid w:val="00D67DE7"/>
    <w:rsid w:val="00D80EFB"/>
    <w:rsid w:val="00D859AF"/>
    <w:rsid w:val="00D86DB0"/>
    <w:rsid w:val="00DA0AAF"/>
    <w:rsid w:val="00DA3673"/>
    <w:rsid w:val="00DA474B"/>
    <w:rsid w:val="00DB4BFE"/>
    <w:rsid w:val="00DC1D2B"/>
    <w:rsid w:val="00DC33F8"/>
    <w:rsid w:val="00DE0FB4"/>
    <w:rsid w:val="00DE4A75"/>
    <w:rsid w:val="00E00742"/>
    <w:rsid w:val="00E04A67"/>
    <w:rsid w:val="00E115AD"/>
    <w:rsid w:val="00E20B42"/>
    <w:rsid w:val="00E2412E"/>
    <w:rsid w:val="00E341D9"/>
    <w:rsid w:val="00E433E5"/>
    <w:rsid w:val="00E46896"/>
    <w:rsid w:val="00E65BD5"/>
    <w:rsid w:val="00E6768D"/>
    <w:rsid w:val="00E678A3"/>
    <w:rsid w:val="00E71C48"/>
    <w:rsid w:val="00E72DAE"/>
    <w:rsid w:val="00E73277"/>
    <w:rsid w:val="00E9279C"/>
    <w:rsid w:val="00E93099"/>
    <w:rsid w:val="00EB16CA"/>
    <w:rsid w:val="00EC2A8A"/>
    <w:rsid w:val="00ED65F7"/>
    <w:rsid w:val="00EE5C70"/>
    <w:rsid w:val="00EF0031"/>
    <w:rsid w:val="00F1100A"/>
    <w:rsid w:val="00F245B9"/>
    <w:rsid w:val="00F265C7"/>
    <w:rsid w:val="00F27260"/>
    <w:rsid w:val="00F43C5E"/>
    <w:rsid w:val="00F70FAF"/>
    <w:rsid w:val="00F804B7"/>
    <w:rsid w:val="00F80799"/>
    <w:rsid w:val="00F83C90"/>
    <w:rsid w:val="00F84C5A"/>
    <w:rsid w:val="00F970AD"/>
    <w:rsid w:val="00FA0053"/>
    <w:rsid w:val="00FA040E"/>
    <w:rsid w:val="00FB2D05"/>
    <w:rsid w:val="00FD25F4"/>
    <w:rsid w:val="00FD6533"/>
    <w:rsid w:val="00FD756B"/>
    <w:rsid w:val="00FD781E"/>
    <w:rsid w:val="00FE513F"/>
    <w:rsid w:val="00FF7338"/>
    <w:rsid w:val="00FF7ADC"/>
    <w:rsid w:val="01091EA2"/>
    <w:rsid w:val="01344155"/>
    <w:rsid w:val="01350C9C"/>
    <w:rsid w:val="014E290D"/>
    <w:rsid w:val="01820935"/>
    <w:rsid w:val="01C17885"/>
    <w:rsid w:val="01DA16D0"/>
    <w:rsid w:val="01F80458"/>
    <w:rsid w:val="01F90E90"/>
    <w:rsid w:val="01FD3BF9"/>
    <w:rsid w:val="020531A4"/>
    <w:rsid w:val="02377801"/>
    <w:rsid w:val="02581525"/>
    <w:rsid w:val="025F17DE"/>
    <w:rsid w:val="02A90ADB"/>
    <w:rsid w:val="02AE05FE"/>
    <w:rsid w:val="02BE37DA"/>
    <w:rsid w:val="030663D5"/>
    <w:rsid w:val="030D0562"/>
    <w:rsid w:val="031C6EE6"/>
    <w:rsid w:val="032003AB"/>
    <w:rsid w:val="03330190"/>
    <w:rsid w:val="034E2FBC"/>
    <w:rsid w:val="03B14776"/>
    <w:rsid w:val="03B50F2A"/>
    <w:rsid w:val="03BD74F0"/>
    <w:rsid w:val="040B19A3"/>
    <w:rsid w:val="041349DC"/>
    <w:rsid w:val="044010AF"/>
    <w:rsid w:val="04527DBF"/>
    <w:rsid w:val="045B6AA5"/>
    <w:rsid w:val="045B6EE4"/>
    <w:rsid w:val="04665625"/>
    <w:rsid w:val="047F420A"/>
    <w:rsid w:val="04BF763A"/>
    <w:rsid w:val="04EC14EE"/>
    <w:rsid w:val="05557F9E"/>
    <w:rsid w:val="057B5C57"/>
    <w:rsid w:val="058E3C0E"/>
    <w:rsid w:val="05A0220A"/>
    <w:rsid w:val="05FA3C62"/>
    <w:rsid w:val="06380256"/>
    <w:rsid w:val="064249C6"/>
    <w:rsid w:val="065668D5"/>
    <w:rsid w:val="06587E4E"/>
    <w:rsid w:val="065A1D10"/>
    <w:rsid w:val="065C2521"/>
    <w:rsid w:val="065D3EB9"/>
    <w:rsid w:val="065D535C"/>
    <w:rsid w:val="06710E08"/>
    <w:rsid w:val="06905732"/>
    <w:rsid w:val="06C75A8A"/>
    <w:rsid w:val="06CF6B8D"/>
    <w:rsid w:val="06D05B2E"/>
    <w:rsid w:val="071874D5"/>
    <w:rsid w:val="072C1B58"/>
    <w:rsid w:val="0774600C"/>
    <w:rsid w:val="07935C2F"/>
    <w:rsid w:val="0798102F"/>
    <w:rsid w:val="07BE444A"/>
    <w:rsid w:val="07F11C47"/>
    <w:rsid w:val="07FA76BE"/>
    <w:rsid w:val="08002443"/>
    <w:rsid w:val="085F6817"/>
    <w:rsid w:val="086E55FF"/>
    <w:rsid w:val="087A48E9"/>
    <w:rsid w:val="08A1146A"/>
    <w:rsid w:val="08F85810"/>
    <w:rsid w:val="08FB5639"/>
    <w:rsid w:val="09263180"/>
    <w:rsid w:val="09530E28"/>
    <w:rsid w:val="09EA6F07"/>
    <w:rsid w:val="09F41B3F"/>
    <w:rsid w:val="0A165F4E"/>
    <w:rsid w:val="0A1F20B3"/>
    <w:rsid w:val="0A5C592B"/>
    <w:rsid w:val="0A5D1DCF"/>
    <w:rsid w:val="0A8F4319"/>
    <w:rsid w:val="0AAB6D55"/>
    <w:rsid w:val="0AB15C77"/>
    <w:rsid w:val="0AEE0C79"/>
    <w:rsid w:val="0B043FF8"/>
    <w:rsid w:val="0B0859F4"/>
    <w:rsid w:val="0B0D6E40"/>
    <w:rsid w:val="0B1224D1"/>
    <w:rsid w:val="0B134EDC"/>
    <w:rsid w:val="0B3145C5"/>
    <w:rsid w:val="0B5E5DE4"/>
    <w:rsid w:val="0B671786"/>
    <w:rsid w:val="0B6D4DEB"/>
    <w:rsid w:val="0B903ADE"/>
    <w:rsid w:val="0B995089"/>
    <w:rsid w:val="0BA96097"/>
    <w:rsid w:val="0BC52B35"/>
    <w:rsid w:val="0BC67500"/>
    <w:rsid w:val="0BD55995"/>
    <w:rsid w:val="0C122745"/>
    <w:rsid w:val="0C3628D7"/>
    <w:rsid w:val="0C3923C8"/>
    <w:rsid w:val="0C3D1A73"/>
    <w:rsid w:val="0C434FF4"/>
    <w:rsid w:val="0C54353A"/>
    <w:rsid w:val="0C7D22B4"/>
    <w:rsid w:val="0C950B9E"/>
    <w:rsid w:val="0CB23908"/>
    <w:rsid w:val="0CBB5D60"/>
    <w:rsid w:val="0CC269C9"/>
    <w:rsid w:val="0D295F98"/>
    <w:rsid w:val="0D4839A4"/>
    <w:rsid w:val="0D7002CE"/>
    <w:rsid w:val="0D802CAA"/>
    <w:rsid w:val="0D921D8F"/>
    <w:rsid w:val="0D9E3CED"/>
    <w:rsid w:val="0DBF01A2"/>
    <w:rsid w:val="0DDE2181"/>
    <w:rsid w:val="0DE1042A"/>
    <w:rsid w:val="0DEF6259"/>
    <w:rsid w:val="0DFA69C4"/>
    <w:rsid w:val="0E005C19"/>
    <w:rsid w:val="0E120725"/>
    <w:rsid w:val="0E383160"/>
    <w:rsid w:val="0E39220B"/>
    <w:rsid w:val="0E462B7A"/>
    <w:rsid w:val="0E5E7992"/>
    <w:rsid w:val="0E5F3180"/>
    <w:rsid w:val="0E7D6595"/>
    <w:rsid w:val="0E9E6512"/>
    <w:rsid w:val="0EA943DF"/>
    <w:rsid w:val="0EAF24CD"/>
    <w:rsid w:val="0ED2440E"/>
    <w:rsid w:val="0EDF0E07"/>
    <w:rsid w:val="0EE04628"/>
    <w:rsid w:val="0EE06B2A"/>
    <w:rsid w:val="0EE26D46"/>
    <w:rsid w:val="0EFA5508"/>
    <w:rsid w:val="0F041CC7"/>
    <w:rsid w:val="0F437A5B"/>
    <w:rsid w:val="0F4B3C50"/>
    <w:rsid w:val="0F73174D"/>
    <w:rsid w:val="0F824086"/>
    <w:rsid w:val="0FA76FC4"/>
    <w:rsid w:val="0FA828C0"/>
    <w:rsid w:val="0FAE57C5"/>
    <w:rsid w:val="0FC150CF"/>
    <w:rsid w:val="1016361E"/>
    <w:rsid w:val="102962AF"/>
    <w:rsid w:val="10AF4A06"/>
    <w:rsid w:val="10D65287"/>
    <w:rsid w:val="10DA1C06"/>
    <w:rsid w:val="10F9290F"/>
    <w:rsid w:val="11331F4A"/>
    <w:rsid w:val="113676AF"/>
    <w:rsid w:val="113F3D1B"/>
    <w:rsid w:val="11513D10"/>
    <w:rsid w:val="11567963"/>
    <w:rsid w:val="116D5993"/>
    <w:rsid w:val="11867E5D"/>
    <w:rsid w:val="119517FA"/>
    <w:rsid w:val="119F43A3"/>
    <w:rsid w:val="11FC011F"/>
    <w:rsid w:val="123218A4"/>
    <w:rsid w:val="128433EB"/>
    <w:rsid w:val="12880247"/>
    <w:rsid w:val="128B5D17"/>
    <w:rsid w:val="1292638E"/>
    <w:rsid w:val="1295044F"/>
    <w:rsid w:val="12A3059B"/>
    <w:rsid w:val="12C25B71"/>
    <w:rsid w:val="12E60488"/>
    <w:rsid w:val="130361BC"/>
    <w:rsid w:val="130628D8"/>
    <w:rsid w:val="13206B01"/>
    <w:rsid w:val="13294F44"/>
    <w:rsid w:val="137B190B"/>
    <w:rsid w:val="13C37816"/>
    <w:rsid w:val="13D87344"/>
    <w:rsid w:val="13DF4ACA"/>
    <w:rsid w:val="141860EE"/>
    <w:rsid w:val="14333A20"/>
    <w:rsid w:val="143F0888"/>
    <w:rsid w:val="149F6E81"/>
    <w:rsid w:val="14AB2659"/>
    <w:rsid w:val="14B27E94"/>
    <w:rsid w:val="14C8795A"/>
    <w:rsid w:val="15371BC6"/>
    <w:rsid w:val="15514CBB"/>
    <w:rsid w:val="15B036FB"/>
    <w:rsid w:val="15BD3500"/>
    <w:rsid w:val="15C72DBA"/>
    <w:rsid w:val="15C9591F"/>
    <w:rsid w:val="15F76776"/>
    <w:rsid w:val="160E7BE2"/>
    <w:rsid w:val="165247B2"/>
    <w:rsid w:val="16595450"/>
    <w:rsid w:val="166837BB"/>
    <w:rsid w:val="167177C6"/>
    <w:rsid w:val="16792A40"/>
    <w:rsid w:val="1684735A"/>
    <w:rsid w:val="16987C12"/>
    <w:rsid w:val="16B30761"/>
    <w:rsid w:val="16D5360C"/>
    <w:rsid w:val="16E07EAB"/>
    <w:rsid w:val="17005731"/>
    <w:rsid w:val="17067369"/>
    <w:rsid w:val="171C6B6E"/>
    <w:rsid w:val="176A79A2"/>
    <w:rsid w:val="178C5AA1"/>
    <w:rsid w:val="17935CA0"/>
    <w:rsid w:val="179778F2"/>
    <w:rsid w:val="17BD5936"/>
    <w:rsid w:val="17D85C21"/>
    <w:rsid w:val="17F43539"/>
    <w:rsid w:val="17FD6785"/>
    <w:rsid w:val="17FE48E7"/>
    <w:rsid w:val="184E377C"/>
    <w:rsid w:val="185D743E"/>
    <w:rsid w:val="188D6B37"/>
    <w:rsid w:val="18AF13DE"/>
    <w:rsid w:val="19004AEC"/>
    <w:rsid w:val="19067AD5"/>
    <w:rsid w:val="190F5F70"/>
    <w:rsid w:val="193043C6"/>
    <w:rsid w:val="194E250F"/>
    <w:rsid w:val="195E736E"/>
    <w:rsid w:val="19612025"/>
    <w:rsid w:val="197E4A43"/>
    <w:rsid w:val="19900233"/>
    <w:rsid w:val="199B7733"/>
    <w:rsid w:val="19A86F45"/>
    <w:rsid w:val="19AF447C"/>
    <w:rsid w:val="19C72DC1"/>
    <w:rsid w:val="19C86B39"/>
    <w:rsid w:val="19CE0DB0"/>
    <w:rsid w:val="19DB387D"/>
    <w:rsid w:val="19EB474A"/>
    <w:rsid w:val="19F93FF6"/>
    <w:rsid w:val="1A02204B"/>
    <w:rsid w:val="1A262A10"/>
    <w:rsid w:val="1A3E50EB"/>
    <w:rsid w:val="1A403A9D"/>
    <w:rsid w:val="1A645E3B"/>
    <w:rsid w:val="1A9E4686"/>
    <w:rsid w:val="1AB66CBD"/>
    <w:rsid w:val="1AD115D5"/>
    <w:rsid w:val="1AF916A0"/>
    <w:rsid w:val="1B20049C"/>
    <w:rsid w:val="1B2B07C0"/>
    <w:rsid w:val="1B3C6DE7"/>
    <w:rsid w:val="1B7533B8"/>
    <w:rsid w:val="1BAE60D9"/>
    <w:rsid w:val="1BB57FE7"/>
    <w:rsid w:val="1BBC08B6"/>
    <w:rsid w:val="1BDB3B61"/>
    <w:rsid w:val="1C211D21"/>
    <w:rsid w:val="1C284DFB"/>
    <w:rsid w:val="1C2A2A9C"/>
    <w:rsid w:val="1C2E35CB"/>
    <w:rsid w:val="1C33473D"/>
    <w:rsid w:val="1C485D0F"/>
    <w:rsid w:val="1C5B0EC1"/>
    <w:rsid w:val="1C713BDD"/>
    <w:rsid w:val="1C767B21"/>
    <w:rsid w:val="1CA82BA5"/>
    <w:rsid w:val="1CD0505D"/>
    <w:rsid w:val="1D13631D"/>
    <w:rsid w:val="1D300C7D"/>
    <w:rsid w:val="1D636B59"/>
    <w:rsid w:val="1D7027C7"/>
    <w:rsid w:val="1D807E56"/>
    <w:rsid w:val="1D8334A3"/>
    <w:rsid w:val="1D927B8A"/>
    <w:rsid w:val="1DCF66E8"/>
    <w:rsid w:val="1DDF7A40"/>
    <w:rsid w:val="1DF33169"/>
    <w:rsid w:val="1E0872DE"/>
    <w:rsid w:val="1E217ADA"/>
    <w:rsid w:val="1E570222"/>
    <w:rsid w:val="1E5A19C5"/>
    <w:rsid w:val="1E8A260F"/>
    <w:rsid w:val="1EA65F40"/>
    <w:rsid w:val="1EB27864"/>
    <w:rsid w:val="1EBB4EBE"/>
    <w:rsid w:val="1EBC2425"/>
    <w:rsid w:val="1EC10726"/>
    <w:rsid w:val="1EC27FFB"/>
    <w:rsid w:val="1EF8410A"/>
    <w:rsid w:val="1F0565D6"/>
    <w:rsid w:val="1F25793E"/>
    <w:rsid w:val="1F447B67"/>
    <w:rsid w:val="1F78421A"/>
    <w:rsid w:val="1FC837B7"/>
    <w:rsid w:val="1FEB7469"/>
    <w:rsid w:val="20112FE8"/>
    <w:rsid w:val="201E1159"/>
    <w:rsid w:val="20453B84"/>
    <w:rsid w:val="205B4440"/>
    <w:rsid w:val="20612A06"/>
    <w:rsid w:val="20661027"/>
    <w:rsid w:val="20803CC9"/>
    <w:rsid w:val="20832566"/>
    <w:rsid w:val="20907F95"/>
    <w:rsid w:val="209354CA"/>
    <w:rsid w:val="20BC2B6B"/>
    <w:rsid w:val="20F52A7A"/>
    <w:rsid w:val="211B7774"/>
    <w:rsid w:val="211D660F"/>
    <w:rsid w:val="21322727"/>
    <w:rsid w:val="213E02B4"/>
    <w:rsid w:val="21535023"/>
    <w:rsid w:val="21D97B35"/>
    <w:rsid w:val="21E87D78"/>
    <w:rsid w:val="2203115E"/>
    <w:rsid w:val="22103493"/>
    <w:rsid w:val="221E5211"/>
    <w:rsid w:val="22366803"/>
    <w:rsid w:val="22457691"/>
    <w:rsid w:val="2271479E"/>
    <w:rsid w:val="22720A33"/>
    <w:rsid w:val="22720D9E"/>
    <w:rsid w:val="227B4FC5"/>
    <w:rsid w:val="22851A6B"/>
    <w:rsid w:val="22E948D4"/>
    <w:rsid w:val="23305E7B"/>
    <w:rsid w:val="233C481F"/>
    <w:rsid w:val="235B157F"/>
    <w:rsid w:val="235B641F"/>
    <w:rsid w:val="23653140"/>
    <w:rsid w:val="2400212D"/>
    <w:rsid w:val="24177638"/>
    <w:rsid w:val="24303794"/>
    <w:rsid w:val="244A2FF9"/>
    <w:rsid w:val="246E4CE5"/>
    <w:rsid w:val="248B5DC8"/>
    <w:rsid w:val="24941099"/>
    <w:rsid w:val="24B677D2"/>
    <w:rsid w:val="24C543A1"/>
    <w:rsid w:val="24D003A7"/>
    <w:rsid w:val="24D82326"/>
    <w:rsid w:val="24FA2B76"/>
    <w:rsid w:val="251026CF"/>
    <w:rsid w:val="252E0198"/>
    <w:rsid w:val="253B210F"/>
    <w:rsid w:val="25490842"/>
    <w:rsid w:val="255A5115"/>
    <w:rsid w:val="25867FD4"/>
    <w:rsid w:val="258D4181"/>
    <w:rsid w:val="258F4359"/>
    <w:rsid w:val="25B01877"/>
    <w:rsid w:val="25C76DF1"/>
    <w:rsid w:val="26056D25"/>
    <w:rsid w:val="26062EC3"/>
    <w:rsid w:val="26070FA0"/>
    <w:rsid w:val="260E3934"/>
    <w:rsid w:val="26153732"/>
    <w:rsid w:val="261627D5"/>
    <w:rsid w:val="26226F31"/>
    <w:rsid w:val="26482788"/>
    <w:rsid w:val="265B6B76"/>
    <w:rsid w:val="268818DC"/>
    <w:rsid w:val="268877A1"/>
    <w:rsid w:val="268A61A0"/>
    <w:rsid w:val="2690755F"/>
    <w:rsid w:val="26F947D6"/>
    <w:rsid w:val="271909D4"/>
    <w:rsid w:val="27417518"/>
    <w:rsid w:val="275E6CCD"/>
    <w:rsid w:val="276F1A45"/>
    <w:rsid w:val="27700695"/>
    <w:rsid w:val="27716A62"/>
    <w:rsid w:val="277F098D"/>
    <w:rsid w:val="278D3D61"/>
    <w:rsid w:val="2792218E"/>
    <w:rsid w:val="27B81DC5"/>
    <w:rsid w:val="27BE1357"/>
    <w:rsid w:val="27F86043"/>
    <w:rsid w:val="28327F9F"/>
    <w:rsid w:val="286C21C2"/>
    <w:rsid w:val="28A04599"/>
    <w:rsid w:val="28A4702E"/>
    <w:rsid w:val="290851A4"/>
    <w:rsid w:val="29260107"/>
    <w:rsid w:val="294018B2"/>
    <w:rsid w:val="294066EC"/>
    <w:rsid w:val="29571049"/>
    <w:rsid w:val="29632A89"/>
    <w:rsid w:val="297B150D"/>
    <w:rsid w:val="29AA4FC9"/>
    <w:rsid w:val="29C05606"/>
    <w:rsid w:val="29C56BF1"/>
    <w:rsid w:val="29F11912"/>
    <w:rsid w:val="29F700B4"/>
    <w:rsid w:val="2A193E18"/>
    <w:rsid w:val="2A2C0A1E"/>
    <w:rsid w:val="2A5E32CD"/>
    <w:rsid w:val="2A8B022C"/>
    <w:rsid w:val="2ACF47A7"/>
    <w:rsid w:val="2B216024"/>
    <w:rsid w:val="2B3202B6"/>
    <w:rsid w:val="2B597CB8"/>
    <w:rsid w:val="2B7E34FB"/>
    <w:rsid w:val="2B9E147E"/>
    <w:rsid w:val="2BA87B52"/>
    <w:rsid w:val="2BB4516F"/>
    <w:rsid w:val="2BD575BF"/>
    <w:rsid w:val="2C0E5542"/>
    <w:rsid w:val="2C417D1E"/>
    <w:rsid w:val="2C723060"/>
    <w:rsid w:val="2C786108"/>
    <w:rsid w:val="2C8E3C12"/>
    <w:rsid w:val="2D134627"/>
    <w:rsid w:val="2D2A56E9"/>
    <w:rsid w:val="2D4F15F3"/>
    <w:rsid w:val="2DC16410"/>
    <w:rsid w:val="2DC529D9"/>
    <w:rsid w:val="2E1B251B"/>
    <w:rsid w:val="2E240F9E"/>
    <w:rsid w:val="2E412F8B"/>
    <w:rsid w:val="2E582195"/>
    <w:rsid w:val="2E755C75"/>
    <w:rsid w:val="2E864BA1"/>
    <w:rsid w:val="2E8D60F4"/>
    <w:rsid w:val="2EBB2FC2"/>
    <w:rsid w:val="2F440825"/>
    <w:rsid w:val="2F49576C"/>
    <w:rsid w:val="2F495FF8"/>
    <w:rsid w:val="2F4D7116"/>
    <w:rsid w:val="2F4F58DB"/>
    <w:rsid w:val="2F5C1DA5"/>
    <w:rsid w:val="2F8530AA"/>
    <w:rsid w:val="2FA774C5"/>
    <w:rsid w:val="2FD63262"/>
    <w:rsid w:val="2FDA265A"/>
    <w:rsid w:val="2FEA4507"/>
    <w:rsid w:val="2FF73193"/>
    <w:rsid w:val="30010B15"/>
    <w:rsid w:val="300264A9"/>
    <w:rsid w:val="302F291A"/>
    <w:rsid w:val="30601421"/>
    <w:rsid w:val="30665EBF"/>
    <w:rsid w:val="30B6355D"/>
    <w:rsid w:val="30B8300C"/>
    <w:rsid w:val="30C365CE"/>
    <w:rsid w:val="30E0222B"/>
    <w:rsid w:val="30EB33E1"/>
    <w:rsid w:val="30F42A4E"/>
    <w:rsid w:val="31035DBC"/>
    <w:rsid w:val="313750BC"/>
    <w:rsid w:val="315471D8"/>
    <w:rsid w:val="316000FD"/>
    <w:rsid w:val="316118F5"/>
    <w:rsid w:val="31AD0696"/>
    <w:rsid w:val="31CA749A"/>
    <w:rsid w:val="31DF2BF7"/>
    <w:rsid w:val="31E53A14"/>
    <w:rsid w:val="31E74F8D"/>
    <w:rsid w:val="31EF16B4"/>
    <w:rsid w:val="31F4315B"/>
    <w:rsid w:val="31FE7144"/>
    <w:rsid w:val="321B1AA4"/>
    <w:rsid w:val="322E543B"/>
    <w:rsid w:val="323D7021"/>
    <w:rsid w:val="325A6A4C"/>
    <w:rsid w:val="325B6344"/>
    <w:rsid w:val="32713287"/>
    <w:rsid w:val="32B22ACE"/>
    <w:rsid w:val="32C5567E"/>
    <w:rsid w:val="32CE4D68"/>
    <w:rsid w:val="33022C64"/>
    <w:rsid w:val="33294694"/>
    <w:rsid w:val="33436374"/>
    <w:rsid w:val="33457D66"/>
    <w:rsid w:val="337B1B66"/>
    <w:rsid w:val="337D00C3"/>
    <w:rsid w:val="3381021E"/>
    <w:rsid w:val="33864FA4"/>
    <w:rsid w:val="33865643"/>
    <w:rsid w:val="33955886"/>
    <w:rsid w:val="33C61EE3"/>
    <w:rsid w:val="33E22AAC"/>
    <w:rsid w:val="34006CB9"/>
    <w:rsid w:val="34106FC2"/>
    <w:rsid w:val="34272982"/>
    <w:rsid w:val="343C79F1"/>
    <w:rsid w:val="34A73AC3"/>
    <w:rsid w:val="34B32E6D"/>
    <w:rsid w:val="34C24459"/>
    <w:rsid w:val="34D75F6F"/>
    <w:rsid w:val="34F1077B"/>
    <w:rsid w:val="35014E47"/>
    <w:rsid w:val="3509393A"/>
    <w:rsid w:val="35273FB7"/>
    <w:rsid w:val="35305866"/>
    <w:rsid w:val="355F2BEC"/>
    <w:rsid w:val="356A2A1B"/>
    <w:rsid w:val="356F5461"/>
    <w:rsid w:val="359F7CB0"/>
    <w:rsid w:val="35A0363F"/>
    <w:rsid w:val="35CB558F"/>
    <w:rsid w:val="35DE3514"/>
    <w:rsid w:val="35F5260C"/>
    <w:rsid w:val="361B561A"/>
    <w:rsid w:val="362A0508"/>
    <w:rsid w:val="36387FA3"/>
    <w:rsid w:val="36410A9D"/>
    <w:rsid w:val="364A067C"/>
    <w:rsid w:val="36866C5C"/>
    <w:rsid w:val="368B05D8"/>
    <w:rsid w:val="36A72487"/>
    <w:rsid w:val="36BE6EA2"/>
    <w:rsid w:val="36F54FB9"/>
    <w:rsid w:val="374E54C3"/>
    <w:rsid w:val="375533C0"/>
    <w:rsid w:val="37590ECC"/>
    <w:rsid w:val="375F68D7"/>
    <w:rsid w:val="37623340"/>
    <w:rsid w:val="37C30C14"/>
    <w:rsid w:val="37E343EC"/>
    <w:rsid w:val="37E8067A"/>
    <w:rsid w:val="37EA49D8"/>
    <w:rsid w:val="37EF2844"/>
    <w:rsid w:val="37FF0384"/>
    <w:rsid w:val="38282656"/>
    <w:rsid w:val="38401D3E"/>
    <w:rsid w:val="38417D8A"/>
    <w:rsid w:val="38444167"/>
    <w:rsid w:val="3864228A"/>
    <w:rsid w:val="38944DBC"/>
    <w:rsid w:val="38CE1966"/>
    <w:rsid w:val="3914724D"/>
    <w:rsid w:val="39671352"/>
    <w:rsid w:val="397462A5"/>
    <w:rsid w:val="398638AA"/>
    <w:rsid w:val="39891BA8"/>
    <w:rsid w:val="39A14A8C"/>
    <w:rsid w:val="39B60304"/>
    <w:rsid w:val="39D3299A"/>
    <w:rsid w:val="39DE07C1"/>
    <w:rsid w:val="3A0C34DF"/>
    <w:rsid w:val="3A1D061C"/>
    <w:rsid w:val="3A306308"/>
    <w:rsid w:val="3A4811AB"/>
    <w:rsid w:val="3A650FDF"/>
    <w:rsid w:val="3A8229D4"/>
    <w:rsid w:val="3A947B69"/>
    <w:rsid w:val="3A955C05"/>
    <w:rsid w:val="3A96552E"/>
    <w:rsid w:val="3AB008FA"/>
    <w:rsid w:val="3AE96BE3"/>
    <w:rsid w:val="3AF24DD9"/>
    <w:rsid w:val="3B1F5D8D"/>
    <w:rsid w:val="3B677916"/>
    <w:rsid w:val="3BC05FB2"/>
    <w:rsid w:val="3BCD6080"/>
    <w:rsid w:val="3BFC2946"/>
    <w:rsid w:val="3C0161AE"/>
    <w:rsid w:val="3C017DF2"/>
    <w:rsid w:val="3C017F5D"/>
    <w:rsid w:val="3C0E1993"/>
    <w:rsid w:val="3C1A7A70"/>
    <w:rsid w:val="3C2029C6"/>
    <w:rsid w:val="3C2D6FA3"/>
    <w:rsid w:val="3C430FA0"/>
    <w:rsid w:val="3C8C1F1C"/>
    <w:rsid w:val="3C925059"/>
    <w:rsid w:val="3CBD666B"/>
    <w:rsid w:val="3CC03AAB"/>
    <w:rsid w:val="3CCE73A0"/>
    <w:rsid w:val="3CDE3DFA"/>
    <w:rsid w:val="3CE26B1D"/>
    <w:rsid w:val="3CE77152"/>
    <w:rsid w:val="3D0E0B83"/>
    <w:rsid w:val="3D1B3AA0"/>
    <w:rsid w:val="3D2437E4"/>
    <w:rsid w:val="3D2F4654"/>
    <w:rsid w:val="3D3E3FF7"/>
    <w:rsid w:val="3D676182"/>
    <w:rsid w:val="3D6E1622"/>
    <w:rsid w:val="3D7A1A73"/>
    <w:rsid w:val="3D9A4248"/>
    <w:rsid w:val="3D9A6CBA"/>
    <w:rsid w:val="3DB64500"/>
    <w:rsid w:val="3DC254CA"/>
    <w:rsid w:val="3DD937EB"/>
    <w:rsid w:val="3E246184"/>
    <w:rsid w:val="3E3E7246"/>
    <w:rsid w:val="3E573E64"/>
    <w:rsid w:val="3E6574CC"/>
    <w:rsid w:val="3F473ED8"/>
    <w:rsid w:val="3F6031EC"/>
    <w:rsid w:val="3F620D12"/>
    <w:rsid w:val="3F7B3236"/>
    <w:rsid w:val="3F7D78FA"/>
    <w:rsid w:val="3F852C53"/>
    <w:rsid w:val="3FB42307"/>
    <w:rsid w:val="3FCA42B2"/>
    <w:rsid w:val="401D732F"/>
    <w:rsid w:val="40C768AC"/>
    <w:rsid w:val="40D64646"/>
    <w:rsid w:val="40D64B0A"/>
    <w:rsid w:val="40F7192E"/>
    <w:rsid w:val="410A78B3"/>
    <w:rsid w:val="411C75E7"/>
    <w:rsid w:val="41210759"/>
    <w:rsid w:val="413966E6"/>
    <w:rsid w:val="4175699C"/>
    <w:rsid w:val="41A00362"/>
    <w:rsid w:val="41A6488F"/>
    <w:rsid w:val="41B166E0"/>
    <w:rsid w:val="41CD0868"/>
    <w:rsid w:val="41E75F55"/>
    <w:rsid w:val="41FB28C1"/>
    <w:rsid w:val="42DA60A2"/>
    <w:rsid w:val="42E3216A"/>
    <w:rsid w:val="43227A1B"/>
    <w:rsid w:val="434C100C"/>
    <w:rsid w:val="43525F3A"/>
    <w:rsid w:val="4353334F"/>
    <w:rsid w:val="43654427"/>
    <w:rsid w:val="4370502C"/>
    <w:rsid w:val="43B43B06"/>
    <w:rsid w:val="43F35365"/>
    <w:rsid w:val="441A605F"/>
    <w:rsid w:val="44221C29"/>
    <w:rsid w:val="44815866"/>
    <w:rsid w:val="448533EA"/>
    <w:rsid w:val="44A82ED3"/>
    <w:rsid w:val="44B53FC2"/>
    <w:rsid w:val="44B60F50"/>
    <w:rsid w:val="44C85ABB"/>
    <w:rsid w:val="44CB47C5"/>
    <w:rsid w:val="44E1178C"/>
    <w:rsid w:val="4558682B"/>
    <w:rsid w:val="455F0C25"/>
    <w:rsid w:val="456C0292"/>
    <w:rsid w:val="45C45F29"/>
    <w:rsid w:val="45F12775"/>
    <w:rsid w:val="46410A2B"/>
    <w:rsid w:val="466730B2"/>
    <w:rsid w:val="46C959D4"/>
    <w:rsid w:val="46D52711"/>
    <w:rsid w:val="47060B1D"/>
    <w:rsid w:val="474D674C"/>
    <w:rsid w:val="47633879"/>
    <w:rsid w:val="476870E2"/>
    <w:rsid w:val="47C47EC9"/>
    <w:rsid w:val="47C7784B"/>
    <w:rsid w:val="47ED4D91"/>
    <w:rsid w:val="48145D83"/>
    <w:rsid w:val="481728B6"/>
    <w:rsid w:val="482639F5"/>
    <w:rsid w:val="48537D67"/>
    <w:rsid w:val="4864156E"/>
    <w:rsid w:val="48754411"/>
    <w:rsid w:val="48AB5A85"/>
    <w:rsid w:val="48C7608A"/>
    <w:rsid w:val="48D47E66"/>
    <w:rsid w:val="49042076"/>
    <w:rsid w:val="492D4827"/>
    <w:rsid w:val="499E6DEB"/>
    <w:rsid w:val="49B368B7"/>
    <w:rsid w:val="49CF3448"/>
    <w:rsid w:val="49D623D1"/>
    <w:rsid w:val="4A0A510F"/>
    <w:rsid w:val="4A235B57"/>
    <w:rsid w:val="4A2A4B22"/>
    <w:rsid w:val="4A372676"/>
    <w:rsid w:val="4A4A38D3"/>
    <w:rsid w:val="4A4E14F8"/>
    <w:rsid w:val="4A6E0EBA"/>
    <w:rsid w:val="4A9A005B"/>
    <w:rsid w:val="4AC070F1"/>
    <w:rsid w:val="4AC27DA8"/>
    <w:rsid w:val="4B03281C"/>
    <w:rsid w:val="4B0C3E56"/>
    <w:rsid w:val="4B17661E"/>
    <w:rsid w:val="4B1F0AA3"/>
    <w:rsid w:val="4B785B6A"/>
    <w:rsid w:val="4B887D52"/>
    <w:rsid w:val="4B8B1A9F"/>
    <w:rsid w:val="4BC94A7A"/>
    <w:rsid w:val="4BCB7C3F"/>
    <w:rsid w:val="4BCD7E5B"/>
    <w:rsid w:val="4BD11CE8"/>
    <w:rsid w:val="4C455C43"/>
    <w:rsid w:val="4C545E87"/>
    <w:rsid w:val="4C5F6A98"/>
    <w:rsid w:val="4C810E93"/>
    <w:rsid w:val="4C9A61E3"/>
    <w:rsid w:val="4CBD7515"/>
    <w:rsid w:val="4CDE46F5"/>
    <w:rsid w:val="4CEA72F7"/>
    <w:rsid w:val="4D051315"/>
    <w:rsid w:val="4D155616"/>
    <w:rsid w:val="4D33390E"/>
    <w:rsid w:val="4D493511"/>
    <w:rsid w:val="4D7D140D"/>
    <w:rsid w:val="4D8367CC"/>
    <w:rsid w:val="4D9E7067"/>
    <w:rsid w:val="4DC808DA"/>
    <w:rsid w:val="4DF802A8"/>
    <w:rsid w:val="4E204CBE"/>
    <w:rsid w:val="4E650903"/>
    <w:rsid w:val="4E6676BF"/>
    <w:rsid w:val="4E6B645F"/>
    <w:rsid w:val="4E7B3B9E"/>
    <w:rsid w:val="4E7C606C"/>
    <w:rsid w:val="4EA44E8F"/>
    <w:rsid w:val="4EAC1FAA"/>
    <w:rsid w:val="4EC512BE"/>
    <w:rsid w:val="4F195165"/>
    <w:rsid w:val="4F3C2FF7"/>
    <w:rsid w:val="4F443F90"/>
    <w:rsid w:val="4F511FB2"/>
    <w:rsid w:val="4F61706A"/>
    <w:rsid w:val="4F80507E"/>
    <w:rsid w:val="4FA95108"/>
    <w:rsid w:val="4FE62232"/>
    <w:rsid w:val="4FF754A7"/>
    <w:rsid w:val="4FFF6109"/>
    <w:rsid w:val="50013D4A"/>
    <w:rsid w:val="5008134F"/>
    <w:rsid w:val="506F4EF7"/>
    <w:rsid w:val="507537AB"/>
    <w:rsid w:val="508C2093"/>
    <w:rsid w:val="50AF5D81"/>
    <w:rsid w:val="50CE04AA"/>
    <w:rsid w:val="50D07C33"/>
    <w:rsid w:val="50D70F3E"/>
    <w:rsid w:val="50E13A61"/>
    <w:rsid w:val="50E377D9"/>
    <w:rsid w:val="51252566"/>
    <w:rsid w:val="51262C85"/>
    <w:rsid w:val="514E657C"/>
    <w:rsid w:val="51635AEC"/>
    <w:rsid w:val="518A5EA7"/>
    <w:rsid w:val="51B638E6"/>
    <w:rsid w:val="51D75590"/>
    <w:rsid w:val="520209ED"/>
    <w:rsid w:val="5206232F"/>
    <w:rsid w:val="520F24BE"/>
    <w:rsid w:val="521A10FF"/>
    <w:rsid w:val="521F2DEA"/>
    <w:rsid w:val="523752C8"/>
    <w:rsid w:val="52493F12"/>
    <w:rsid w:val="524A4DB3"/>
    <w:rsid w:val="52530B4F"/>
    <w:rsid w:val="525A1B7F"/>
    <w:rsid w:val="525E3FA8"/>
    <w:rsid w:val="52790DD0"/>
    <w:rsid w:val="527D03E3"/>
    <w:rsid w:val="52927CE4"/>
    <w:rsid w:val="52CF270B"/>
    <w:rsid w:val="52DC3EA3"/>
    <w:rsid w:val="52F757BE"/>
    <w:rsid w:val="530435E9"/>
    <w:rsid w:val="531E6426"/>
    <w:rsid w:val="537A66B1"/>
    <w:rsid w:val="53807561"/>
    <w:rsid w:val="53A44F5A"/>
    <w:rsid w:val="53DA1367"/>
    <w:rsid w:val="53DA3115"/>
    <w:rsid w:val="53F0682E"/>
    <w:rsid w:val="53FA7313"/>
    <w:rsid w:val="541805F8"/>
    <w:rsid w:val="542902D8"/>
    <w:rsid w:val="5435659E"/>
    <w:rsid w:val="544D2AA6"/>
    <w:rsid w:val="545F7ABE"/>
    <w:rsid w:val="54627485"/>
    <w:rsid w:val="54851B63"/>
    <w:rsid w:val="5495528E"/>
    <w:rsid w:val="54991B10"/>
    <w:rsid w:val="54AD082A"/>
    <w:rsid w:val="550D751A"/>
    <w:rsid w:val="554B7562"/>
    <w:rsid w:val="557D4AFD"/>
    <w:rsid w:val="558A0B6B"/>
    <w:rsid w:val="55A345CB"/>
    <w:rsid w:val="55A62060"/>
    <w:rsid w:val="55B66725"/>
    <w:rsid w:val="55BF57CF"/>
    <w:rsid w:val="55CC4CE0"/>
    <w:rsid w:val="55F83D27"/>
    <w:rsid w:val="55FE181C"/>
    <w:rsid w:val="561B45B6"/>
    <w:rsid w:val="564477C4"/>
    <w:rsid w:val="5670133B"/>
    <w:rsid w:val="568140A3"/>
    <w:rsid w:val="56856B95"/>
    <w:rsid w:val="56977C61"/>
    <w:rsid w:val="56B440F1"/>
    <w:rsid w:val="56C76644"/>
    <w:rsid w:val="57064221"/>
    <w:rsid w:val="570D1A54"/>
    <w:rsid w:val="570F1328"/>
    <w:rsid w:val="572C58C2"/>
    <w:rsid w:val="572D56FC"/>
    <w:rsid w:val="574D1E50"/>
    <w:rsid w:val="575E405D"/>
    <w:rsid w:val="576724ED"/>
    <w:rsid w:val="57803B24"/>
    <w:rsid w:val="57AB36C7"/>
    <w:rsid w:val="57D15BE8"/>
    <w:rsid w:val="57DD3759"/>
    <w:rsid w:val="58315BF8"/>
    <w:rsid w:val="58381016"/>
    <w:rsid w:val="585D494D"/>
    <w:rsid w:val="5872498F"/>
    <w:rsid w:val="589917F1"/>
    <w:rsid w:val="58A30853"/>
    <w:rsid w:val="58B20EEC"/>
    <w:rsid w:val="58B42ACF"/>
    <w:rsid w:val="58C34500"/>
    <w:rsid w:val="58E81E30"/>
    <w:rsid w:val="58F15EA1"/>
    <w:rsid w:val="5919342E"/>
    <w:rsid w:val="593B4656"/>
    <w:rsid w:val="59492892"/>
    <w:rsid w:val="594B28BB"/>
    <w:rsid w:val="59555B2C"/>
    <w:rsid w:val="59715A31"/>
    <w:rsid w:val="5980650D"/>
    <w:rsid w:val="59E545C2"/>
    <w:rsid w:val="5A07236A"/>
    <w:rsid w:val="5A0B6D6A"/>
    <w:rsid w:val="5A3966BC"/>
    <w:rsid w:val="5A45448E"/>
    <w:rsid w:val="5A47702B"/>
    <w:rsid w:val="5A4E03B9"/>
    <w:rsid w:val="5A4F0F30"/>
    <w:rsid w:val="5A534DD9"/>
    <w:rsid w:val="5A564C1E"/>
    <w:rsid w:val="5A7A1FB9"/>
    <w:rsid w:val="5A897643"/>
    <w:rsid w:val="5A8B6F17"/>
    <w:rsid w:val="5AB73D55"/>
    <w:rsid w:val="5ABB66D0"/>
    <w:rsid w:val="5ABF6998"/>
    <w:rsid w:val="5AEE11BA"/>
    <w:rsid w:val="5AF251E8"/>
    <w:rsid w:val="5AF90041"/>
    <w:rsid w:val="5B0818FB"/>
    <w:rsid w:val="5B263B94"/>
    <w:rsid w:val="5B601D6D"/>
    <w:rsid w:val="5B743E4F"/>
    <w:rsid w:val="5B83029F"/>
    <w:rsid w:val="5BE92602"/>
    <w:rsid w:val="5C157F52"/>
    <w:rsid w:val="5C2018E1"/>
    <w:rsid w:val="5C550BA8"/>
    <w:rsid w:val="5C676D0D"/>
    <w:rsid w:val="5C6B34A4"/>
    <w:rsid w:val="5C8005D2"/>
    <w:rsid w:val="5C8475DE"/>
    <w:rsid w:val="5C9C0AF2"/>
    <w:rsid w:val="5CA274FD"/>
    <w:rsid w:val="5CB5392F"/>
    <w:rsid w:val="5CD437AF"/>
    <w:rsid w:val="5CF51C8D"/>
    <w:rsid w:val="5D007C7D"/>
    <w:rsid w:val="5D505750"/>
    <w:rsid w:val="5D7A11A8"/>
    <w:rsid w:val="5D890602"/>
    <w:rsid w:val="5DA0257B"/>
    <w:rsid w:val="5DC42740"/>
    <w:rsid w:val="5DCB710B"/>
    <w:rsid w:val="5E281E41"/>
    <w:rsid w:val="5E785A05"/>
    <w:rsid w:val="5E897C12"/>
    <w:rsid w:val="5EC10F9E"/>
    <w:rsid w:val="5EF40C46"/>
    <w:rsid w:val="5EF84D97"/>
    <w:rsid w:val="5F1272F5"/>
    <w:rsid w:val="5F264104"/>
    <w:rsid w:val="5F3C6491"/>
    <w:rsid w:val="5F50072F"/>
    <w:rsid w:val="5F8403D9"/>
    <w:rsid w:val="5FA345E7"/>
    <w:rsid w:val="5FB40BD5"/>
    <w:rsid w:val="5FB962D5"/>
    <w:rsid w:val="5FBF2ADD"/>
    <w:rsid w:val="602120CC"/>
    <w:rsid w:val="604F169B"/>
    <w:rsid w:val="605D58D7"/>
    <w:rsid w:val="607B3852"/>
    <w:rsid w:val="608A36C4"/>
    <w:rsid w:val="60D33507"/>
    <w:rsid w:val="60D37AAA"/>
    <w:rsid w:val="61002717"/>
    <w:rsid w:val="610E2650"/>
    <w:rsid w:val="61262629"/>
    <w:rsid w:val="61443DE8"/>
    <w:rsid w:val="61510522"/>
    <w:rsid w:val="61587D6F"/>
    <w:rsid w:val="618E553F"/>
    <w:rsid w:val="61B03918"/>
    <w:rsid w:val="61B80D62"/>
    <w:rsid w:val="623946AB"/>
    <w:rsid w:val="62554DF2"/>
    <w:rsid w:val="62574CA2"/>
    <w:rsid w:val="626A7D5A"/>
    <w:rsid w:val="62B64D4D"/>
    <w:rsid w:val="62DB0C58"/>
    <w:rsid w:val="62E23D94"/>
    <w:rsid w:val="62F37D50"/>
    <w:rsid w:val="631A125F"/>
    <w:rsid w:val="63212B0F"/>
    <w:rsid w:val="632A78CE"/>
    <w:rsid w:val="63410D58"/>
    <w:rsid w:val="63465F65"/>
    <w:rsid w:val="63536A40"/>
    <w:rsid w:val="6370314E"/>
    <w:rsid w:val="6381535B"/>
    <w:rsid w:val="63A92B04"/>
    <w:rsid w:val="63B06DFD"/>
    <w:rsid w:val="640815D9"/>
    <w:rsid w:val="6409635F"/>
    <w:rsid w:val="6410689C"/>
    <w:rsid w:val="6438384B"/>
    <w:rsid w:val="64591E34"/>
    <w:rsid w:val="646714E1"/>
    <w:rsid w:val="64854876"/>
    <w:rsid w:val="64AC28AC"/>
    <w:rsid w:val="64CC32C3"/>
    <w:rsid w:val="64D14B54"/>
    <w:rsid w:val="64D25170"/>
    <w:rsid w:val="64D81563"/>
    <w:rsid w:val="64EA656E"/>
    <w:rsid w:val="64F8178D"/>
    <w:rsid w:val="650F4EF0"/>
    <w:rsid w:val="652C70D8"/>
    <w:rsid w:val="65356BB1"/>
    <w:rsid w:val="653B14C4"/>
    <w:rsid w:val="65CB33EC"/>
    <w:rsid w:val="65D06126"/>
    <w:rsid w:val="660B1854"/>
    <w:rsid w:val="66127E06"/>
    <w:rsid w:val="662A0A44"/>
    <w:rsid w:val="662F5543"/>
    <w:rsid w:val="666F001B"/>
    <w:rsid w:val="667451FB"/>
    <w:rsid w:val="668D2269"/>
    <w:rsid w:val="66AD6A92"/>
    <w:rsid w:val="66D92742"/>
    <w:rsid w:val="66E63767"/>
    <w:rsid w:val="66F10827"/>
    <w:rsid w:val="67053946"/>
    <w:rsid w:val="670F0ED0"/>
    <w:rsid w:val="67401175"/>
    <w:rsid w:val="67451773"/>
    <w:rsid w:val="677700BB"/>
    <w:rsid w:val="67784CC7"/>
    <w:rsid w:val="67860989"/>
    <w:rsid w:val="67883798"/>
    <w:rsid w:val="67996B23"/>
    <w:rsid w:val="683A01CF"/>
    <w:rsid w:val="684150B9"/>
    <w:rsid w:val="685017A0"/>
    <w:rsid w:val="6861575B"/>
    <w:rsid w:val="687C7414"/>
    <w:rsid w:val="68AB6CFB"/>
    <w:rsid w:val="68B040A0"/>
    <w:rsid w:val="68EF4B15"/>
    <w:rsid w:val="693D1D24"/>
    <w:rsid w:val="694E3C0F"/>
    <w:rsid w:val="695C4910"/>
    <w:rsid w:val="69716A98"/>
    <w:rsid w:val="697414BE"/>
    <w:rsid w:val="697B1781"/>
    <w:rsid w:val="69B57F1B"/>
    <w:rsid w:val="69B70C13"/>
    <w:rsid w:val="69C836F6"/>
    <w:rsid w:val="69DD7064"/>
    <w:rsid w:val="69E77E4D"/>
    <w:rsid w:val="69F50851"/>
    <w:rsid w:val="6A032394"/>
    <w:rsid w:val="6A0B3BD1"/>
    <w:rsid w:val="6A3824EC"/>
    <w:rsid w:val="6A700594"/>
    <w:rsid w:val="6A856AFE"/>
    <w:rsid w:val="6ABB67D3"/>
    <w:rsid w:val="6B3233DF"/>
    <w:rsid w:val="6B463A66"/>
    <w:rsid w:val="6B475596"/>
    <w:rsid w:val="6B4C44A1"/>
    <w:rsid w:val="6B6138D7"/>
    <w:rsid w:val="6B77608D"/>
    <w:rsid w:val="6BB1661F"/>
    <w:rsid w:val="6BC060B4"/>
    <w:rsid w:val="6BDD26AF"/>
    <w:rsid w:val="6C291DD5"/>
    <w:rsid w:val="6C5C5A57"/>
    <w:rsid w:val="6C7438EA"/>
    <w:rsid w:val="6C7D4B2E"/>
    <w:rsid w:val="6C813343"/>
    <w:rsid w:val="6C997DFF"/>
    <w:rsid w:val="6CBF4531"/>
    <w:rsid w:val="6CD1274A"/>
    <w:rsid w:val="6CDE4484"/>
    <w:rsid w:val="6CEF1CA7"/>
    <w:rsid w:val="6CF11056"/>
    <w:rsid w:val="6D052F5D"/>
    <w:rsid w:val="6D0C1C97"/>
    <w:rsid w:val="6D2F4B04"/>
    <w:rsid w:val="6D4912FE"/>
    <w:rsid w:val="6D627EDC"/>
    <w:rsid w:val="6D6C0E2A"/>
    <w:rsid w:val="6D6D1F81"/>
    <w:rsid w:val="6D702199"/>
    <w:rsid w:val="6D9F1F81"/>
    <w:rsid w:val="6DAA462E"/>
    <w:rsid w:val="6DAF6F69"/>
    <w:rsid w:val="6DC1541F"/>
    <w:rsid w:val="6E094833"/>
    <w:rsid w:val="6E475B3F"/>
    <w:rsid w:val="6E4A5DE9"/>
    <w:rsid w:val="6E4B6C92"/>
    <w:rsid w:val="6E8D0C04"/>
    <w:rsid w:val="6E9310B7"/>
    <w:rsid w:val="6EBC7B8F"/>
    <w:rsid w:val="6EBF73CB"/>
    <w:rsid w:val="6ED90CE1"/>
    <w:rsid w:val="6F1468E1"/>
    <w:rsid w:val="6F3068CA"/>
    <w:rsid w:val="6FA65D1A"/>
    <w:rsid w:val="6FBC5139"/>
    <w:rsid w:val="6FBC771B"/>
    <w:rsid w:val="70074E3A"/>
    <w:rsid w:val="701557A9"/>
    <w:rsid w:val="701A2428"/>
    <w:rsid w:val="703A5166"/>
    <w:rsid w:val="703B1A58"/>
    <w:rsid w:val="703B4C2E"/>
    <w:rsid w:val="703C2DB9"/>
    <w:rsid w:val="70482DCD"/>
    <w:rsid w:val="70687570"/>
    <w:rsid w:val="707B75D6"/>
    <w:rsid w:val="70867F63"/>
    <w:rsid w:val="711D243B"/>
    <w:rsid w:val="716259BD"/>
    <w:rsid w:val="716F7B4F"/>
    <w:rsid w:val="71713FF1"/>
    <w:rsid w:val="718A7AD1"/>
    <w:rsid w:val="71B16BB6"/>
    <w:rsid w:val="71C60C68"/>
    <w:rsid w:val="72053772"/>
    <w:rsid w:val="72203F91"/>
    <w:rsid w:val="723344DB"/>
    <w:rsid w:val="723659A2"/>
    <w:rsid w:val="728E1843"/>
    <w:rsid w:val="728F1117"/>
    <w:rsid w:val="729B666C"/>
    <w:rsid w:val="729D5B71"/>
    <w:rsid w:val="729F57FE"/>
    <w:rsid w:val="72A50E51"/>
    <w:rsid w:val="72B14D40"/>
    <w:rsid w:val="72BC22AC"/>
    <w:rsid w:val="731B47A8"/>
    <w:rsid w:val="731D44A6"/>
    <w:rsid w:val="731E21D2"/>
    <w:rsid w:val="73322583"/>
    <w:rsid w:val="73667774"/>
    <w:rsid w:val="736769C7"/>
    <w:rsid w:val="737954EF"/>
    <w:rsid w:val="73935567"/>
    <w:rsid w:val="73972979"/>
    <w:rsid w:val="73B27644"/>
    <w:rsid w:val="73D56FFD"/>
    <w:rsid w:val="73F54672"/>
    <w:rsid w:val="746778E1"/>
    <w:rsid w:val="747B5DF7"/>
    <w:rsid w:val="7498585D"/>
    <w:rsid w:val="749D2C40"/>
    <w:rsid w:val="74B92D63"/>
    <w:rsid w:val="74CF31E2"/>
    <w:rsid w:val="74D355C3"/>
    <w:rsid w:val="74FF6EC8"/>
    <w:rsid w:val="751345E7"/>
    <w:rsid w:val="75145299"/>
    <w:rsid w:val="751C4038"/>
    <w:rsid w:val="75473464"/>
    <w:rsid w:val="754B3A1B"/>
    <w:rsid w:val="754B57C9"/>
    <w:rsid w:val="758B11E8"/>
    <w:rsid w:val="75AD4614"/>
    <w:rsid w:val="75EC750B"/>
    <w:rsid w:val="75F147DC"/>
    <w:rsid w:val="75FC6BEF"/>
    <w:rsid w:val="76147D8F"/>
    <w:rsid w:val="763B1608"/>
    <w:rsid w:val="76524935"/>
    <w:rsid w:val="7663189B"/>
    <w:rsid w:val="769E5DCD"/>
    <w:rsid w:val="76A4712A"/>
    <w:rsid w:val="76B54B85"/>
    <w:rsid w:val="76C41595"/>
    <w:rsid w:val="76D07693"/>
    <w:rsid w:val="76D637B8"/>
    <w:rsid w:val="770245AD"/>
    <w:rsid w:val="770D3DE8"/>
    <w:rsid w:val="771A18F7"/>
    <w:rsid w:val="77352528"/>
    <w:rsid w:val="7763329E"/>
    <w:rsid w:val="776823B8"/>
    <w:rsid w:val="7778661E"/>
    <w:rsid w:val="7779091F"/>
    <w:rsid w:val="77A03606"/>
    <w:rsid w:val="77A47413"/>
    <w:rsid w:val="77A979A7"/>
    <w:rsid w:val="77AB07A1"/>
    <w:rsid w:val="77D5456F"/>
    <w:rsid w:val="77D552A5"/>
    <w:rsid w:val="7830212D"/>
    <w:rsid w:val="784E31B2"/>
    <w:rsid w:val="785726D7"/>
    <w:rsid w:val="78574AAF"/>
    <w:rsid w:val="787F770E"/>
    <w:rsid w:val="78874D6A"/>
    <w:rsid w:val="78A07BDA"/>
    <w:rsid w:val="78E634B9"/>
    <w:rsid w:val="78F87A16"/>
    <w:rsid w:val="790D1263"/>
    <w:rsid w:val="79226841"/>
    <w:rsid w:val="792446E6"/>
    <w:rsid w:val="795B7FA5"/>
    <w:rsid w:val="79A16B7E"/>
    <w:rsid w:val="79B41377"/>
    <w:rsid w:val="79BE01B2"/>
    <w:rsid w:val="79C03F87"/>
    <w:rsid w:val="79C43D9C"/>
    <w:rsid w:val="79F27491"/>
    <w:rsid w:val="7A122D59"/>
    <w:rsid w:val="7A2C2B52"/>
    <w:rsid w:val="7A4F250A"/>
    <w:rsid w:val="7A5E7D4D"/>
    <w:rsid w:val="7A7255A6"/>
    <w:rsid w:val="7A88301C"/>
    <w:rsid w:val="7A8931F1"/>
    <w:rsid w:val="7A9B4AFD"/>
    <w:rsid w:val="7AE95437"/>
    <w:rsid w:val="7B0F1E7D"/>
    <w:rsid w:val="7B1960A5"/>
    <w:rsid w:val="7B334D35"/>
    <w:rsid w:val="7B5E2627"/>
    <w:rsid w:val="7B6C46EB"/>
    <w:rsid w:val="7BD22FB0"/>
    <w:rsid w:val="7C1A5EF5"/>
    <w:rsid w:val="7D042727"/>
    <w:rsid w:val="7D100FEF"/>
    <w:rsid w:val="7D3A360A"/>
    <w:rsid w:val="7D4F211A"/>
    <w:rsid w:val="7D7A4287"/>
    <w:rsid w:val="7D7A4E9D"/>
    <w:rsid w:val="7D7B4EB5"/>
    <w:rsid w:val="7D8119AA"/>
    <w:rsid w:val="7D947B16"/>
    <w:rsid w:val="7DA4465B"/>
    <w:rsid w:val="7DCC1471"/>
    <w:rsid w:val="7DD651D5"/>
    <w:rsid w:val="7DE14F1D"/>
    <w:rsid w:val="7DF365F2"/>
    <w:rsid w:val="7DF509C8"/>
    <w:rsid w:val="7E061DB0"/>
    <w:rsid w:val="7E323DE2"/>
    <w:rsid w:val="7E360B0F"/>
    <w:rsid w:val="7E432C8D"/>
    <w:rsid w:val="7E4454AB"/>
    <w:rsid w:val="7E7315C2"/>
    <w:rsid w:val="7EA23005"/>
    <w:rsid w:val="7EA5419C"/>
    <w:rsid w:val="7EA912E8"/>
    <w:rsid w:val="7EDC1B88"/>
    <w:rsid w:val="7EE750D0"/>
    <w:rsid w:val="7F4E65E2"/>
    <w:rsid w:val="7F8122AD"/>
    <w:rsid w:val="7FD70823"/>
    <w:rsid w:val="7FDD023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iPriority="99" w:semiHidden="0" w:name="index 4"/>
    <w:lsdException w:uiPriority="0" w:name="index 5"/>
    <w:lsdException w:uiPriority="0" w:name="index 6"/>
    <w:lsdException w:uiPriority="0" w:name="index 7"/>
    <w:lsdException w:uiPriority="0" w:name="index 8"/>
    <w:lsdException w:uiPriority="0" w:name="index 9"/>
    <w:lsdException w:qFormat="1"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qFormat="1"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99"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qFormat="1" w:unhideWhenUsed="0" w:uiPriority="99" w:semiHidden="0" w:name="Body Text First Indent 2"/>
    <w:lsdException w:uiPriority="0" w:name="Note Heading"/>
    <w:lsdException w:qFormat="1" w:unhideWhenUsed="0" w:uiPriority="99" w:semiHidden="0" w:name="Body Text 2"/>
    <w:lsdException w:uiPriority="0" w:name="Body Text 3"/>
    <w:lsdException w:qFormat="1" w:unhideWhenUsed="0" w:uiPriority="99"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qFormat="1" w:uiPriority="0" w:name="HTML Acronym"/>
    <w:lsdException w:uiPriority="0" w:name="HTML Address"/>
    <w:lsdException w:uiPriority="0" w:name="HTML Cite"/>
    <w:lsdException w:qFormat="1" w:uiPriority="0" w:name="HTML Code"/>
    <w:lsdException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autoRedefine/>
    <w:qFormat/>
    <w:uiPriority w:val="0"/>
    <w:pPr>
      <w:keepNext/>
      <w:tabs>
        <w:tab w:val="left" w:pos="1440"/>
        <w:tab w:val="left" w:pos="5670"/>
      </w:tabs>
      <w:spacing w:beforeLines="100" w:afterLines="100"/>
      <w:ind w:firstLine="2890" w:firstLineChars="1203"/>
      <w:outlineLvl w:val="0"/>
    </w:pPr>
    <w:rPr>
      <w:rFonts w:ascii="黑体" w:eastAsia="黑体"/>
      <w:b/>
      <w:kern w:val="44"/>
      <w:sz w:val="24"/>
      <w:szCs w:val="28"/>
    </w:rPr>
  </w:style>
  <w:style w:type="paragraph" w:styleId="3">
    <w:name w:val="heading 2"/>
    <w:basedOn w:val="1"/>
    <w:next w:val="1"/>
    <w:link w:val="66"/>
    <w:autoRedefine/>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link w:val="65"/>
    <w:autoRedefine/>
    <w:semiHidden/>
    <w:unhideWhenUsed/>
    <w:qFormat/>
    <w:uiPriority w:val="0"/>
    <w:pPr>
      <w:keepNext/>
      <w:keepLines/>
      <w:spacing w:before="260" w:after="260" w:line="412" w:lineRule="auto"/>
      <w:outlineLvl w:val="2"/>
    </w:pPr>
    <w:rPr>
      <w:b/>
      <w:kern w:val="0"/>
      <w:sz w:val="32"/>
      <w:szCs w:val="32"/>
    </w:rPr>
  </w:style>
  <w:style w:type="paragraph" w:styleId="5">
    <w:name w:val="heading 4"/>
    <w:basedOn w:val="1"/>
    <w:next w:val="1"/>
    <w:link w:val="55"/>
    <w:autoRedefine/>
    <w:qFormat/>
    <w:uiPriority w:val="0"/>
    <w:pPr>
      <w:keepNext/>
      <w:keepLines/>
      <w:spacing w:before="120" w:after="120"/>
      <w:outlineLvl w:val="3"/>
    </w:pPr>
    <w:rPr>
      <w:rFonts w:ascii="Arial" w:hAnsi="Arial" w:eastAsia="黑体"/>
      <w:b/>
      <w:sz w:val="28"/>
    </w:rPr>
  </w:style>
  <w:style w:type="paragraph" w:styleId="6">
    <w:name w:val="heading 5"/>
    <w:basedOn w:val="1"/>
    <w:next w:val="1"/>
    <w:autoRedefine/>
    <w:qFormat/>
    <w:uiPriority w:val="0"/>
    <w:pPr>
      <w:keepNext/>
      <w:autoSpaceDE w:val="0"/>
      <w:autoSpaceDN w:val="0"/>
      <w:adjustRightInd w:val="0"/>
      <w:spacing w:before="156" w:beforeLines="50" w:after="156" w:afterLines="50"/>
      <w:outlineLvl w:val="4"/>
    </w:pPr>
    <w:rPr>
      <w:rFonts w:ascii="黑体" w:eastAsia="黑体"/>
      <w:b/>
      <w:color w:val="000000"/>
      <w:sz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7">
    <w:name w:val="table of authorities"/>
    <w:basedOn w:val="1"/>
    <w:next w:val="1"/>
    <w:qFormat/>
    <w:uiPriority w:val="0"/>
    <w:pPr>
      <w:ind w:left="420" w:leftChars="200"/>
    </w:pPr>
    <w:rPr>
      <w:szCs w:val="24"/>
    </w:rPr>
  </w:style>
  <w:style w:type="paragraph" w:styleId="8">
    <w:name w:val="Normal Indent"/>
    <w:basedOn w:val="1"/>
    <w:autoRedefine/>
    <w:qFormat/>
    <w:uiPriority w:val="0"/>
    <w:pPr>
      <w:ind w:firstLine="420"/>
    </w:pPr>
  </w:style>
  <w:style w:type="paragraph" w:styleId="9">
    <w:name w:val="annotation text"/>
    <w:basedOn w:val="1"/>
    <w:link w:val="74"/>
    <w:autoRedefine/>
    <w:qFormat/>
    <w:uiPriority w:val="0"/>
    <w:pPr>
      <w:jc w:val="left"/>
    </w:pPr>
  </w:style>
  <w:style w:type="paragraph" w:styleId="10">
    <w:name w:val="Body Text"/>
    <w:basedOn w:val="1"/>
    <w:next w:val="1"/>
    <w:link w:val="57"/>
    <w:autoRedefine/>
    <w:qFormat/>
    <w:uiPriority w:val="0"/>
    <w:pPr>
      <w:spacing w:after="120"/>
    </w:pPr>
    <w:rPr>
      <w:kern w:val="0"/>
      <w:sz w:val="24"/>
      <w:szCs w:val="24"/>
    </w:rPr>
  </w:style>
  <w:style w:type="paragraph" w:styleId="11">
    <w:name w:val="Body Text Indent"/>
    <w:basedOn w:val="1"/>
    <w:next w:val="12"/>
    <w:autoRedefine/>
    <w:qFormat/>
    <w:uiPriority w:val="99"/>
    <w:pPr>
      <w:spacing w:after="120"/>
      <w:ind w:left="420" w:leftChars="200"/>
    </w:pPr>
    <w:rPr>
      <w:kern w:val="0"/>
      <w:sz w:val="24"/>
    </w:rPr>
  </w:style>
  <w:style w:type="paragraph" w:styleId="12">
    <w:name w:val="envelope return"/>
    <w:basedOn w:val="1"/>
    <w:qFormat/>
    <w:uiPriority w:val="0"/>
    <w:pPr>
      <w:snapToGrid w:val="0"/>
    </w:pPr>
    <w:rPr>
      <w:rFonts w:ascii="Arial" w:hAnsi="Arial"/>
    </w:rPr>
  </w:style>
  <w:style w:type="paragraph" w:styleId="13">
    <w:name w:val="Block Text"/>
    <w:basedOn w:val="1"/>
    <w:autoRedefine/>
    <w:unhideWhenUsed/>
    <w:qFormat/>
    <w:uiPriority w:val="99"/>
    <w:pPr>
      <w:spacing w:after="120"/>
      <w:ind w:left="1440" w:leftChars="700" w:right="1440" w:rightChars="700"/>
    </w:pPr>
  </w:style>
  <w:style w:type="paragraph" w:styleId="14">
    <w:name w:val="index 4"/>
    <w:basedOn w:val="1"/>
    <w:next w:val="1"/>
    <w:autoRedefine/>
    <w:unhideWhenUsed/>
    <w:qFormat/>
    <w:uiPriority w:val="99"/>
    <w:pPr>
      <w:ind w:left="600" w:leftChars="600"/>
    </w:pPr>
    <w:rPr>
      <w:rFonts w:ascii="Verdana" w:hAnsi="Verdana"/>
    </w:rPr>
  </w:style>
  <w:style w:type="paragraph" w:styleId="15">
    <w:name w:val="Plain Text"/>
    <w:basedOn w:val="1"/>
    <w:link w:val="67"/>
    <w:autoRedefine/>
    <w:qFormat/>
    <w:uiPriority w:val="0"/>
    <w:rPr>
      <w:rFonts w:ascii="宋体" w:hAnsi="Courier New" w:eastAsiaTheme="minorEastAsia" w:cstheme="minorBidi"/>
      <w:szCs w:val="22"/>
    </w:rPr>
  </w:style>
  <w:style w:type="paragraph" w:styleId="16">
    <w:name w:val="Body Text Indent 2"/>
    <w:basedOn w:val="1"/>
    <w:autoRedefine/>
    <w:qFormat/>
    <w:uiPriority w:val="99"/>
    <w:pPr>
      <w:ind w:left="630" w:firstLine="645"/>
    </w:pPr>
    <w:rPr>
      <w:rFonts w:ascii="Arial" w:hAnsi="Arial" w:eastAsia="仿宋_GB2312"/>
      <w:kern w:val="0"/>
      <w:sz w:val="32"/>
    </w:rPr>
  </w:style>
  <w:style w:type="paragraph" w:styleId="17">
    <w:name w:val="Balloon Text"/>
    <w:basedOn w:val="1"/>
    <w:link w:val="63"/>
    <w:autoRedefine/>
    <w:qFormat/>
    <w:uiPriority w:val="0"/>
    <w:rPr>
      <w:sz w:val="18"/>
      <w:szCs w:val="18"/>
    </w:rPr>
  </w:style>
  <w:style w:type="paragraph" w:styleId="18">
    <w:name w:val="footer"/>
    <w:basedOn w:val="1"/>
    <w:link w:val="58"/>
    <w:autoRedefine/>
    <w:qFormat/>
    <w:uiPriority w:val="0"/>
    <w:pPr>
      <w:tabs>
        <w:tab w:val="center" w:pos="4153"/>
        <w:tab w:val="right" w:pos="8306"/>
      </w:tabs>
      <w:snapToGrid w:val="0"/>
      <w:jc w:val="left"/>
    </w:pPr>
    <w:rPr>
      <w:sz w:val="18"/>
    </w:rPr>
  </w:style>
  <w:style w:type="paragraph" w:styleId="19">
    <w:name w:val="header"/>
    <w:basedOn w:val="1"/>
    <w:link w:val="59"/>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0">
    <w:name w:val="toc 1"/>
    <w:basedOn w:val="1"/>
    <w:next w:val="1"/>
    <w:semiHidden/>
    <w:unhideWhenUsed/>
    <w:qFormat/>
    <w:uiPriority w:val="0"/>
  </w:style>
  <w:style w:type="paragraph" w:styleId="21">
    <w:name w:val="Body Text Indent 3"/>
    <w:basedOn w:val="1"/>
    <w:autoRedefine/>
    <w:qFormat/>
    <w:uiPriority w:val="0"/>
    <w:pPr>
      <w:ind w:left="645" w:firstLine="645"/>
    </w:pPr>
    <w:rPr>
      <w:rFonts w:ascii="Arial" w:hAnsi="Arial" w:eastAsia="仿宋_GB2312"/>
      <w:color w:val="FFFF00"/>
      <w:sz w:val="32"/>
    </w:rPr>
  </w:style>
  <w:style w:type="paragraph" w:styleId="22">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500" w:leftChars="500" w:hanging="1080" w:hangingChars="500"/>
    </w:pPr>
    <w:rPr>
      <w:rFonts w:ascii="Arial" w:hAnsi="Arial"/>
      <w:sz w:val="24"/>
    </w:rPr>
  </w:style>
  <w:style w:type="paragraph" w:styleId="23">
    <w:name w:val="HTML Preformatted"/>
    <w:basedOn w:val="1"/>
    <w:link w:val="68"/>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24">
    <w:name w:val="Normal (Web)"/>
    <w:basedOn w:val="1"/>
    <w:autoRedefine/>
    <w:qFormat/>
    <w:uiPriority w:val="0"/>
    <w:pPr>
      <w:widowControl/>
      <w:spacing w:beforeAutospacing="1" w:afterAutospacing="1"/>
      <w:jc w:val="left"/>
    </w:pPr>
    <w:rPr>
      <w:rFonts w:hint="eastAsia" w:ascii="宋体" w:hAnsi="宋体"/>
      <w:kern w:val="0"/>
      <w:sz w:val="24"/>
      <w:szCs w:val="24"/>
    </w:rPr>
  </w:style>
  <w:style w:type="paragraph" w:styleId="25">
    <w:name w:val="annotation subject"/>
    <w:basedOn w:val="9"/>
    <w:next w:val="9"/>
    <w:link w:val="75"/>
    <w:autoRedefine/>
    <w:qFormat/>
    <w:uiPriority w:val="0"/>
    <w:rPr>
      <w:b/>
      <w:bCs/>
    </w:rPr>
  </w:style>
  <w:style w:type="paragraph" w:styleId="26">
    <w:name w:val="Body Text First Indent"/>
    <w:basedOn w:val="10"/>
    <w:qFormat/>
    <w:uiPriority w:val="0"/>
    <w:pPr>
      <w:spacing w:line="360" w:lineRule="auto"/>
      <w:ind w:firstLine="200" w:firstLineChars="200"/>
    </w:pPr>
    <w:rPr>
      <w:rFonts w:ascii="仿宋_GB2312" w:eastAsia="仿宋_GB2312"/>
      <w:sz w:val="30"/>
      <w:szCs w:val="30"/>
    </w:rPr>
  </w:style>
  <w:style w:type="paragraph" w:styleId="27">
    <w:name w:val="Body Text First Indent 2"/>
    <w:basedOn w:val="11"/>
    <w:next w:val="1"/>
    <w:autoRedefine/>
    <w:qFormat/>
    <w:uiPriority w:val="99"/>
    <w:pPr>
      <w:spacing w:after="0" w:line="360" w:lineRule="auto"/>
      <w:ind w:left="0" w:leftChars="0" w:firstLine="420" w:firstLineChars="200"/>
    </w:pPr>
    <w:rPr>
      <w:rFonts w:ascii="宋体" w:hAnsi="宋体"/>
      <w:sz w:val="20"/>
    </w:rPr>
  </w:style>
  <w:style w:type="table" w:styleId="29">
    <w:name w:val="Table Grid"/>
    <w:basedOn w:val="2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rPr>
  </w:style>
  <w:style w:type="character" w:styleId="32">
    <w:name w:val="page number"/>
    <w:basedOn w:val="30"/>
    <w:autoRedefine/>
    <w:qFormat/>
    <w:uiPriority w:val="0"/>
  </w:style>
  <w:style w:type="character" w:styleId="33">
    <w:name w:val="FollowedHyperlink"/>
    <w:basedOn w:val="30"/>
    <w:autoRedefine/>
    <w:qFormat/>
    <w:uiPriority w:val="0"/>
    <w:rPr>
      <w:color w:val="800080"/>
      <w:u w:val="single"/>
    </w:rPr>
  </w:style>
  <w:style w:type="character" w:styleId="34">
    <w:name w:val="Emphasis"/>
    <w:basedOn w:val="30"/>
    <w:qFormat/>
    <w:uiPriority w:val="20"/>
    <w:rPr>
      <w:i/>
      <w:iCs/>
    </w:rPr>
  </w:style>
  <w:style w:type="character" w:styleId="35">
    <w:name w:val="HTML Typewriter"/>
    <w:basedOn w:val="30"/>
    <w:autoRedefine/>
    <w:semiHidden/>
    <w:unhideWhenUsed/>
    <w:qFormat/>
    <w:uiPriority w:val="0"/>
    <w:rPr>
      <w:rFonts w:ascii="monospace" w:hAnsi="monospace" w:eastAsia="monospace" w:cs="monospace"/>
      <w:sz w:val="20"/>
    </w:rPr>
  </w:style>
  <w:style w:type="character" w:styleId="36">
    <w:name w:val="HTML Acronym"/>
    <w:basedOn w:val="30"/>
    <w:autoRedefine/>
    <w:semiHidden/>
    <w:unhideWhenUsed/>
    <w:qFormat/>
    <w:uiPriority w:val="0"/>
  </w:style>
  <w:style w:type="character" w:styleId="37">
    <w:name w:val="Hyperlink"/>
    <w:basedOn w:val="30"/>
    <w:autoRedefine/>
    <w:qFormat/>
    <w:uiPriority w:val="0"/>
    <w:rPr>
      <w:color w:val="0000FF"/>
      <w:u w:val="single"/>
    </w:rPr>
  </w:style>
  <w:style w:type="character" w:styleId="38">
    <w:name w:val="HTML Code"/>
    <w:basedOn w:val="30"/>
    <w:autoRedefine/>
    <w:semiHidden/>
    <w:unhideWhenUsed/>
    <w:qFormat/>
    <w:uiPriority w:val="0"/>
    <w:rPr>
      <w:rFonts w:hint="default" w:ascii="monospace" w:hAnsi="monospace" w:eastAsia="monospace" w:cs="monospace"/>
      <w:sz w:val="20"/>
    </w:rPr>
  </w:style>
  <w:style w:type="character" w:styleId="39">
    <w:name w:val="annotation reference"/>
    <w:basedOn w:val="30"/>
    <w:autoRedefine/>
    <w:qFormat/>
    <w:uiPriority w:val="0"/>
    <w:rPr>
      <w:sz w:val="21"/>
      <w:szCs w:val="21"/>
    </w:rPr>
  </w:style>
  <w:style w:type="character" w:styleId="40">
    <w:name w:val="HTML Keyboard"/>
    <w:basedOn w:val="30"/>
    <w:autoRedefine/>
    <w:semiHidden/>
    <w:unhideWhenUsed/>
    <w:qFormat/>
    <w:uiPriority w:val="0"/>
    <w:rPr>
      <w:rFonts w:hint="default" w:ascii="monospace" w:hAnsi="monospace" w:eastAsia="monospace" w:cs="monospace"/>
      <w:sz w:val="20"/>
    </w:rPr>
  </w:style>
  <w:style w:type="character" w:styleId="41">
    <w:name w:val="HTML Sample"/>
    <w:basedOn w:val="30"/>
    <w:autoRedefine/>
    <w:semiHidden/>
    <w:unhideWhenUsed/>
    <w:qFormat/>
    <w:uiPriority w:val="0"/>
    <w:rPr>
      <w:rFonts w:hint="default" w:ascii="monospace" w:hAnsi="monospace" w:eastAsia="monospace" w:cs="monospace"/>
    </w:rPr>
  </w:style>
  <w:style w:type="paragraph" w:customStyle="1" w:styleId="42">
    <w:name w:val="列出段落1"/>
    <w:basedOn w:val="1"/>
    <w:autoRedefine/>
    <w:qFormat/>
    <w:uiPriority w:val="34"/>
    <w:pPr>
      <w:ind w:firstLine="420" w:firstLineChars="200"/>
    </w:pPr>
  </w:style>
  <w:style w:type="paragraph" w:customStyle="1" w:styleId="43">
    <w:name w:val="xl75"/>
    <w:basedOn w:val="1"/>
    <w:next w:val="44"/>
    <w:autoRedefine/>
    <w:qFormat/>
    <w:uiPriority w:val="0"/>
    <w:pPr>
      <w:widowControl/>
      <w:spacing w:before="280" w:after="280"/>
      <w:ind w:left="200" w:firstLine="5320"/>
      <w:jc w:val="center"/>
    </w:pPr>
    <w:rPr>
      <w:rFonts w:ascii="宋体"/>
    </w:rPr>
  </w:style>
  <w:style w:type="paragraph" w:customStyle="1" w:styleId="44">
    <w:name w:val="Test2"/>
    <w:basedOn w:val="3"/>
    <w:next w:val="45"/>
    <w:autoRedefine/>
    <w:qFormat/>
    <w:uiPriority w:val="0"/>
    <w:pPr>
      <w:widowControl/>
      <w:adjustRightInd w:val="0"/>
      <w:snapToGrid w:val="0"/>
      <w:spacing w:beforeLines="50" w:afterLines="50" w:line="480" w:lineRule="exact"/>
      <w:jc w:val="center"/>
    </w:pPr>
    <w:rPr>
      <w:rFonts w:ascii="黑体"/>
      <w:snapToGrid w:val="0"/>
      <w:kern w:val="0"/>
      <w:sz w:val="24"/>
    </w:rPr>
  </w:style>
  <w:style w:type="paragraph" w:customStyle="1" w:styleId="45">
    <w:name w:val="xl59"/>
    <w:basedOn w:val="1"/>
    <w:next w:val="46"/>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46">
    <w:name w:val="方案正文"/>
    <w:basedOn w:val="1"/>
    <w:next w:val="47"/>
    <w:autoRedefine/>
    <w:qFormat/>
    <w:uiPriority w:val="0"/>
    <w:pPr>
      <w:spacing w:before="156" w:line="360" w:lineRule="auto"/>
      <w:ind w:firstLine="359" w:firstLineChars="171"/>
      <w:jc w:val="left"/>
    </w:pPr>
    <w:rPr>
      <w:rFonts w:ascii="Arial" w:hAnsi="Arial" w:cs="宋体"/>
      <w:sz w:val="24"/>
      <w:szCs w:val="21"/>
    </w:rPr>
  </w:style>
  <w:style w:type="paragraph" w:customStyle="1" w:styleId="47">
    <w:name w:val="小四 段落 宋体 Char Char Char Char"/>
    <w:basedOn w:val="1"/>
    <w:next w:val="48"/>
    <w:autoRedefine/>
    <w:qFormat/>
    <w:uiPriority w:val="0"/>
    <w:pPr>
      <w:spacing w:line="360" w:lineRule="auto"/>
      <w:ind w:right="-33" w:firstLine="480" w:firstLineChars="200"/>
      <w:jc w:val="left"/>
    </w:pPr>
    <w:rPr>
      <w:sz w:val="24"/>
      <w:szCs w:val="24"/>
    </w:rPr>
  </w:style>
  <w:style w:type="paragraph" w:customStyle="1" w:styleId="48">
    <w:name w:val="flType"/>
    <w:basedOn w:val="49"/>
    <w:next w:val="1"/>
    <w:autoRedefine/>
    <w:qFormat/>
    <w:uiPriority w:val="0"/>
    <w:pPr>
      <w:spacing w:after="284"/>
    </w:pPr>
    <w:rPr>
      <w:rFonts w:eastAsia="宋体"/>
      <w:b w:val="0"/>
    </w:rPr>
  </w:style>
  <w:style w:type="paragraph" w:customStyle="1" w:styleId="49">
    <w:name w:val="flName"/>
    <w:basedOn w:val="50"/>
    <w:qFormat/>
    <w:uiPriority w:val="0"/>
    <w:pPr>
      <w:spacing w:before="0" w:line="113" w:lineRule="atLeast"/>
    </w:pPr>
  </w:style>
  <w:style w:type="paragraph" w:customStyle="1" w:styleId="50">
    <w:name w:val="flNote"/>
    <w:basedOn w:val="1"/>
    <w:qFormat/>
    <w:uiPriority w:val="0"/>
    <w:pPr>
      <w:adjustRightInd w:val="0"/>
      <w:spacing w:before="567" w:line="360" w:lineRule="atLeast"/>
      <w:jc w:val="center"/>
      <w:textAlignment w:val="baseline"/>
    </w:pPr>
    <w:rPr>
      <w:rFonts w:eastAsia="黑体"/>
      <w:b/>
      <w:kern w:val="0"/>
      <w:sz w:val="24"/>
    </w:rPr>
  </w:style>
  <w:style w:type="paragraph" w:customStyle="1" w:styleId="51">
    <w:name w:val="首行缩进"/>
    <w:basedOn w:val="1"/>
    <w:autoRedefine/>
    <w:qFormat/>
    <w:uiPriority w:val="0"/>
    <w:pPr>
      <w:ind w:firstLine="480" w:firstLineChars="200"/>
    </w:pPr>
    <w:rPr>
      <w:lang w:val="zh-CN"/>
    </w:rPr>
  </w:style>
  <w:style w:type="paragraph" w:customStyle="1" w:styleId="52">
    <w:name w:val="正文文本缩进 31"/>
    <w:basedOn w:val="1"/>
    <w:autoRedefine/>
    <w:qFormat/>
    <w:uiPriority w:val="0"/>
    <w:pPr>
      <w:tabs>
        <w:tab w:val="left" w:pos="0"/>
      </w:tabs>
      <w:spacing w:line="360" w:lineRule="auto"/>
      <w:ind w:firstLine="504" w:firstLineChars="209"/>
    </w:pPr>
    <w:rPr>
      <w:rFonts w:ascii="宋体"/>
      <w:b/>
      <w:bCs/>
      <w:sz w:val="24"/>
      <w:szCs w:val="24"/>
    </w:rPr>
  </w:style>
  <w:style w:type="paragraph" w:customStyle="1" w:styleId="53">
    <w:name w:val="Table Paragraph"/>
    <w:basedOn w:val="1"/>
    <w:autoRedefine/>
    <w:qFormat/>
    <w:uiPriority w:val="1"/>
    <w:rPr>
      <w:rFonts w:ascii="宋体" w:hAnsi="宋体" w:cs="宋体"/>
      <w:lang w:val="zh-CN" w:bidi="zh-CN"/>
    </w:rPr>
  </w:style>
  <w:style w:type="paragraph" w:styleId="54">
    <w:name w:val="List Paragraph"/>
    <w:basedOn w:val="1"/>
    <w:autoRedefine/>
    <w:qFormat/>
    <w:uiPriority w:val="34"/>
    <w:pPr>
      <w:ind w:firstLine="420" w:firstLineChars="200"/>
    </w:pPr>
    <w:rPr>
      <w:szCs w:val="24"/>
    </w:rPr>
  </w:style>
  <w:style w:type="character" w:customStyle="1" w:styleId="55">
    <w:name w:val="标题 4 字符"/>
    <w:basedOn w:val="30"/>
    <w:link w:val="5"/>
    <w:autoRedefine/>
    <w:qFormat/>
    <w:uiPriority w:val="0"/>
    <w:rPr>
      <w:rFonts w:ascii="Cambria" w:hAnsi="Cambria" w:eastAsia="宋体" w:cs="Times New Roman"/>
      <w:b/>
      <w:kern w:val="2"/>
      <w:sz w:val="28"/>
      <w:szCs w:val="28"/>
    </w:rPr>
  </w:style>
  <w:style w:type="paragraph" w:customStyle="1" w:styleId="56">
    <w:name w:val="标题 41"/>
    <w:basedOn w:val="1"/>
    <w:autoRedefine/>
    <w:qFormat/>
    <w:uiPriority w:val="0"/>
    <w:pPr>
      <w:autoSpaceDE w:val="0"/>
      <w:autoSpaceDN w:val="0"/>
      <w:ind w:left="618"/>
      <w:jc w:val="left"/>
      <w:outlineLvl w:val="4"/>
    </w:pPr>
    <w:rPr>
      <w:rFonts w:hint="eastAsia" w:ascii="宋体" w:hAnsi="宋体"/>
      <w:b/>
      <w:kern w:val="0"/>
      <w:sz w:val="24"/>
      <w:szCs w:val="24"/>
    </w:rPr>
  </w:style>
  <w:style w:type="character" w:customStyle="1" w:styleId="57">
    <w:name w:val="正文文本 字符"/>
    <w:basedOn w:val="30"/>
    <w:link w:val="10"/>
    <w:autoRedefine/>
    <w:qFormat/>
    <w:uiPriority w:val="0"/>
    <w:rPr>
      <w:rFonts w:hint="default" w:ascii="Times New Roman" w:hAnsi="Times New Roman" w:eastAsia="宋体" w:cs="Times New Roman"/>
      <w:sz w:val="24"/>
      <w:szCs w:val="24"/>
    </w:rPr>
  </w:style>
  <w:style w:type="character" w:customStyle="1" w:styleId="58">
    <w:name w:val="页脚 字符"/>
    <w:basedOn w:val="30"/>
    <w:link w:val="18"/>
    <w:autoRedefine/>
    <w:qFormat/>
    <w:uiPriority w:val="0"/>
    <w:rPr>
      <w:rFonts w:hint="default" w:ascii="Times New Roman" w:hAnsi="Times New Roman" w:eastAsia="宋体" w:cs="Times New Roman"/>
      <w:sz w:val="18"/>
      <w:szCs w:val="18"/>
    </w:rPr>
  </w:style>
  <w:style w:type="character" w:customStyle="1" w:styleId="59">
    <w:name w:val="页眉 字符"/>
    <w:basedOn w:val="30"/>
    <w:link w:val="19"/>
    <w:autoRedefine/>
    <w:qFormat/>
    <w:uiPriority w:val="0"/>
    <w:rPr>
      <w:rFonts w:hint="default" w:ascii="Times New Roman" w:hAnsi="Times New Roman" w:eastAsia="宋体" w:cs="Times New Roman"/>
      <w:sz w:val="18"/>
      <w:szCs w:val="18"/>
    </w:rPr>
  </w:style>
  <w:style w:type="paragraph" w:customStyle="1" w:styleId="60">
    <w:name w:val="ewb-con-p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1">
    <w:name w:val="正文2"/>
    <w:basedOn w:val="1"/>
    <w:autoRedefine/>
    <w:qFormat/>
    <w:uiPriority w:val="0"/>
    <w:pPr>
      <w:spacing w:before="156" w:line="360" w:lineRule="auto"/>
      <w:ind w:firstLine="510" w:firstLineChars="200"/>
    </w:pPr>
    <w:rPr>
      <w:sz w:val="24"/>
    </w:rPr>
  </w:style>
  <w:style w:type="character" w:customStyle="1" w:styleId="62">
    <w:name w:val="标题 3 Char1"/>
    <w:basedOn w:val="30"/>
    <w:autoRedefine/>
    <w:semiHidden/>
    <w:qFormat/>
    <w:uiPriority w:val="0"/>
    <w:rPr>
      <w:b/>
      <w:bCs/>
      <w:kern w:val="2"/>
      <w:sz w:val="32"/>
      <w:szCs w:val="32"/>
    </w:rPr>
  </w:style>
  <w:style w:type="character" w:customStyle="1" w:styleId="63">
    <w:name w:val="批注框文本 字符"/>
    <w:basedOn w:val="30"/>
    <w:link w:val="17"/>
    <w:autoRedefine/>
    <w:qFormat/>
    <w:uiPriority w:val="0"/>
    <w:rPr>
      <w:kern w:val="2"/>
      <w:sz w:val="18"/>
      <w:szCs w:val="18"/>
    </w:rPr>
  </w:style>
  <w:style w:type="paragraph" w:customStyle="1" w:styleId="64">
    <w:name w:val="msolistparagraph"/>
    <w:basedOn w:val="1"/>
    <w:autoRedefine/>
    <w:qFormat/>
    <w:uiPriority w:val="0"/>
    <w:pPr>
      <w:spacing w:line="360" w:lineRule="auto"/>
      <w:ind w:firstLine="420" w:firstLineChars="200"/>
    </w:pPr>
    <w:rPr>
      <w:rFonts w:ascii="Calibri" w:hAnsi="Calibri"/>
      <w:kern w:val="0"/>
      <w:sz w:val="20"/>
    </w:rPr>
  </w:style>
  <w:style w:type="character" w:customStyle="1" w:styleId="65">
    <w:name w:val="标题 3 字符"/>
    <w:basedOn w:val="30"/>
    <w:link w:val="4"/>
    <w:autoRedefine/>
    <w:qFormat/>
    <w:uiPriority w:val="0"/>
    <w:rPr>
      <w:b/>
      <w:sz w:val="32"/>
      <w:szCs w:val="32"/>
    </w:rPr>
  </w:style>
  <w:style w:type="character" w:customStyle="1" w:styleId="66">
    <w:name w:val="标题 2 字符"/>
    <w:basedOn w:val="30"/>
    <w:link w:val="3"/>
    <w:autoRedefine/>
    <w:qFormat/>
    <w:uiPriority w:val="0"/>
    <w:rPr>
      <w:rFonts w:hint="default" w:ascii="Arial" w:hAnsi="Arial" w:eastAsia="黑体" w:cs="Arial"/>
      <w:b/>
      <w:sz w:val="32"/>
      <w:szCs w:val="32"/>
    </w:rPr>
  </w:style>
  <w:style w:type="character" w:customStyle="1" w:styleId="67">
    <w:name w:val="纯文本 字符"/>
    <w:basedOn w:val="30"/>
    <w:link w:val="15"/>
    <w:autoRedefine/>
    <w:qFormat/>
    <w:uiPriority w:val="0"/>
    <w:rPr>
      <w:rFonts w:hint="eastAsia" w:ascii="宋体" w:hAnsi="Courier New" w:eastAsia="宋体" w:cs="宋体"/>
      <w:sz w:val="21"/>
      <w:szCs w:val="21"/>
    </w:rPr>
  </w:style>
  <w:style w:type="character" w:customStyle="1" w:styleId="68">
    <w:name w:val="HTML 预设格式 字符"/>
    <w:basedOn w:val="30"/>
    <w:link w:val="23"/>
    <w:autoRedefine/>
    <w:qFormat/>
    <w:uiPriority w:val="0"/>
    <w:rPr>
      <w:rFonts w:hint="eastAsia" w:ascii="宋体" w:hAnsi="宋体" w:eastAsia="宋体" w:cs="宋体"/>
      <w:sz w:val="24"/>
      <w:szCs w:val="24"/>
    </w:rPr>
  </w:style>
  <w:style w:type="character" w:customStyle="1" w:styleId="69">
    <w:name w:val="列出段落 Char"/>
    <w:basedOn w:val="30"/>
    <w:autoRedefine/>
    <w:qFormat/>
    <w:uiPriority w:val="0"/>
    <w:rPr>
      <w:rFonts w:hint="default" w:ascii="Calibri" w:hAnsi="Calibri" w:cs="Calibri"/>
    </w:rPr>
  </w:style>
  <w:style w:type="paragraph" w:customStyle="1" w:styleId="70">
    <w:name w:val="NormalIndent"/>
    <w:basedOn w:val="1"/>
    <w:autoRedefine/>
    <w:qFormat/>
    <w:uiPriority w:val="0"/>
    <w:pPr>
      <w:ind w:firstLine="420"/>
    </w:pPr>
    <w:rPr>
      <w:rFonts w:ascii="Calibri" w:hAnsi="Calibri"/>
      <w:szCs w:val="24"/>
    </w:rPr>
  </w:style>
  <w:style w:type="paragraph" w:customStyle="1" w:styleId="71">
    <w:name w:val="正文3"/>
    <w:basedOn w:val="1"/>
    <w:autoRedefine/>
    <w:qFormat/>
    <w:uiPriority w:val="0"/>
    <w:rPr>
      <w:kern w:val="0"/>
      <w:sz w:val="20"/>
    </w:rPr>
  </w:style>
  <w:style w:type="paragraph" w:customStyle="1" w:styleId="72">
    <w:name w:val="Blockquote"/>
    <w:basedOn w:val="1"/>
    <w:autoRedefine/>
    <w:qFormat/>
    <w:uiPriority w:val="99"/>
    <w:pPr>
      <w:autoSpaceDE w:val="0"/>
      <w:autoSpaceDN w:val="0"/>
      <w:adjustRightInd w:val="0"/>
      <w:spacing w:before="100" w:after="100"/>
      <w:ind w:left="360" w:right="360"/>
      <w:jc w:val="left"/>
    </w:pPr>
    <w:rPr>
      <w:kern w:val="0"/>
      <w:sz w:val="24"/>
    </w:rPr>
  </w:style>
  <w:style w:type="table" w:customStyle="1" w:styleId="73">
    <w:name w:val="Table Normal"/>
    <w:autoRedefine/>
    <w:semiHidden/>
    <w:unhideWhenUsed/>
    <w:qFormat/>
    <w:uiPriority w:val="0"/>
    <w:tblPr>
      <w:tblCellMar>
        <w:top w:w="0" w:type="dxa"/>
        <w:left w:w="0" w:type="dxa"/>
        <w:bottom w:w="0" w:type="dxa"/>
        <w:right w:w="0" w:type="dxa"/>
      </w:tblCellMar>
    </w:tblPr>
  </w:style>
  <w:style w:type="character" w:customStyle="1" w:styleId="74">
    <w:name w:val="批注文字 字符"/>
    <w:basedOn w:val="30"/>
    <w:link w:val="9"/>
    <w:autoRedefine/>
    <w:qFormat/>
    <w:uiPriority w:val="0"/>
    <w:rPr>
      <w:kern w:val="2"/>
      <w:sz w:val="21"/>
    </w:rPr>
  </w:style>
  <w:style w:type="character" w:customStyle="1" w:styleId="75">
    <w:name w:val="批注主题 字符"/>
    <w:basedOn w:val="74"/>
    <w:link w:val="25"/>
    <w:autoRedefine/>
    <w:qFormat/>
    <w:uiPriority w:val="0"/>
    <w:rPr>
      <w:b/>
      <w:bCs/>
      <w:kern w:val="2"/>
      <w:sz w:val="21"/>
    </w:rPr>
  </w:style>
  <w:style w:type="paragraph" w:customStyle="1" w:styleId="76">
    <w:name w:val="修订1"/>
    <w:autoRedefine/>
    <w:hidden/>
    <w:semiHidden/>
    <w:qFormat/>
    <w:uiPriority w:val="99"/>
    <w:rPr>
      <w:rFonts w:ascii="Times New Roman" w:hAnsi="Times New Roman" w:eastAsia="宋体" w:cs="Times New Roman"/>
      <w:kern w:val="2"/>
      <w:sz w:val="21"/>
      <w:lang w:val="en-US" w:eastAsia="zh-CN" w:bidi="ar-SA"/>
    </w:rPr>
  </w:style>
  <w:style w:type="paragraph" w:customStyle="1" w:styleId="77">
    <w:name w:val="_Style 52"/>
    <w:basedOn w:val="1"/>
    <w:next w:val="54"/>
    <w:autoRedefine/>
    <w:qFormat/>
    <w:uiPriority w:val="34"/>
    <w:pPr>
      <w:ind w:firstLine="420" w:firstLineChars="200"/>
    </w:pPr>
    <w:rPr>
      <w:szCs w:val="24"/>
    </w:rPr>
  </w:style>
  <w:style w:type="character" w:customStyle="1" w:styleId="78">
    <w:name w:val="正文文本 Char"/>
    <w:autoRedefine/>
    <w:qFormat/>
    <w:uiPriority w:val="0"/>
    <w:rPr>
      <w:kern w:val="2"/>
      <w:sz w:val="21"/>
      <w:szCs w:val="24"/>
    </w:rPr>
  </w:style>
  <w:style w:type="character" w:customStyle="1" w:styleId="79">
    <w:name w:val="标题 2 Char"/>
    <w:autoRedefine/>
    <w:qFormat/>
    <w:uiPriority w:val="0"/>
    <w:rPr>
      <w:rFonts w:ascii="宋体" w:hAnsi="宋体" w:eastAsia="宋体"/>
      <w:b/>
      <w:kern w:val="2"/>
      <w:sz w:val="21"/>
      <w:szCs w:val="24"/>
      <w:lang w:val="en-US" w:eastAsia="zh-CN" w:bidi="ar-SA"/>
    </w:rPr>
  </w:style>
  <w:style w:type="paragraph" w:customStyle="1" w:styleId="80">
    <w:name w:val="Normal_1"/>
    <w:autoRedefine/>
    <w:qFormat/>
    <w:uiPriority w:val="0"/>
    <w:pPr>
      <w:widowControl w:val="0"/>
      <w:jc w:val="both"/>
    </w:pPr>
    <w:rPr>
      <w:rFonts w:ascii="Calibri" w:hAnsi="Calibri" w:eastAsia="宋体" w:cs="Times New Roman"/>
      <w:lang w:val="en-US" w:eastAsia="zh-CN" w:bidi="ar-SA"/>
    </w:rPr>
  </w:style>
  <w:style w:type="paragraph" w:customStyle="1" w:styleId="81">
    <w:name w:val="正文_2"/>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82">
    <w:name w:val="fontstyle01"/>
    <w:autoRedefine/>
    <w:qFormat/>
    <w:uiPriority w:val="0"/>
    <w:rPr>
      <w:rFonts w:hint="eastAsia" w:ascii="宋体" w:hAnsi="宋体" w:eastAsia="宋体"/>
      <w:color w:val="252525"/>
      <w:sz w:val="28"/>
      <w:szCs w:val="28"/>
    </w:rPr>
  </w:style>
  <w:style w:type="character" w:customStyle="1" w:styleId="83">
    <w:name w:val="fontstyle21"/>
    <w:autoRedefine/>
    <w:qFormat/>
    <w:uiPriority w:val="0"/>
    <w:rPr>
      <w:rFonts w:hint="default" w:ascii="??" w:hAnsi="??"/>
      <w:color w:val="000000"/>
      <w:sz w:val="28"/>
      <w:szCs w:val="28"/>
    </w:rPr>
  </w:style>
  <w:style w:type="paragraph" w:customStyle="1" w:styleId="84">
    <w:name w:val="正文 A"/>
    <w:autoRedefine/>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customStyle="1" w:styleId="85">
    <w:name w:val="Normal_4"/>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86">
    <w:name w:val="rvts9"/>
    <w:qFormat/>
    <w:uiPriority w:val="0"/>
    <w:rPr>
      <w:rFonts w:hint="default" w:ascii="KNLe" w:hAnsi="KNLe" w:eastAsia="宋体" w:cs="Times New Roman"/>
    </w:rPr>
  </w:style>
  <w:style w:type="character" w:customStyle="1" w:styleId="87">
    <w:name w:val="rvts11"/>
    <w:qFormat/>
    <w:uiPriority w:val="0"/>
    <w:rPr>
      <w:rFonts w:hint="default" w:ascii="KNLe" w:hAnsi="KNLe" w:eastAsia="宋体" w:cs="Times New Roman"/>
      <w:u w:val="single"/>
    </w:rPr>
  </w:style>
  <w:style w:type="paragraph" w:customStyle="1" w:styleId="88">
    <w:name w:val="正文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9">
    <w:name w:val="样式 标题 2 + Times New Roman 四号 非加粗 段前: 5 磅 段后: 0 磅 行距: 固定值 20..."/>
    <w:basedOn w:val="3"/>
    <w:qFormat/>
    <w:uiPriority w:val="0"/>
    <w:pPr>
      <w:spacing w:before="100" w:after="0" w:line="400" w:lineRule="exact"/>
    </w:pPr>
    <w:rPr>
      <w:rFonts w:ascii="Times New Roman" w:hAnsi="Times New Roman"/>
      <w:b w:val="0"/>
      <w:sz w:val="28"/>
    </w:rPr>
  </w:style>
  <w:style w:type="paragraph" w:customStyle="1" w:styleId="90">
    <w:name w:val="段"/>
    <w:qFormat/>
    <w:uiPriority w:val="0"/>
    <w:pPr>
      <w:tabs>
        <w:tab w:val="center" w:pos="4201"/>
        <w:tab w:val="right" w:leader="dot" w:pos="9298"/>
      </w:tabs>
      <w:autoSpaceDE w:val="0"/>
      <w:autoSpaceDN w:val="0"/>
      <w:ind w:firstLine="420" w:firstLineChars="200"/>
      <w:jc w:val="both"/>
    </w:pPr>
    <w:rPr>
      <w:rFonts w:ascii="宋体" w:hAnsi="Calibri" w:eastAsia="宋体" w:cs="Times New Roman"/>
      <w:kern w:val="2"/>
      <w:sz w:val="21"/>
      <w:szCs w:val="22"/>
      <w:lang w:val="en-US" w:eastAsia="zh-CN" w:bidi="ar-SA"/>
    </w:rPr>
  </w:style>
  <w:style w:type="paragraph" w:customStyle="1" w:styleId="91">
    <w:name w:val="样式6"/>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480" w:firstLineChars="200"/>
      <w:jc w:val="left"/>
    </w:pPr>
    <w:rPr>
      <w:rFonts w:eastAsia="仿宋_GB2312"/>
      <w:color w:val="000000"/>
      <w:kern w:val="0"/>
      <w:sz w:val="24"/>
    </w:rPr>
  </w:style>
  <w:style w:type="paragraph" w:customStyle="1" w:styleId="92">
    <w:name w:val="正文A"/>
    <w:basedOn w:val="93"/>
    <w:qFormat/>
    <w:uiPriority w:val="0"/>
    <w:pPr>
      <w:spacing w:line="420" w:lineRule="exact"/>
      <w:ind w:firstLine="200"/>
    </w:pPr>
  </w:style>
  <w:style w:type="paragraph" w:customStyle="1" w:styleId="93">
    <w:name w:val="正文无缩进"/>
    <w:basedOn w:val="1"/>
    <w:qFormat/>
    <w:uiPriority w:val="0"/>
    <w:pPr>
      <w:spacing w:line="480" w:lineRule="exact"/>
    </w:pPr>
    <w:rPr>
      <w:rFonts w:ascii="Garamond" w:hAnsi="Garamond" w:eastAsia="仿宋"/>
      <w:sz w:val="24"/>
    </w:rPr>
  </w:style>
  <w:style w:type="paragraph" w:customStyle="1" w:styleId="94">
    <w:name w:val="Table Text"/>
    <w:basedOn w:val="1"/>
    <w:semiHidden/>
    <w:qFormat/>
    <w:uiPriority w:val="0"/>
    <w:rPr>
      <w:rFonts w:ascii="仿宋" w:hAnsi="仿宋" w:eastAsia="仿宋" w:cs="仿宋"/>
      <w:sz w:val="24"/>
      <w:szCs w:val="24"/>
      <w:lang w:eastAsia="en-US"/>
    </w:rPr>
  </w:style>
  <w:style w:type="character" w:customStyle="1" w:styleId="95">
    <w:name w:val="hover13"/>
    <w:basedOn w:val="30"/>
    <w:qFormat/>
    <w:uiPriority w:val="0"/>
  </w:style>
  <w:style w:type="character" w:customStyle="1" w:styleId="96">
    <w:name w:val="layui-laypage-curr"/>
    <w:basedOn w:val="30"/>
    <w:qFormat/>
    <w:uiPriority w:val="0"/>
  </w:style>
  <w:style w:type="character" w:customStyle="1" w:styleId="97">
    <w:name w:val="label"/>
    <w:basedOn w:val="30"/>
    <w:qFormat/>
    <w:uiPriority w:val="0"/>
    <w:rPr>
      <w:color w:val="999999"/>
    </w:rPr>
  </w:style>
  <w:style w:type="character" w:customStyle="1" w:styleId="98">
    <w:name w:val="first-child1"/>
    <w:basedOn w:val="30"/>
    <w:qFormat/>
    <w:uiPriority w:val="0"/>
  </w:style>
  <w:style w:type="character" w:customStyle="1" w:styleId="99">
    <w:name w:val="layui-this2"/>
    <w:basedOn w:val="30"/>
    <w:qFormat/>
    <w:uiPriority w:val="0"/>
    <w:rPr>
      <w:bdr w:val="single" w:color="EEEEEE" w:sz="6" w:space="0"/>
      <w:shd w:val="clear" w:fill="FFFFFF"/>
    </w:rPr>
  </w:style>
  <w:style w:type="character" w:customStyle="1" w:styleId="100">
    <w:name w:val="hover"/>
    <w:basedOn w:val="30"/>
    <w:qFormat/>
    <w:uiPriority w:val="0"/>
  </w:style>
  <w:style w:type="character" w:customStyle="1" w:styleId="101">
    <w:name w:val="hover16"/>
    <w:basedOn w:val="30"/>
    <w:qFormat/>
    <w:uiPriority w:val="0"/>
  </w:style>
  <w:style w:type="character" w:customStyle="1" w:styleId="102">
    <w:name w:val="hover17"/>
    <w:basedOn w:val="30"/>
    <w:qFormat/>
    <w:uiPriority w:val="0"/>
    <w:rPr>
      <w:color w:val="16B777"/>
    </w:rPr>
  </w:style>
  <w:style w:type="character" w:customStyle="1" w:styleId="103">
    <w:name w:val="hover18"/>
    <w:basedOn w:val="30"/>
    <w:qFormat/>
    <w:uiPriority w:val="0"/>
    <w:rPr>
      <w:color w:val="16B777"/>
    </w:rPr>
  </w:style>
  <w:style w:type="character" w:customStyle="1" w:styleId="104">
    <w:name w:val="hover19"/>
    <w:basedOn w:val="30"/>
    <w:qFormat/>
    <w:uiPriority w:val="0"/>
    <w:rPr>
      <w:color w:val="FFFFFF"/>
    </w:rPr>
  </w:style>
  <w:style w:type="character" w:customStyle="1" w:styleId="105">
    <w:name w:val="hover20"/>
    <w:basedOn w:val="30"/>
    <w:qFormat/>
    <w:uiPriority w:val="0"/>
    <w:rPr>
      <w:shd w:val="clear" w:fill="E5E5E5"/>
    </w:rPr>
  </w:style>
  <w:style w:type="character" w:customStyle="1" w:styleId="106">
    <w:name w:val="ellipsis"/>
    <w:basedOn w:val="30"/>
    <w:qFormat/>
    <w:uiPriority w:val="0"/>
  </w:style>
  <w:style w:type="character" w:customStyle="1" w:styleId="107">
    <w:name w:val="first-child2"/>
    <w:basedOn w:val="30"/>
    <w:qFormat/>
    <w:uiPriority w:val="0"/>
  </w:style>
  <w:style w:type="character" w:customStyle="1" w:styleId="108">
    <w:name w:val="last-child1"/>
    <w:basedOn w:val="30"/>
    <w:qFormat/>
    <w:uiPriority w:val="0"/>
  </w:style>
  <w:style w:type="character" w:customStyle="1" w:styleId="109">
    <w:name w:val="layui-laydate-preview"/>
    <w:basedOn w:val="30"/>
    <w:qFormat/>
    <w:uiPriority w:val="0"/>
  </w:style>
  <w:style w:type="character" w:customStyle="1" w:styleId="110">
    <w:name w:val="layui-this4"/>
    <w:basedOn w:val="30"/>
    <w:qFormat/>
    <w:uiPriority w:val="0"/>
    <w:rPr>
      <w:shd w:val="clear" w:fill="FFFFFF"/>
    </w:rPr>
  </w:style>
  <w:style w:type="character" w:customStyle="1" w:styleId="111">
    <w:name w:val="hover1"/>
    <w:basedOn w:val="30"/>
    <w:qFormat/>
    <w:uiPriority w:val="0"/>
    <w:rPr>
      <w:color w:val="FFFFFF"/>
    </w:rPr>
  </w:style>
  <w:style w:type="character" w:customStyle="1" w:styleId="112">
    <w:name w:val="hover2"/>
    <w:basedOn w:val="30"/>
    <w:qFormat/>
    <w:uiPriority w:val="0"/>
  </w:style>
  <w:style w:type="character" w:customStyle="1" w:styleId="113">
    <w:name w:val="hover3"/>
    <w:basedOn w:val="30"/>
    <w:qFormat/>
    <w:uiPriority w:val="0"/>
    <w:rPr>
      <w:shd w:val="clear" w:fill="E5E5E5"/>
    </w:rPr>
  </w:style>
  <w:style w:type="character" w:customStyle="1" w:styleId="114">
    <w:name w:val="hover4"/>
    <w:basedOn w:val="30"/>
    <w:qFormat/>
    <w:uiPriority w:val="0"/>
    <w:rPr>
      <w:color w:val="16B777"/>
    </w:rPr>
  </w:style>
  <w:style w:type="character" w:customStyle="1" w:styleId="115">
    <w:name w:val="last-child"/>
    <w:basedOn w:val="30"/>
    <w:qFormat/>
    <w:uiPriority w:val="0"/>
  </w:style>
  <w:style w:type="character" w:customStyle="1" w:styleId="116">
    <w:name w:val="layui-this"/>
    <w:basedOn w:val="30"/>
    <w:qFormat/>
    <w:uiPriority w:val="0"/>
    <w:rPr>
      <w:shd w:val="clear" w:fill="FFFFFF"/>
    </w:rPr>
  </w:style>
  <w:style w:type="character" w:customStyle="1" w:styleId="117">
    <w:name w:val="first-child"/>
    <w:basedOn w:val="30"/>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jpe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94</Pages>
  <Words>54080</Words>
  <Characters>56072</Characters>
  <Lines>782</Lines>
  <Paragraphs>220</Paragraphs>
  <TotalTime>0</TotalTime>
  <ScaleCrop>false</ScaleCrop>
  <LinksUpToDate>false</LinksUpToDate>
  <CharactersWithSpaces>59116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2025-07-03T03:33:00Z</dcterms:created>
  <dc:creator>Misaker</dc:creator>
  <cp:lastModifiedBy>张大帅</cp:lastModifiedBy>
  <cp:lastPrinted>2023-07-06T08:36:00Z</cp:lastPrinted>
  <dcterms:modified xsi:type="dcterms:W3CDTF">2026-06-11T07:52:47Z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2AD5BEA89ED842B3A68EEE7DBCAC37EB_13</vt:lpwstr>
  </property>
  <property fmtid="{D5CDD505-2E9C-101B-9397-08002B2CF9AE}" pid="4" name="commondata">
    <vt:lpwstr>eyJoZGlkIjoiNzZmMjFmYzJiODZhY2Q0NjJjMDg2MTg5NzA0OGYzNjgifQ==</vt:lpwstr>
  </property>
  <property fmtid="{D5CDD505-2E9C-101B-9397-08002B2CF9AE}" pid="5" name="KSOTemplateDocerSaveRecord">
    <vt:lpwstr>eyJoZGlkIjoiMjZmYmRiNTc2OTdkMzIxNTczMGQxNmI1ZTFiYWRkMzUiLCJ1c2VySWQiOiI1ODIyMzY1OTAifQ==</vt:lpwstr>
  </property>
</Properties>
</file>