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EB2556">
      <w:pPr>
        <w:spacing w:line="360" w:lineRule="auto"/>
        <w:jc w:val="center"/>
        <w:rPr>
          <w:rFonts w:hint="eastAsia" w:ascii="宋体" w:hAnsi="宋体" w:eastAsia="宋体" w:cs="宋体"/>
          <w:b/>
          <w:color w:val="auto"/>
          <w:sz w:val="44"/>
          <w:highlight w:val="none"/>
          <w:shd w:val="clear" w:color="auto" w:fill="FFFFFF"/>
        </w:rPr>
      </w:pPr>
    </w:p>
    <w:p w14:paraId="423CFECE">
      <w:pPr>
        <w:spacing w:line="360" w:lineRule="auto"/>
        <w:jc w:val="center"/>
        <w:outlineLvl w:val="9"/>
        <w:rPr>
          <w:rFonts w:hint="eastAsia" w:ascii="宋体" w:hAnsi="宋体" w:eastAsia="宋体" w:cs="宋体"/>
          <w:b/>
          <w:color w:val="auto"/>
          <w:sz w:val="44"/>
          <w:highlight w:val="none"/>
          <w:shd w:val="clear" w:color="auto" w:fill="FFFFFF"/>
          <w:lang w:eastAsia="zh-CN"/>
        </w:rPr>
      </w:pPr>
      <w:r>
        <w:rPr>
          <w:rFonts w:hint="eastAsia" w:ascii="宋体" w:hAnsi="宋体" w:eastAsia="宋体" w:cs="宋体"/>
          <w:b/>
          <w:color w:val="auto"/>
          <w:sz w:val="44"/>
          <w:highlight w:val="none"/>
          <w:shd w:val="clear" w:color="auto" w:fill="FFFFFF"/>
          <w:lang w:eastAsia="zh-CN"/>
        </w:rPr>
        <w:t>中国药科大学玄武门校区图书馆</w:t>
      </w:r>
    </w:p>
    <w:p w14:paraId="60C90833">
      <w:pPr>
        <w:spacing w:line="360" w:lineRule="auto"/>
        <w:jc w:val="center"/>
        <w:outlineLvl w:val="9"/>
        <w:rPr>
          <w:rFonts w:hint="eastAsia" w:ascii="宋体" w:hAnsi="宋体" w:eastAsia="宋体" w:cs="宋体"/>
          <w:b/>
          <w:color w:val="auto"/>
          <w:sz w:val="44"/>
          <w:highlight w:val="none"/>
          <w:shd w:val="clear" w:color="auto" w:fill="FFFFFF"/>
          <w:lang w:val="en-US" w:eastAsia="zh-CN"/>
        </w:rPr>
      </w:pPr>
      <w:r>
        <w:rPr>
          <w:rFonts w:hint="eastAsia" w:ascii="宋体" w:hAnsi="宋体" w:eastAsia="宋体" w:cs="宋体"/>
          <w:b/>
          <w:color w:val="auto"/>
          <w:sz w:val="44"/>
          <w:highlight w:val="none"/>
          <w:shd w:val="clear" w:color="auto" w:fill="FFFFFF"/>
          <w:lang w:eastAsia="zh-CN"/>
        </w:rPr>
        <w:t>改造设计项目</w:t>
      </w:r>
    </w:p>
    <w:p w14:paraId="46BFE35A">
      <w:pPr>
        <w:spacing w:line="360" w:lineRule="auto"/>
        <w:jc w:val="center"/>
        <w:rPr>
          <w:rFonts w:hint="eastAsia" w:ascii="宋体" w:hAnsi="宋体" w:eastAsia="宋体" w:cs="宋体"/>
          <w:b/>
          <w:color w:val="auto"/>
          <w:sz w:val="32"/>
          <w:highlight w:val="none"/>
          <w:shd w:val="clear" w:color="auto" w:fill="FFFFFF"/>
        </w:rPr>
      </w:pPr>
    </w:p>
    <w:p w14:paraId="7BA4258C">
      <w:pPr>
        <w:spacing w:line="360" w:lineRule="auto"/>
        <w:rPr>
          <w:rFonts w:hint="eastAsia" w:ascii="宋体" w:hAnsi="宋体" w:eastAsia="宋体" w:cs="宋体"/>
          <w:b/>
          <w:color w:val="auto"/>
          <w:sz w:val="32"/>
          <w:highlight w:val="none"/>
          <w:shd w:val="clear" w:color="auto" w:fill="FFFFFF"/>
        </w:rPr>
      </w:pPr>
    </w:p>
    <w:p w14:paraId="648590A7">
      <w:pPr>
        <w:spacing w:line="360" w:lineRule="auto"/>
        <w:jc w:val="center"/>
        <w:rPr>
          <w:rFonts w:hint="eastAsia" w:ascii="宋体" w:hAnsi="宋体" w:eastAsia="宋体" w:cs="宋体"/>
          <w:b/>
          <w:color w:val="auto"/>
          <w:sz w:val="32"/>
          <w:highlight w:val="none"/>
          <w:shd w:val="clear" w:color="auto" w:fill="FFFFFF"/>
        </w:rPr>
      </w:pPr>
    </w:p>
    <w:p w14:paraId="79B89622">
      <w:pPr>
        <w:spacing w:line="360" w:lineRule="auto"/>
        <w:rPr>
          <w:rFonts w:hint="eastAsia" w:ascii="宋体" w:hAnsi="宋体" w:eastAsia="宋体" w:cs="宋体"/>
          <w:b/>
          <w:color w:val="auto"/>
          <w:sz w:val="32"/>
          <w:highlight w:val="none"/>
          <w:shd w:val="clear" w:color="auto" w:fill="FFFFFF"/>
        </w:rPr>
      </w:pPr>
    </w:p>
    <w:p w14:paraId="595F1026">
      <w:pPr>
        <w:spacing w:line="360" w:lineRule="auto"/>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招标文件</w:t>
      </w:r>
    </w:p>
    <w:p w14:paraId="3DB46BC4">
      <w:pPr>
        <w:ind w:firstLine="720" w:firstLineChars="200"/>
        <w:rPr>
          <w:rFonts w:hint="eastAsia" w:ascii="宋体" w:hAnsi="宋体" w:eastAsia="宋体" w:cs="宋体"/>
          <w:color w:val="auto"/>
          <w:sz w:val="36"/>
          <w:szCs w:val="36"/>
          <w:highlight w:val="none"/>
        </w:rPr>
      </w:pPr>
    </w:p>
    <w:p w14:paraId="01514764">
      <w:pPr>
        <w:ind w:firstLine="720" w:firstLineChars="200"/>
        <w:rPr>
          <w:rFonts w:hint="eastAsia" w:ascii="宋体" w:hAnsi="宋体" w:eastAsia="宋体" w:cs="宋体"/>
          <w:color w:val="auto"/>
          <w:sz w:val="36"/>
          <w:szCs w:val="36"/>
          <w:highlight w:val="none"/>
          <w:lang w:eastAsia="zh-CN"/>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eastAsia="zh-CN"/>
        </w:rPr>
        <w:fldChar w:fldCharType="begin"/>
      </w:r>
      <w:r>
        <w:rPr>
          <w:rFonts w:hint="eastAsia" w:ascii="宋体" w:hAnsi="宋体" w:eastAsia="宋体" w:cs="宋体"/>
          <w:color w:val="auto"/>
          <w:sz w:val="36"/>
          <w:szCs w:val="36"/>
          <w:highlight w:val="none"/>
          <w:lang w:eastAsia="zh-CN"/>
        </w:rPr>
        <w:instrText xml:space="preserve"> HYPERLINK "http://cgzx.cpu.edu.cn/cg/zdyXmsb/viewXmsb.do" \l "##" \o "1014180001" </w:instrText>
      </w:r>
      <w:r>
        <w:rPr>
          <w:rFonts w:hint="eastAsia" w:ascii="宋体" w:hAnsi="宋体" w:eastAsia="宋体" w:cs="宋体"/>
          <w:color w:val="auto"/>
          <w:sz w:val="36"/>
          <w:szCs w:val="36"/>
          <w:highlight w:val="none"/>
          <w:lang w:eastAsia="zh-CN"/>
        </w:rPr>
        <w:fldChar w:fldCharType="separate"/>
      </w:r>
      <w:r>
        <w:rPr>
          <w:rFonts w:hint="eastAsia" w:ascii="宋体" w:hAnsi="宋体" w:eastAsia="宋体" w:cs="宋体"/>
          <w:color w:val="auto"/>
          <w:sz w:val="36"/>
          <w:szCs w:val="36"/>
          <w:highlight w:val="none"/>
          <w:lang w:eastAsia="zh-CN"/>
        </w:rPr>
        <w:t xml:space="preserve">DCFGZB031250365 </w:t>
      </w:r>
      <w:r>
        <w:rPr>
          <w:rFonts w:hint="eastAsia" w:ascii="宋体" w:hAnsi="宋体" w:eastAsia="宋体" w:cs="宋体"/>
          <w:color w:val="auto"/>
          <w:sz w:val="36"/>
          <w:szCs w:val="36"/>
          <w:highlight w:val="none"/>
          <w:lang w:eastAsia="zh-CN"/>
        </w:rPr>
        <w:fldChar w:fldCharType="end"/>
      </w:r>
      <w:r>
        <w:rPr>
          <w:rFonts w:hint="eastAsia" w:ascii="宋体" w:hAnsi="宋体" w:eastAsia="宋体" w:cs="宋体"/>
          <w:color w:val="auto"/>
          <w:sz w:val="36"/>
          <w:szCs w:val="36"/>
          <w:highlight w:val="none"/>
          <w:lang w:eastAsia="zh-CN"/>
        </w:rPr>
        <w:t>（</w:t>
      </w:r>
      <w:r>
        <w:rPr>
          <w:rFonts w:hint="eastAsia" w:ascii="宋体" w:hAnsi="宋体" w:eastAsia="宋体" w:cs="宋体"/>
          <w:color w:val="auto"/>
          <w:sz w:val="36"/>
          <w:szCs w:val="36"/>
          <w:highlight w:val="none"/>
          <w:lang w:val="en-US" w:eastAsia="zh-CN"/>
        </w:rPr>
        <w:t>校方编号</w:t>
      </w:r>
      <w:r>
        <w:rPr>
          <w:rFonts w:hint="eastAsia" w:ascii="宋体" w:hAnsi="宋体" w:eastAsia="宋体" w:cs="宋体"/>
          <w:color w:val="auto"/>
          <w:sz w:val="36"/>
          <w:szCs w:val="36"/>
          <w:highlight w:val="none"/>
          <w:lang w:eastAsia="zh-CN"/>
        </w:rPr>
        <w:t>）</w:t>
      </w:r>
    </w:p>
    <w:p w14:paraId="75B58253">
      <w:pPr>
        <w:ind w:firstLine="2520" w:firstLineChars="700"/>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SNZX-20250705</w:t>
      </w:r>
      <w:r>
        <w:rPr>
          <w:rFonts w:hint="eastAsia" w:ascii="宋体" w:hAnsi="宋体" w:eastAsia="宋体" w:cs="宋体"/>
          <w:color w:val="auto"/>
          <w:sz w:val="36"/>
          <w:szCs w:val="36"/>
          <w:highlight w:val="none"/>
        </w:rPr>
        <w:t>（代理编号）</w:t>
      </w:r>
    </w:p>
    <w:p w14:paraId="1E42F9EA">
      <w:pPr>
        <w:outlineLvl w:val="9"/>
        <w:rPr>
          <w:rFonts w:hint="eastAsia" w:ascii="宋体" w:hAnsi="宋体" w:eastAsia="宋体" w:cs="宋体"/>
          <w:color w:val="auto"/>
          <w:sz w:val="36"/>
          <w:szCs w:val="36"/>
          <w:highlight w:val="none"/>
        </w:rPr>
      </w:pPr>
    </w:p>
    <w:p w14:paraId="36538D41">
      <w:pPr>
        <w:rPr>
          <w:rFonts w:hint="eastAsia" w:ascii="宋体" w:hAnsi="宋体" w:eastAsia="宋体" w:cs="宋体"/>
          <w:color w:val="auto"/>
          <w:highlight w:val="none"/>
        </w:rPr>
      </w:pPr>
    </w:p>
    <w:p w14:paraId="26468882">
      <w:pPr>
        <w:pStyle w:val="7"/>
        <w:rPr>
          <w:rFonts w:hint="eastAsia" w:ascii="宋体" w:hAnsi="宋体" w:eastAsia="宋体" w:cs="宋体"/>
          <w:color w:val="auto"/>
          <w:highlight w:val="none"/>
        </w:rPr>
      </w:pPr>
    </w:p>
    <w:p w14:paraId="5815053F">
      <w:pPr>
        <w:spacing w:line="360" w:lineRule="auto"/>
        <w:rPr>
          <w:rFonts w:hint="eastAsia" w:ascii="宋体" w:hAnsi="宋体" w:eastAsia="宋体" w:cs="宋体"/>
          <w:b/>
          <w:color w:val="auto"/>
          <w:sz w:val="36"/>
          <w:highlight w:val="none"/>
        </w:rPr>
      </w:pPr>
    </w:p>
    <w:p w14:paraId="5BEB0ABF">
      <w:pPr>
        <w:spacing w:line="360" w:lineRule="auto"/>
        <w:outlineLvl w:val="9"/>
        <w:rPr>
          <w:rFonts w:hint="eastAsia" w:ascii="宋体" w:hAnsi="宋体" w:eastAsia="宋体" w:cs="宋体"/>
          <w:b/>
          <w:color w:val="auto"/>
          <w:sz w:val="36"/>
          <w:highlight w:val="none"/>
        </w:rPr>
      </w:pPr>
      <w:bookmarkStart w:id="0" w:name="_Toc19390"/>
      <w:r>
        <w:rPr>
          <w:rFonts w:hint="eastAsia" w:ascii="宋体" w:hAnsi="宋体" w:eastAsia="宋体" w:cs="宋体"/>
          <w:b/>
          <w:color w:val="auto"/>
          <w:sz w:val="36"/>
          <w:highlight w:val="none"/>
        </w:rPr>
        <w:t>采购人：</w:t>
      </w:r>
      <w:r>
        <w:rPr>
          <w:rFonts w:hint="eastAsia" w:ascii="宋体" w:hAnsi="宋体" w:eastAsia="宋体" w:cs="宋体"/>
          <w:b/>
          <w:color w:val="auto"/>
          <w:kern w:val="0"/>
          <w:sz w:val="36"/>
          <w:szCs w:val="36"/>
          <w:highlight w:val="none"/>
        </w:rPr>
        <w:t>中国药科大学</w:t>
      </w:r>
      <w:bookmarkEnd w:id="0"/>
    </w:p>
    <w:p w14:paraId="500D42BB">
      <w:pPr>
        <w:jc w:val="left"/>
        <w:outlineLvl w:val="9"/>
        <w:rPr>
          <w:rFonts w:hint="eastAsia" w:ascii="宋体" w:hAnsi="宋体" w:eastAsia="宋体" w:cs="宋体"/>
          <w:b/>
          <w:color w:val="auto"/>
          <w:sz w:val="36"/>
          <w:highlight w:val="none"/>
          <w:lang w:val="en-US" w:eastAsia="zh-CN"/>
        </w:rPr>
      </w:pPr>
      <w:bookmarkStart w:id="1" w:name="_Toc27845"/>
      <w:r>
        <w:rPr>
          <w:rFonts w:hint="eastAsia" w:ascii="宋体" w:hAnsi="宋体" w:eastAsia="宋体" w:cs="宋体"/>
          <w:b/>
          <w:color w:val="auto"/>
          <w:sz w:val="36"/>
          <w:highlight w:val="none"/>
        </w:rPr>
        <w:t>招标代理机构：</w:t>
      </w:r>
      <w:bookmarkEnd w:id="1"/>
      <w:r>
        <w:rPr>
          <w:rFonts w:hint="eastAsia" w:ascii="宋体" w:hAnsi="宋体" w:eastAsia="宋体" w:cs="宋体"/>
          <w:b/>
          <w:color w:val="auto"/>
          <w:sz w:val="36"/>
          <w:highlight w:val="none"/>
          <w:lang w:val="en-US" w:eastAsia="zh-CN"/>
        </w:rPr>
        <w:t>南京苏宁工程咨询有限公司</w:t>
      </w:r>
    </w:p>
    <w:p w14:paraId="1058E313">
      <w:pPr>
        <w:jc w:val="left"/>
        <w:outlineLvl w:val="9"/>
        <w:rPr>
          <w:rFonts w:hint="eastAsia" w:ascii="宋体" w:hAnsi="宋体" w:eastAsia="宋体" w:cs="宋体"/>
          <w:b/>
          <w:color w:val="auto"/>
          <w:sz w:val="36"/>
          <w:highlight w:val="none"/>
        </w:rPr>
        <w:sectPr>
          <w:headerReference r:id="rId3" w:type="default"/>
          <w:footerReference r:id="rId4" w:type="default"/>
          <w:pgSz w:w="11906" w:h="16838"/>
          <w:pgMar w:top="1440" w:right="1134" w:bottom="1440" w:left="1134" w:header="851" w:footer="992" w:gutter="0"/>
          <w:pgNumType w:fmt="decimal"/>
          <w:cols w:space="425" w:num="1"/>
          <w:docGrid w:type="lines" w:linePitch="312" w:charSpace="0"/>
        </w:sectPr>
      </w:pPr>
      <w:bookmarkStart w:id="2" w:name="_Toc17339"/>
      <w:r>
        <w:rPr>
          <w:rFonts w:hint="eastAsia" w:ascii="宋体" w:hAnsi="宋体" w:eastAsia="宋体" w:cs="宋体"/>
          <w:b/>
          <w:color w:val="auto"/>
          <w:sz w:val="36"/>
          <w:highlight w:val="none"/>
        </w:rPr>
        <w:t>日期：二〇二</w:t>
      </w:r>
      <w:r>
        <w:rPr>
          <w:rFonts w:hint="eastAsia" w:ascii="宋体" w:hAnsi="宋体" w:eastAsia="宋体" w:cs="宋体"/>
          <w:b/>
          <w:color w:val="auto"/>
          <w:sz w:val="36"/>
          <w:highlight w:val="none"/>
          <w:lang w:eastAsia="zh-CN"/>
        </w:rPr>
        <w:t>六</w:t>
      </w:r>
      <w:r>
        <w:rPr>
          <w:rFonts w:hint="eastAsia" w:ascii="宋体" w:hAnsi="宋体" w:eastAsia="宋体" w:cs="宋体"/>
          <w:b/>
          <w:color w:val="auto"/>
          <w:sz w:val="36"/>
          <w:highlight w:val="none"/>
        </w:rPr>
        <w:t>年</w:t>
      </w:r>
      <w:r>
        <w:rPr>
          <w:rFonts w:hint="eastAsia" w:ascii="宋体" w:hAnsi="宋体" w:eastAsia="宋体" w:cs="宋体"/>
          <w:b/>
          <w:color w:val="auto"/>
          <w:sz w:val="36"/>
          <w:highlight w:val="none"/>
          <w:lang w:val="en-US" w:eastAsia="zh-CN"/>
        </w:rPr>
        <w:t>一</w:t>
      </w:r>
      <w:r>
        <w:rPr>
          <w:rFonts w:hint="eastAsia" w:ascii="宋体" w:hAnsi="宋体" w:eastAsia="宋体" w:cs="宋体"/>
          <w:b/>
          <w:color w:val="auto"/>
          <w:sz w:val="36"/>
          <w:highlight w:val="none"/>
        </w:rPr>
        <w:t>月</w:t>
      </w:r>
      <w:bookmarkEnd w:id="2"/>
    </w:p>
    <w:sdt>
      <w:sdtPr>
        <w:rPr>
          <w:rFonts w:hint="eastAsia" w:ascii="宋体" w:hAnsi="宋体" w:eastAsia="宋体" w:cs="宋体"/>
          <w:b/>
          <w:bCs/>
          <w:color w:val="auto"/>
          <w:kern w:val="2"/>
          <w:sz w:val="28"/>
          <w:szCs w:val="32"/>
          <w:highlight w:val="none"/>
          <w:lang w:val="en-US" w:eastAsia="zh-CN" w:bidi="ar-SA"/>
        </w:rPr>
        <w:id w:val="147483237"/>
        <w15:color w:val="DBDBDB"/>
        <w:docPartObj>
          <w:docPartGallery w:val="Table of Contents"/>
          <w:docPartUnique/>
        </w:docPartObj>
      </w:sdtPr>
      <w:sdtEndPr>
        <w:rPr>
          <w:rFonts w:hint="eastAsia" w:ascii="宋体" w:hAnsi="宋体" w:eastAsia="宋体" w:cs="宋体"/>
          <w:b/>
          <w:bCs/>
          <w:color w:val="auto"/>
          <w:kern w:val="2"/>
          <w:sz w:val="28"/>
          <w:szCs w:val="32"/>
          <w:highlight w:val="none"/>
          <w:lang w:val="en-US" w:eastAsia="zh-CN" w:bidi="ar-SA"/>
        </w:rPr>
      </w:sdtEndPr>
      <w:sdtContent>
        <w:p w14:paraId="0E7098B5">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leftChars="0" w:right="0" w:rightChars="0" w:firstLine="0" w:firstLineChars="0"/>
            <w:jc w:val="center"/>
            <w:textAlignment w:val="auto"/>
            <w:rPr>
              <w:rFonts w:hint="eastAsia" w:ascii="宋体" w:hAnsi="宋体" w:eastAsia="宋体" w:cs="宋体"/>
              <w:b/>
              <w:bCs/>
              <w:color w:val="auto"/>
              <w:sz w:val="36"/>
              <w:szCs w:val="40"/>
              <w:highlight w:val="none"/>
            </w:rPr>
          </w:pPr>
          <w:r>
            <w:rPr>
              <w:rFonts w:hint="eastAsia" w:ascii="宋体" w:hAnsi="宋体" w:eastAsia="宋体" w:cs="宋体"/>
              <w:b/>
              <w:bCs/>
              <w:color w:val="auto"/>
              <w:sz w:val="36"/>
              <w:szCs w:val="40"/>
              <w:highlight w:val="none"/>
            </w:rPr>
            <w:t>目录</w:t>
          </w:r>
        </w:p>
        <w:p w14:paraId="01FE00E4">
          <w:pPr>
            <w:pStyle w:val="18"/>
            <w:tabs>
              <w:tab w:val="right" w:leader="dot" w:pos="8306"/>
            </w:tabs>
            <w:rPr>
              <w:color w:val="auto"/>
              <w:sz w:val="28"/>
              <w:szCs w:val="32"/>
              <w:highlight w:val="none"/>
            </w:rPr>
          </w:pPr>
          <w:r>
            <w:rPr>
              <w:rFonts w:hint="eastAsia" w:ascii="宋体" w:hAnsi="宋体" w:eastAsia="宋体" w:cs="宋体"/>
              <w:color w:val="auto"/>
              <w:sz w:val="72"/>
              <w:szCs w:val="48"/>
              <w:highlight w:val="none"/>
            </w:rPr>
            <w:fldChar w:fldCharType="begin"/>
          </w:r>
          <w:r>
            <w:rPr>
              <w:rFonts w:hint="eastAsia" w:ascii="宋体" w:hAnsi="宋体" w:eastAsia="宋体" w:cs="宋体"/>
              <w:color w:val="auto"/>
              <w:sz w:val="72"/>
              <w:szCs w:val="48"/>
              <w:highlight w:val="none"/>
            </w:rPr>
            <w:instrText xml:space="preserve">TOC \o "1-1" \h \u </w:instrText>
          </w:r>
          <w:r>
            <w:rPr>
              <w:rFonts w:hint="eastAsia" w:ascii="宋体" w:hAnsi="宋体" w:eastAsia="宋体" w:cs="宋体"/>
              <w:color w:val="auto"/>
              <w:sz w:val="72"/>
              <w:szCs w:val="48"/>
              <w:highlight w:val="none"/>
            </w:rPr>
            <w:fldChar w:fldCharType="separate"/>
          </w: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_Toc812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kern w:val="2"/>
              <w:sz w:val="28"/>
              <w:szCs w:val="48"/>
              <w:highlight w:val="none"/>
              <w:lang w:val="en-US" w:eastAsia="zh-CN" w:bidi="ar-SA"/>
            </w:rPr>
            <w:t xml:space="preserve">第一章 </w:t>
          </w:r>
          <w:r>
            <w:rPr>
              <w:rFonts w:hint="eastAsia" w:ascii="宋体" w:hAnsi="宋体" w:eastAsia="宋体" w:cs="宋体"/>
              <w:color w:val="auto"/>
              <w:sz w:val="28"/>
              <w:szCs w:val="48"/>
              <w:highlight w:val="none"/>
              <w:lang w:val="en-US" w:eastAsia="zh-CN"/>
            </w:rPr>
            <w:t>招标公告</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_Toc812 \h </w:instrText>
          </w:r>
          <w:r>
            <w:rPr>
              <w:color w:val="auto"/>
              <w:sz w:val="28"/>
              <w:szCs w:val="32"/>
              <w:highlight w:val="none"/>
            </w:rPr>
            <w:fldChar w:fldCharType="separate"/>
          </w:r>
          <w:r>
            <w:rPr>
              <w:color w:val="auto"/>
              <w:sz w:val="28"/>
              <w:szCs w:val="32"/>
              <w:highlight w:val="none"/>
            </w:rPr>
            <w:t>3</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7B1B4B50">
          <w:pPr>
            <w:pStyle w:val="18"/>
            <w:tabs>
              <w:tab w:val="right" w:leader="dot" w:pos="8306"/>
            </w:tabs>
            <w:rPr>
              <w:color w:val="auto"/>
              <w:sz w:val="28"/>
              <w:szCs w:val="32"/>
              <w:highlight w:val="none"/>
            </w:rPr>
          </w:pP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_Toc23769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sz w:val="28"/>
              <w:szCs w:val="48"/>
              <w:highlight w:val="none"/>
              <w:lang w:val="zh-CN"/>
            </w:rPr>
            <w:t>第二章</w:t>
          </w:r>
          <w:r>
            <w:rPr>
              <w:rFonts w:hint="eastAsia" w:ascii="宋体" w:hAnsi="宋体" w:eastAsia="宋体" w:cs="宋体"/>
              <w:color w:val="auto"/>
              <w:sz w:val="28"/>
              <w:szCs w:val="48"/>
              <w:highlight w:val="none"/>
              <w:lang w:val="en-US" w:eastAsia="zh-CN"/>
            </w:rPr>
            <w:t xml:space="preserve"> </w:t>
          </w:r>
          <w:r>
            <w:rPr>
              <w:rFonts w:hint="eastAsia" w:ascii="宋体" w:hAnsi="宋体" w:eastAsia="宋体" w:cs="宋体"/>
              <w:color w:val="auto"/>
              <w:sz w:val="28"/>
              <w:szCs w:val="48"/>
              <w:highlight w:val="none"/>
              <w:lang w:val="zh-CN"/>
            </w:rPr>
            <w:t>供应商须知</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_Toc23769 \h </w:instrText>
          </w:r>
          <w:r>
            <w:rPr>
              <w:color w:val="auto"/>
              <w:sz w:val="28"/>
              <w:szCs w:val="32"/>
              <w:highlight w:val="none"/>
            </w:rPr>
            <w:fldChar w:fldCharType="separate"/>
          </w:r>
          <w:r>
            <w:rPr>
              <w:color w:val="auto"/>
              <w:sz w:val="28"/>
              <w:szCs w:val="32"/>
              <w:highlight w:val="none"/>
            </w:rPr>
            <w:t>7</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0B74FB67">
          <w:pPr>
            <w:pStyle w:val="18"/>
            <w:tabs>
              <w:tab w:val="right" w:leader="dot" w:pos="8306"/>
            </w:tabs>
            <w:rPr>
              <w:color w:val="auto"/>
              <w:sz w:val="28"/>
              <w:szCs w:val="32"/>
              <w:highlight w:val="none"/>
            </w:rPr>
          </w:pP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_Toc17016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sz w:val="28"/>
              <w:szCs w:val="48"/>
              <w:highlight w:val="none"/>
              <w:lang w:val="zh-CN"/>
            </w:rPr>
            <w:t>第三章</w:t>
          </w:r>
          <w:r>
            <w:rPr>
              <w:rFonts w:hint="eastAsia" w:ascii="宋体" w:hAnsi="宋体" w:eastAsia="宋体" w:cs="宋体"/>
              <w:color w:val="auto"/>
              <w:sz w:val="28"/>
              <w:szCs w:val="48"/>
              <w:highlight w:val="none"/>
              <w:lang w:val="en-US" w:eastAsia="zh-CN"/>
            </w:rPr>
            <w:t xml:space="preserve"> </w:t>
          </w:r>
          <w:r>
            <w:rPr>
              <w:rFonts w:hint="eastAsia" w:ascii="宋体" w:hAnsi="宋体" w:eastAsia="宋体" w:cs="宋体"/>
              <w:color w:val="auto"/>
              <w:sz w:val="28"/>
              <w:szCs w:val="48"/>
              <w:highlight w:val="none"/>
              <w:lang w:val="zh-CN"/>
            </w:rPr>
            <w:t>评标标准</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_Toc17016 \h </w:instrText>
          </w:r>
          <w:r>
            <w:rPr>
              <w:color w:val="auto"/>
              <w:sz w:val="28"/>
              <w:szCs w:val="32"/>
              <w:highlight w:val="none"/>
            </w:rPr>
            <w:fldChar w:fldCharType="separate"/>
          </w:r>
          <w:r>
            <w:rPr>
              <w:color w:val="auto"/>
              <w:sz w:val="28"/>
              <w:szCs w:val="32"/>
              <w:highlight w:val="none"/>
            </w:rPr>
            <w:t>15</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4C007A2C">
          <w:pPr>
            <w:pStyle w:val="18"/>
            <w:tabs>
              <w:tab w:val="right" w:leader="dot" w:pos="8306"/>
            </w:tabs>
            <w:rPr>
              <w:color w:val="auto"/>
              <w:sz w:val="28"/>
              <w:szCs w:val="32"/>
              <w:highlight w:val="none"/>
            </w:rPr>
          </w:pP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_Toc12188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kern w:val="2"/>
              <w:sz w:val="28"/>
              <w:szCs w:val="48"/>
              <w:highlight w:val="none"/>
              <w:lang w:val="zh-CN" w:eastAsia="zh-CN" w:bidi="ar-SA"/>
            </w:rPr>
            <w:t>第四章</w:t>
          </w:r>
          <w:r>
            <w:rPr>
              <w:rFonts w:hint="eastAsia" w:ascii="宋体" w:hAnsi="宋体" w:eastAsia="宋体" w:cs="宋体"/>
              <w:color w:val="auto"/>
              <w:kern w:val="2"/>
              <w:sz w:val="28"/>
              <w:szCs w:val="48"/>
              <w:highlight w:val="none"/>
              <w:lang w:val="en-US" w:eastAsia="zh-CN" w:bidi="ar-SA"/>
            </w:rPr>
            <w:t xml:space="preserve"> </w:t>
          </w:r>
          <w:r>
            <w:rPr>
              <w:rFonts w:hint="eastAsia" w:ascii="宋体" w:hAnsi="宋体" w:eastAsia="宋体" w:cs="宋体"/>
              <w:color w:val="auto"/>
              <w:sz w:val="28"/>
              <w:szCs w:val="48"/>
              <w:highlight w:val="none"/>
              <w:lang w:val="zh-CN"/>
            </w:rPr>
            <w:t>招标项目内容及要求</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_Toc12188 \h </w:instrText>
          </w:r>
          <w:r>
            <w:rPr>
              <w:color w:val="auto"/>
              <w:sz w:val="28"/>
              <w:szCs w:val="32"/>
              <w:highlight w:val="none"/>
            </w:rPr>
            <w:fldChar w:fldCharType="separate"/>
          </w:r>
          <w:r>
            <w:rPr>
              <w:color w:val="auto"/>
              <w:sz w:val="28"/>
              <w:szCs w:val="32"/>
              <w:highlight w:val="none"/>
            </w:rPr>
            <w:t>23</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7BC7A904">
          <w:pPr>
            <w:pStyle w:val="18"/>
            <w:tabs>
              <w:tab w:val="right" w:leader="dot" w:pos="8306"/>
            </w:tabs>
            <w:rPr>
              <w:color w:val="auto"/>
              <w:sz w:val="28"/>
              <w:szCs w:val="32"/>
              <w:highlight w:val="none"/>
            </w:rPr>
          </w:pP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_Toc27737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sz w:val="28"/>
              <w:szCs w:val="48"/>
              <w:highlight w:val="none"/>
              <w:lang w:val="zh-CN"/>
            </w:rPr>
            <w:t>第五章</w:t>
          </w:r>
          <w:r>
            <w:rPr>
              <w:rFonts w:hint="eastAsia" w:ascii="宋体" w:hAnsi="宋体" w:eastAsia="宋体" w:cs="宋体"/>
              <w:color w:val="auto"/>
              <w:sz w:val="28"/>
              <w:szCs w:val="48"/>
              <w:highlight w:val="none"/>
              <w:lang w:val="en-US" w:eastAsia="zh-CN"/>
            </w:rPr>
            <w:t xml:space="preserve"> </w:t>
          </w:r>
          <w:r>
            <w:rPr>
              <w:rFonts w:hint="eastAsia" w:ascii="宋体" w:hAnsi="宋体" w:eastAsia="宋体" w:cs="宋体"/>
              <w:color w:val="auto"/>
              <w:sz w:val="28"/>
              <w:szCs w:val="48"/>
              <w:highlight w:val="none"/>
              <w:lang w:val="zh-CN"/>
            </w:rPr>
            <w:t>合同主要条款及格式</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_Toc27737 \h </w:instrText>
          </w:r>
          <w:r>
            <w:rPr>
              <w:color w:val="auto"/>
              <w:sz w:val="28"/>
              <w:szCs w:val="32"/>
              <w:highlight w:val="none"/>
            </w:rPr>
            <w:fldChar w:fldCharType="separate"/>
          </w:r>
          <w:r>
            <w:rPr>
              <w:color w:val="auto"/>
              <w:sz w:val="28"/>
              <w:szCs w:val="32"/>
              <w:highlight w:val="none"/>
            </w:rPr>
            <w:t>23</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4350E04F">
          <w:pPr>
            <w:pStyle w:val="18"/>
            <w:tabs>
              <w:tab w:val="right" w:leader="dot" w:pos="8306"/>
            </w:tabs>
            <w:rPr>
              <w:color w:val="auto"/>
              <w:highlight w:val="none"/>
            </w:rPr>
          </w:pPr>
          <w:r>
            <w:rPr>
              <w:rFonts w:hint="eastAsia" w:ascii="宋体" w:hAnsi="宋体" w:eastAsia="宋体" w:cs="宋体"/>
              <w:color w:val="auto"/>
              <w:sz w:val="28"/>
              <w:szCs w:val="60"/>
              <w:highlight w:val="none"/>
            </w:rPr>
            <w:fldChar w:fldCharType="begin"/>
          </w:r>
          <w:r>
            <w:rPr>
              <w:rFonts w:hint="eastAsia" w:ascii="宋体" w:hAnsi="宋体" w:eastAsia="宋体" w:cs="宋体"/>
              <w:color w:val="auto"/>
              <w:sz w:val="28"/>
              <w:szCs w:val="60"/>
              <w:highlight w:val="none"/>
            </w:rPr>
            <w:instrText xml:space="preserve"> HYPERLINK \l _Toc20242 </w:instrText>
          </w:r>
          <w:r>
            <w:rPr>
              <w:rFonts w:hint="eastAsia" w:ascii="宋体" w:hAnsi="宋体" w:eastAsia="宋体" w:cs="宋体"/>
              <w:color w:val="auto"/>
              <w:sz w:val="28"/>
              <w:szCs w:val="60"/>
              <w:highlight w:val="none"/>
            </w:rPr>
            <w:fldChar w:fldCharType="separate"/>
          </w:r>
          <w:r>
            <w:rPr>
              <w:rFonts w:hint="eastAsia" w:ascii="宋体" w:hAnsi="宋体" w:eastAsia="宋体" w:cs="宋体"/>
              <w:color w:val="auto"/>
              <w:sz w:val="28"/>
              <w:szCs w:val="48"/>
              <w:highlight w:val="none"/>
              <w:lang w:val="zh-CN"/>
            </w:rPr>
            <w:t>第六章</w:t>
          </w:r>
          <w:r>
            <w:rPr>
              <w:rFonts w:hint="eastAsia" w:ascii="宋体" w:hAnsi="宋体" w:eastAsia="宋体" w:cs="宋体"/>
              <w:color w:val="auto"/>
              <w:sz w:val="28"/>
              <w:szCs w:val="48"/>
              <w:highlight w:val="none"/>
              <w:lang w:val="en-US" w:eastAsia="zh-CN"/>
            </w:rPr>
            <w:t xml:space="preserve"> </w:t>
          </w:r>
          <w:r>
            <w:rPr>
              <w:rFonts w:hint="eastAsia" w:ascii="宋体" w:hAnsi="宋体" w:eastAsia="宋体" w:cs="宋体"/>
              <w:color w:val="auto"/>
              <w:sz w:val="28"/>
              <w:szCs w:val="48"/>
              <w:highlight w:val="none"/>
              <w:lang w:val="zh-CN"/>
            </w:rPr>
            <w:t>投标文件格式及附件</w:t>
          </w:r>
          <w:r>
            <w:rPr>
              <w:color w:val="auto"/>
              <w:sz w:val="28"/>
              <w:szCs w:val="32"/>
              <w:highlight w:val="none"/>
            </w:rPr>
            <w:tab/>
          </w:r>
          <w:r>
            <w:rPr>
              <w:color w:val="auto"/>
              <w:sz w:val="28"/>
              <w:szCs w:val="32"/>
              <w:highlight w:val="none"/>
            </w:rPr>
            <w:fldChar w:fldCharType="begin"/>
          </w:r>
          <w:r>
            <w:rPr>
              <w:color w:val="auto"/>
              <w:sz w:val="28"/>
              <w:szCs w:val="32"/>
              <w:highlight w:val="none"/>
            </w:rPr>
            <w:instrText xml:space="preserve"> PAGEREF _Toc20242 \h </w:instrText>
          </w:r>
          <w:r>
            <w:rPr>
              <w:color w:val="auto"/>
              <w:sz w:val="28"/>
              <w:szCs w:val="32"/>
              <w:highlight w:val="none"/>
            </w:rPr>
            <w:fldChar w:fldCharType="separate"/>
          </w:r>
          <w:r>
            <w:rPr>
              <w:color w:val="auto"/>
              <w:sz w:val="28"/>
              <w:szCs w:val="32"/>
              <w:highlight w:val="none"/>
            </w:rPr>
            <w:t>64</w:t>
          </w:r>
          <w:r>
            <w:rPr>
              <w:color w:val="auto"/>
              <w:sz w:val="28"/>
              <w:szCs w:val="32"/>
              <w:highlight w:val="none"/>
            </w:rPr>
            <w:fldChar w:fldCharType="end"/>
          </w:r>
          <w:r>
            <w:rPr>
              <w:rFonts w:hint="eastAsia" w:ascii="宋体" w:hAnsi="宋体" w:eastAsia="宋体" w:cs="宋体"/>
              <w:color w:val="auto"/>
              <w:sz w:val="28"/>
              <w:szCs w:val="60"/>
              <w:highlight w:val="none"/>
            </w:rPr>
            <w:fldChar w:fldCharType="end"/>
          </w:r>
        </w:p>
        <w:p w14:paraId="1A201FD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48"/>
              <w:szCs w:val="32"/>
              <w:highlight w:val="none"/>
            </w:rPr>
            <w:sectPr>
              <w:footerReference r:id="rId5" w:type="default"/>
              <w:pgSz w:w="11906" w:h="16838"/>
              <w:pgMar w:top="1440" w:right="1134" w:bottom="1440" w:left="1134" w:header="851" w:footer="992" w:gutter="0"/>
              <w:pgNumType w:fmt="decimal"/>
              <w:cols w:space="425" w:num="1"/>
              <w:docGrid w:type="lines" w:linePitch="312" w:charSpace="0"/>
            </w:sectPr>
          </w:pPr>
          <w:r>
            <w:rPr>
              <w:rFonts w:hint="eastAsia" w:ascii="宋体" w:hAnsi="宋体" w:eastAsia="宋体" w:cs="宋体"/>
              <w:color w:val="auto"/>
              <w:szCs w:val="48"/>
              <w:highlight w:val="none"/>
            </w:rPr>
            <w:fldChar w:fldCharType="end"/>
          </w:r>
          <w:bookmarkStart w:id="36" w:name="_GoBack"/>
          <w:bookmarkEnd w:id="36"/>
        </w:p>
      </w:sdtContent>
    </w:sdt>
    <w:p w14:paraId="05363059">
      <w:pPr>
        <w:keepNext w:val="0"/>
        <w:keepLines w:val="0"/>
        <w:pageBreakBefore w:val="0"/>
        <w:numPr>
          <w:ilvl w:val="0"/>
          <w:numId w:val="0"/>
        </w:numPr>
        <w:kinsoku/>
        <w:wordWrap/>
        <w:overflowPunct/>
        <w:topLinePunct w:val="0"/>
        <w:autoSpaceDE/>
        <w:autoSpaceDN/>
        <w:bidi w:val="0"/>
        <w:adjustRightInd/>
        <w:snapToGrid/>
        <w:spacing w:line="360" w:lineRule="auto"/>
        <w:ind w:firstLine="720" w:firstLineChars="200"/>
        <w:jc w:val="center"/>
        <w:textAlignment w:val="auto"/>
        <w:outlineLvl w:val="0"/>
        <w:rPr>
          <w:rFonts w:hint="eastAsia" w:ascii="宋体" w:hAnsi="宋体" w:eastAsia="宋体" w:cs="宋体"/>
          <w:color w:val="auto"/>
          <w:sz w:val="36"/>
          <w:szCs w:val="36"/>
          <w:highlight w:val="none"/>
          <w:lang w:val="en-US" w:eastAsia="zh-CN"/>
        </w:rPr>
      </w:pPr>
      <w:bookmarkStart w:id="3" w:name="_Toc812"/>
      <w:r>
        <w:rPr>
          <w:rFonts w:hint="eastAsia" w:ascii="宋体" w:hAnsi="宋体" w:eastAsia="宋体" w:cs="宋体"/>
          <w:color w:val="auto"/>
          <w:kern w:val="2"/>
          <w:sz w:val="36"/>
          <w:szCs w:val="36"/>
          <w:highlight w:val="none"/>
          <w:lang w:val="en-US" w:eastAsia="zh-CN" w:bidi="ar-SA"/>
        </w:rPr>
        <w:t xml:space="preserve">第一章 </w:t>
      </w:r>
      <w:r>
        <w:rPr>
          <w:rFonts w:hint="eastAsia" w:ascii="宋体" w:hAnsi="宋体" w:eastAsia="宋体" w:cs="宋体"/>
          <w:color w:val="auto"/>
          <w:sz w:val="36"/>
          <w:szCs w:val="36"/>
          <w:highlight w:val="none"/>
          <w:lang w:val="en-US" w:eastAsia="zh-CN"/>
        </w:rPr>
        <w:t>招标公告</w:t>
      </w:r>
      <w:bookmarkEnd w:id="3"/>
    </w:p>
    <w:p w14:paraId="0140507F">
      <w:pPr>
        <w:pStyle w:val="21"/>
        <w:pBdr>
          <w:top w:val="single" w:color="auto" w:sz="6" w:space="1"/>
          <w:left w:val="single" w:color="auto" w:sz="6" w:space="4"/>
          <w:bottom w:val="single" w:color="auto" w:sz="6" w:space="0"/>
          <w:right w:val="single" w:color="auto" w:sz="6" w:space="4"/>
        </w:pBd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r>
        <w:rPr>
          <w:rFonts w:hint="eastAsia" w:cs="宋体"/>
          <w:color w:val="auto"/>
          <w:sz w:val="21"/>
          <w:szCs w:val="21"/>
          <w:highlight w:val="none"/>
          <w:u w:val="single"/>
          <w:lang w:val="en-US" w:eastAsia="zh-CN"/>
        </w:rPr>
        <w:t>中国药科大学玄武门校区图书馆改造设计项目</w:t>
      </w:r>
      <w:r>
        <w:rPr>
          <w:rFonts w:hint="eastAsia" w:ascii="宋体" w:hAnsi="宋体" w:eastAsia="宋体" w:cs="宋体"/>
          <w:color w:val="auto"/>
          <w:sz w:val="21"/>
          <w:szCs w:val="21"/>
          <w:highlight w:val="none"/>
        </w:rPr>
        <w:t>的潜在投标人应在</w:t>
      </w:r>
      <w:r>
        <w:rPr>
          <w:rFonts w:hint="eastAsia" w:ascii="宋体" w:hAnsi="宋体" w:eastAsia="宋体" w:cs="宋体"/>
          <w:color w:val="auto"/>
          <w:sz w:val="21"/>
          <w:szCs w:val="21"/>
          <w:highlight w:val="none"/>
          <w:u w:val="single"/>
        </w:rPr>
        <w:t>南京市中山路99号1212室</w:t>
      </w:r>
      <w:r>
        <w:rPr>
          <w:rFonts w:hint="eastAsia" w:ascii="宋体" w:hAnsi="宋体" w:eastAsia="宋体" w:cs="宋体"/>
          <w:color w:val="auto"/>
          <w:sz w:val="21"/>
          <w:szCs w:val="21"/>
          <w:highlight w:val="none"/>
        </w:rPr>
        <w:t>获取采购文件，并于</w:t>
      </w:r>
      <w:r>
        <w:rPr>
          <w:rFonts w:hint="eastAsia" w:ascii="宋体" w:hAnsi="宋体" w:eastAsia="宋体" w:cs="宋体"/>
          <w:color w:val="auto"/>
          <w:sz w:val="21"/>
          <w:szCs w:val="21"/>
          <w:highlight w:val="none"/>
          <w:u w:val="single"/>
        </w:rPr>
        <w:t>202</w:t>
      </w:r>
      <w:r>
        <w:rPr>
          <w:rFonts w:hint="eastAsia" w:cs="宋体"/>
          <w:color w:val="auto"/>
          <w:sz w:val="21"/>
          <w:szCs w:val="21"/>
          <w:highlight w:val="none"/>
          <w:u w:val="single"/>
          <w:lang w:val="en-US" w:eastAsia="zh-CN"/>
        </w:rPr>
        <w:t>6</w:t>
      </w:r>
      <w:r>
        <w:rPr>
          <w:rFonts w:hint="eastAsia" w:ascii="宋体" w:hAnsi="宋体" w:eastAsia="宋体" w:cs="宋体"/>
          <w:color w:val="auto"/>
          <w:sz w:val="21"/>
          <w:szCs w:val="21"/>
          <w:highlight w:val="none"/>
          <w:u w:val="single"/>
        </w:rPr>
        <w:t>年</w:t>
      </w:r>
      <w:r>
        <w:rPr>
          <w:rFonts w:hint="eastAsia" w:cs="宋体"/>
          <w:color w:val="auto"/>
          <w:sz w:val="21"/>
          <w:szCs w:val="21"/>
          <w:highlight w:val="none"/>
          <w:u w:val="single"/>
          <w:lang w:val="en-US" w:eastAsia="zh-CN"/>
        </w:rPr>
        <w:t>1</w:t>
      </w:r>
      <w:r>
        <w:rPr>
          <w:rFonts w:hint="eastAsia" w:ascii="宋体" w:hAnsi="宋体" w:eastAsia="宋体" w:cs="宋体"/>
          <w:color w:val="auto"/>
          <w:sz w:val="21"/>
          <w:szCs w:val="21"/>
          <w:highlight w:val="none"/>
          <w:u w:val="single"/>
        </w:rPr>
        <w:t>月</w:t>
      </w:r>
      <w:r>
        <w:rPr>
          <w:rFonts w:hint="eastAsia" w:cs="宋体"/>
          <w:color w:val="auto"/>
          <w:sz w:val="21"/>
          <w:szCs w:val="21"/>
          <w:highlight w:val="none"/>
          <w:u w:val="single"/>
          <w:lang w:val="en-US" w:eastAsia="zh-CN"/>
        </w:rPr>
        <w:t>26</w:t>
      </w:r>
      <w:r>
        <w:rPr>
          <w:rFonts w:hint="eastAsia" w:ascii="宋体" w:hAnsi="宋体" w:eastAsia="宋体" w:cs="宋体"/>
          <w:color w:val="auto"/>
          <w:sz w:val="21"/>
          <w:szCs w:val="21"/>
          <w:highlight w:val="none"/>
          <w:u w:val="single"/>
        </w:rPr>
        <w:t>日</w:t>
      </w:r>
      <w:r>
        <w:rPr>
          <w:rFonts w:hint="eastAsia" w:cs="宋体"/>
          <w:color w:val="auto"/>
          <w:sz w:val="21"/>
          <w:szCs w:val="21"/>
          <w:highlight w:val="none"/>
          <w:u w:val="single"/>
          <w:lang w:val="en-US" w:eastAsia="zh-CN"/>
        </w:rPr>
        <w:t>14</w:t>
      </w:r>
      <w:r>
        <w:rPr>
          <w:rFonts w:hint="eastAsia" w:ascii="宋体" w:hAnsi="宋体" w:eastAsia="宋体" w:cs="宋体"/>
          <w:color w:val="auto"/>
          <w:sz w:val="21"/>
          <w:szCs w:val="21"/>
          <w:highlight w:val="none"/>
          <w:u w:val="single"/>
        </w:rPr>
        <w:t>点</w:t>
      </w:r>
      <w:r>
        <w:rPr>
          <w:rFonts w:hint="eastAsia" w:cs="宋体"/>
          <w:color w:val="auto"/>
          <w:sz w:val="21"/>
          <w:szCs w:val="21"/>
          <w:highlight w:val="none"/>
          <w:u w:val="single"/>
          <w:lang w:val="en-US" w:eastAsia="zh-CN"/>
        </w:rPr>
        <w:t>30</w:t>
      </w:r>
      <w:r>
        <w:rPr>
          <w:rFonts w:hint="eastAsia" w:ascii="宋体" w:hAnsi="宋体" w:eastAsia="宋体" w:cs="宋体"/>
          <w:color w:val="auto"/>
          <w:sz w:val="21"/>
          <w:szCs w:val="21"/>
          <w:highlight w:val="none"/>
          <w:u w:val="single"/>
        </w:rPr>
        <w:t>分</w:t>
      </w:r>
      <w:r>
        <w:rPr>
          <w:rFonts w:hint="eastAsia" w:ascii="宋体" w:hAnsi="宋体" w:eastAsia="宋体" w:cs="宋体"/>
          <w:color w:val="auto"/>
          <w:sz w:val="21"/>
          <w:szCs w:val="21"/>
          <w:highlight w:val="none"/>
        </w:rPr>
        <w:t>（北京时间）前递交投标文件。</w:t>
      </w:r>
    </w:p>
    <w:p w14:paraId="1DEF98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一、项目基本情况</w:t>
      </w:r>
    </w:p>
    <w:p w14:paraId="4CE3434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项目编号：</w:t>
      </w:r>
      <w:r>
        <w:rPr>
          <w:rFonts w:hint="eastAsia" w:ascii="宋体" w:hAnsi="宋体" w:eastAsia="宋体" w:cs="宋体"/>
          <w:color w:val="auto"/>
          <w:highlight w:val="none"/>
          <w:lang w:val="en-US" w:eastAsia="zh-CN"/>
        </w:rPr>
        <w:fldChar w:fldCharType="begin"/>
      </w:r>
      <w:r>
        <w:rPr>
          <w:rFonts w:hint="eastAsia" w:ascii="宋体" w:hAnsi="宋体" w:eastAsia="宋体" w:cs="宋体"/>
          <w:color w:val="auto"/>
          <w:highlight w:val="none"/>
          <w:lang w:val="en-US" w:eastAsia="zh-CN"/>
        </w:rPr>
        <w:instrText xml:space="preserve"> HYPERLINK "http://cgzx.cpu.edu.cn/cg/zdyXmsb/viewXmsb.do" \l "##" \o "1014180001" </w:instrText>
      </w:r>
      <w:r>
        <w:rPr>
          <w:rFonts w:hint="eastAsia" w:ascii="宋体" w:hAnsi="宋体" w:eastAsia="宋体" w:cs="宋体"/>
          <w:color w:val="auto"/>
          <w:highlight w:val="none"/>
          <w:lang w:val="en-US" w:eastAsia="zh-CN"/>
        </w:rPr>
        <w:fldChar w:fldCharType="separate"/>
      </w:r>
      <w:r>
        <w:rPr>
          <w:rFonts w:hint="eastAsia" w:ascii="宋体" w:hAnsi="宋体" w:eastAsia="宋体" w:cs="宋体"/>
          <w:color w:val="auto"/>
          <w:highlight w:val="none"/>
          <w:lang w:val="en-US" w:eastAsia="zh-CN"/>
        </w:rPr>
        <w:t>DCFGZB031250365</w:t>
      </w:r>
      <w:r>
        <w:rPr>
          <w:rFonts w:hint="eastAsia" w:ascii="宋体" w:hAnsi="宋体" w:eastAsia="宋体" w:cs="宋体"/>
          <w:color w:val="auto"/>
          <w:highlight w:val="none"/>
          <w:lang w:val="en-US" w:eastAsia="zh-CN"/>
        </w:rPr>
        <w:fldChar w:fldCharType="end"/>
      </w:r>
      <w:r>
        <w:rPr>
          <w:rFonts w:hint="eastAsia" w:ascii="宋体" w:hAnsi="宋体" w:eastAsia="宋体" w:cs="宋体"/>
          <w:color w:val="auto"/>
          <w:highlight w:val="none"/>
          <w:lang w:val="en-US" w:eastAsia="zh-CN"/>
        </w:rPr>
        <w:t>（校方编号）、SNZX-20250705（代理编号）</w:t>
      </w:r>
    </w:p>
    <w:p w14:paraId="1AE79A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项目名称：中国药科大学玄武门校区图书馆改造设计项目</w:t>
      </w:r>
    </w:p>
    <w:p w14:paraId="17295F8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项目预算：50</w:t>
      </w:r>
      <w:r>
        <w:rPr>
          <w:rFonts w:hint="eastAsia" w:ascii="宋体" w:hAnsi="宋体" w:eastAsia="宋体" w:cs="宋体"/>
          <w:color w:val="auto"/>
          <w:highlight w:val="none"/>
          <w:lang w:val="zh-CN" w:eastAsia="zh-CN"/>
        </w:rPr>
        <w:t>万元</w:t>
      </w:r>
    </w:p>
    <w:p w14:paraId="1AD5725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en-US" w:eastAsia="zh-CN"/>
        </w:rPr>
        <w:t>最高限价：50</w:t>
      </w:r>
      <w:r>
        <w:rPr>
          <w:rFonts w:hint="eastAsia" w:ascii="宋体" w:hAnsi="宋体" w:eastAsia="宋体" w:cs="宋体"/>
          <w:color w:val="auto"/>
          <w:highlight w:val="none"/>
          <w:lang w:val="zh-CN" w:eastAsia="zh-CN"/>
        </w:rPr>
        <w:t>万元</w:t>
      </w:r>
      <w:r>
        <w:rPr>
          <w:rFonts w:hint="eastAsia" w:ascii="宋体" w:hAnsi="宋体" w:eastAsia="宋体" w:cs="宋体"/>
          <w:color w:val="auto"/>
          <w:kern w:val="2"/>
          <w:sz w:val="21"/>
          <w:szCs w:val="21"/>
          <w:highlight w:val="none"/>
          <w:lang w:val="en-US" w:eastAsia="zh-CN" w:bidi="ar-SA"/>
        </w:rPr>
        <w:t>，</w:t>
      </w:r>
      <w:r>
        <w:rPr>
          <w:rFonts w:hint="eastAsia" w:ascii="宋体" w:hAnsi="宋体" w:eastAsia="宋体" w:cs="宋体"/>
          <w:color w:val="auto"/>
          <w:sz w:val="21"/>
          <w:szCs w:val="21"/>
          <w:highlight w:val="none"/>
        </w:rPr>
        <w:t>投标</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超过最高限价的为无效投标；</w:t>
      </w:r>
    </w:p>
    <w:p w14:paraId="3B0B8B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采购需求：中国药科大学玄武门校区图书馆改造设计项目，将图书馆改造为实验室，总改造面积约6500平方米，工程费约1500万元，包含但不限于方案设计、初步设计、初步设计概算编制、施工图设计、主要材料及设备技术参数的审核、配合施工图审查、承担设计相关的专家评审、设计风险管控、设计答疑、勘察及施工配合(含专项深化设计图)等各项工作。全过程设计包括：各阶段招标配合和施工现场配合服务，施工期间派驻现场设计代表、提供设计交底、解决施工中设计技术问题、设计修改、变更、相关专题报告、各项验收等服务工作。包括但不限于给建筑、结构、给排水、电气、消防、暖通、弱电、智能化、变配电、装饰装修、结构补强、实验室工艺设计。</w:t>
      </w:r>
    </w:p>
    <w:p w14:paraId="6D4791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合同履行期限：60日历天，按合同约定完成设计工作。设计服务期的其他要求：自设计合同生效之日起至竣工验收合格。</w:t>
      </w:r>
    </w:p>
    <w:p w14:paraId="698F555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本项目不接受联合体投标。</w:t>
      </w:r>
    </w:p>
    <w:p w14:paraId="26DC5F3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本项目是否属专门面向中小企业采购项目：是。</w:t>
      </w:r>
    </w:p>
    <w:p w14:paraId="03C23F7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本项目所对应的中小企业划分标准所属行业：其他未列明行业</w:t>
      </w:r>
    </w:p>
    <w:p w14:paraId="4A729E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二、申请人的资格要求：</w:t>
      </w:r>
    </w:p>
    <w:p w14:paraId="2DE922F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67EDE4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（1）具有独立承担民事责任的能力（提供法人或者其他组织的营业执照，自然人的身份证）；</w:t>
      </w:r>
    </w:p>
    <w:p w14:paraId="603F060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（2）具有良好的商业信誉和健全的财务会计制度（提供参加本次政府采购活动上一年度</w:t>
      </w:r>
      <w:r>
        <w:rPr>
          <w:rFonts w:hint="eastAsia" w:ascii="宋体" w:hAnsi="宋体" w:eastAsia="宋体" w:cs="宋体"/>
          <w:color w:val="auto"/>
          <w:highlight w:val="none"/>
          <w:lang w:eastAsia="zh-CN"/>
        </w:rPr>
        <w:t>（或</w:t>
      </w:r>
      <w:r>
        <w:rPr>
          <w:rFonts w:hint="eastAsia" w:ascii="宋体" w:hAnsi="宋体" w:eastAsia="宋体" w:cs="宋体"/>
          <w:color w:val="auto"/>
          <w:highlight w:val="none"/>
          <w:lang w:val="en-US" w:eastAsia="zh-CN"/>
        </w:rPr>
        <w:t>2024年度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的财务报表，或本次政府采购活动截止时间前六个月内银行出具的资信证明，或财政部门认可的政府采购专业担保机构出具的投标担保函。成立不满一年无需提供。）；</w:t>
      </w:r>
    </w:p>
    <w:p w14:paraId="6AB8347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（3）具有履行合同所必需的设备和专业技术能力（根据项目需求提供履行合同所必需的设备和专业技术能力的证明材料或相关加盖公章的声明函）；  </w:t>
      </w:r>
    </w:p>
    <w:p w14:paraId="22356FC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近半年内任意一个月的纳税证明文件（依法免缴的应提供相应文件说明）；并提供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近半年内依法为员工缴纳社会保障资金的证明材料（任意一个月即可），证明材料可以是缴费的银行单据复印件、社保机构开具的证明（依法不需要缴纳社会保障资金的应提供相应文件说明））；</w:t>
      </w:r>
    </w:p>
    <w:p w14:paraId="2B82C3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（5）参加本次采购活动前三年内，在经营活动中没有重大违法记录（提供参加本次采购活动前三年内在经营活动中没有重大违法记录的书面声明）。</w:t>
      </w:r>
    </w:p>
    <w:p w14:paraId="4FFDF21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（6）法律、行政法规规定的其他条件。（符合并提供承诺书加盖供应商公章编入响应文件中）。</w:t>
      </w:r>
    </w:p>
    <w:p w14:paraId="69DB030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（7）注：①第（5）条所称重大违法记录，是指供应商因违法经营受到刑事处罚或者责令停产停业、吊销许可证或者执照、较大数额罚款等行政处罚。</w:t>
      </w:r>
    </w:p>
    <w:p w14:paraId="4AECC5A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②供应商在参加政府采购活动前3年内因违法经营被禁止在一定期限内参加政府采购活动，期限届满的，可以参加政府采购活动。</w:t>
      </w:r>
    </w:p>
    <w:p w14:paraId="1ED29DF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为专门面向中小企业采购的项目。如为中小微型企业、监狱企业、残疾人福利性单位，提供的产品为国家认定的节能产品和环保产品的须按要求提供相关材料。非中小型企业参与本项目投标，将做无效标处理。</w:t>
      </w:r>
    </w:p>
    <w:p w14:paraId="6733699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7B54182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（1）供应商资质等级及范围必须符合下列条件之一（提供资质证书复印件并加盖供应商公章）：</w:t>
      </w:r>
    </w:p>
    <w:p w14:paraId="43DBD8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①工程设计综合</w:t>
      </w:r>
      <w:r>
        <w:rPr>
          <w:rFonts w:hint="eastAsia" w:ascii="宋体" w:hAnsi="宋体" w:eastAsia="宋体" w:cs="宋体"/>
          <w:color w:val="auto"/>
          <w:highlight w:val="none"/>
          <w:lang w:val="en-US" w:eastAsia="zh-CN"/>
        </w:rPr>
        <w:t>甲</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p>
    <w:p w14:paraId="2F6629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②工程设计建筑行业</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p>
    <w:p w14:paraId="10CED1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③建筑行业（建筑工程）设计</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r>
        <w:rPr>
          <w:rFonts w:hint="eastAsia" w:ascii="宋体" w:hAnsi="宋体" w:eastAsia="宋体" w:cs="宋体"/>
          <w:color w:val="auto"/>
          <w:highlight w:val="none"/>
          <w:lang w:eastAsia="zh-CN"/>
        </w:rPr>
        <w:t>。</w:t>
      </w:r>
    </w:p>
    <w:p w14:paraId="3AD3873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（2）供应商投入本项目的项目负责人资质类别和等级：具有</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级</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以上</w:t>
      </w:r>
      <w:r>
        <w:rPr>
          <w:rFonts w:hint="eastAsia" w:ascii="宋体" w:hAnsi="宋体" w:eastAsia="宋体" w:cs="宋体"/>
          <w:color w:val="auto"/>
          <w:highlight w:val="none"/>
        </w:rPr>
        <w:t>注册建筑师资格；（提供证书复印件并加盖供应</w:t>
      </w:r>
      <w:r>
        <w:rPr>
          <w:rFonts w:hint="eastAsia" w:ascii="宋体" w:hAnsi="宋体" w:eastAsia="宋体" w:cs="宋体"/>
          <w:color w:val="auto"/>
          <w:highlight w:val="none"/>
          <w:lang w:val="en-US" w:eastAsia="zh-CN"/>
        </w:rPr>
        <w:t>商公章）</w:t>
      </w:r>
    </w:p>
    <w:p w14:paraId="036DE3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供应商需提供社保机构出具的近半年（2025年7月-2025年12月）投标申请人为其缴纳的养老保险缴费证明材料。（投标人为拟投入本工程项目负责人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提供证明材料复印件并加盖供应商公章</w:t>
      </w:r>
      <w:r>
        <w:rPr>
          <w:rFonts w:hint="eastAsia" w:ascii="宋体" w:hAnsi="宋体" w:eastAsia="宋体" w:cs="宋体"/>
          <w:color w:val="auto"/>
          <w:highlight w:val="none"/>
          <w:lang w:eastAsia="zh-CN"/>
        </w:rPr>
        <w:t>）</w:t>
      </w:r>
    </w:p>
    <w:p w14:paraId="0512F71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4.拒绝下述供应商参加本次采购活动：（提供承诺书加盖供应商公章编入投标文件中）</w:t>
      </w:r>
    </w:p>
    <w:p w14:paraId="00F4DED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（1）供应商单位负责人为同一人或者存在直接控股、管理关系的不同供应商，不得参加同一合同项下的采购活动。</w:t>
      </w:r>
    </w:p>
    <w:p w14:paraId="58E4F91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（2）凡为采购项目提供整体设计、规范编制或者项目管理、监理、检测等服务的供应商，不得再参加本项目的采购活动。</w:t>
      </w:r>
    </w:p>
    <w:p w14:paraId="73FAE9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（3）拒绝列入失信被执行人、重大税收违法失信主体、政府采购严重违法失信行为记录名单中的供应商参加本项目的采购活动。</w:t>
      </w:r>
    </w:p>
    <w:p w14:paraId="506CC70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注：采购人或代理机构通过 “信用中国”网站（www.creditchina.gov.cn）、“中国政府采购网”网站（www.ccgp.gov.cn）等渠道查询供应商信用记录并保存。</w:t>
      </w:r>
    </w:p>
    <w:p w14:paraId="3FC63E5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三、获取采购文件</w:t>
      </w:r>
    </w:p>
    <w:p w14:paraId="34D0668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日至202</w:t>
      </w:r>
      <w:r>
        <w:rPr>
          <w:rFonts w:hint="eastAsia" w:ascii="宋体" w:hAnsi="宋体" w:eastAsia="宋体" w:cs="宋体"/>
          <w:color w:val="auto"/>
          <w:highlight w:val="non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月</w:t>
      </w:r>
      <w:r>
        <w:rPr>
          <w:rFonts w:hint="eastAsia" w:ascii="宋体" w:hAnsi="宋体" w:eastAsia="宋体" w:cs="宋体"/>
          <w:color w:val="auto"/>
          <w:highlight w:val="none"/>
          <w:lang w:val="en-US" w:eastAsia="zh-CN"/>
        </w:rPr>
        <w:t>9</w:t>
      </w:r>
      <w:r>
        <w:rPr>
          <w:rFonts w:hint="eastAsia" w:ascii="宋体" w:hAnsi="宋体" w:eastAsia="宋体" w:cs="宋体"/>
          <w:color w:val="auto"/>
          <w:highlight w:val="none"/>
        </w:rPr>
        <w:t>日，每天9：00至17:00（北京时间，法定节假日除外）</w:t>
      </w:r>
    </w:p>
    <w:p w14:paraId="56309428">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获取方式：网址为：https://njsnzx.cn/#/detail?id=2706；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34A541F9">
      <w:pPr>
        <w:spacing w:line="360" w:lineRule="exact"/>
        <w:ind w:firstLine="420" w:firstLineChars="200"/>
        <w:rPr>
          <w:rFonts w:hint="eastAsia"/>
          <w:color w:val="auto"/>
          <w:sz w:val="21"/>
          <w:szCs w:val="21"/>
          <w:highlight w:val="none"/>
        </w:rPr>
      </w:pPr>
      <w:r>
        <w:rPr>
          <w:rFonts w:hint="eastAsia" w:ascii="宋体" w:hAnsi="宋体" w:eastAsia="宋体" w:cs="宋体"/>
          <w:color w:val="auto"/>
          <w:szCs w:val="21"/>
          <w:highlight w:val="none"/>
        </w:rPr>
        <w:t>售价：￥500元，本公告包含的招标文件售价总和。</w:t>
      </w:r>
      <w:r>
        <w:rPr>
          <w:rFonts w:hint="eastAsia" w:ascii="宋体" w:hAnsi="宋体" w:cs="宋体"/>
          <w:color w:val="000000"/>
          <w:szCs w:val="21"/>
        </w:rPr>
        <w:t>第一次已获取招标文件的无需重复缴费，但仍需重新获取招标文件</w:t>
      </w:r>
      <w:r>
        <w:rPr>
          <w:rFonts w:hint="eastAsia"/>
          <w:color w:val="auto"/>
          <w:sz w:val="21"/>
          <w:szCs w:val="21"/>
          <w:highlight w:val="none"/>
        </w:rPr>
        <w:t>。</w:t>
      </w:r>
    </w:p>
    <w:p w14:paraId="321B3DCE">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2.北京时间，法定节假日除外；未按照上述要求合法获取招标（采购）文件的，招标（采购）人将不予受理其投标（响应）。</w:t>
      </w:r>
    </w:p>
    <w:p w14:paraId="2F8948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四、提交响应文件截止时间、开标时间和地点</w:t>
      </w:r>
    </w:p>
    <w:p w14:paraId="1960046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时间：2026年1月26日1</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点30分（北京时间）</w:t>
      </w:r>
    </w:p>
    <w:p w14:paraId="00968A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地点：南京市中山路99号1212室</w:t>
      </w:r>
    </w:p>
    <w:p w14:paraId="08EAB43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五、公告期限</w:t>
      </w:r>
    </w:p>
    <w:p w14:paraId="2F17CF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自本公告发布之日起</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个工作日。</w:t>
      </w:r>
    </w:p>
    <w:p w14:paraId="3A6D6D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六、其他补充事宜</w:t>
      </w:r>
    </w:p>
    <w:p w14:paraId="2B9A72E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1.集中考察或答疑：</w:t>
      </w:r>
    </w:p>
    <w:p w14:paraId="037AB84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本工程不组织集体踏勘，但供应商应自行踏勘现场，熟悉现场地形、道路和周围环境，了解一切可能影响施工、投标报价的因素，且供应商应对自行获得的资料、信息的正确性负全部责任，因此所需费用自行承担。一旦供应商中标，中标后不得以不完全了解施工现场为由，而提出额外的赔偿、补偿、增加费用和延长工期等要求，对此采购人可不予采纳。</w:t>
      </w:r>
    </w:p>
    <w:p w14:paraId="3BF69D5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2.响应文件份数：壹式</w:t>
      </w:r>
      <w:r>
        <w:rPr>
          <w:rFonts w:hint="eastAsia" w:ascii="宋体" w:hAnsi="宋体" w:eastAsia="宋体" w:cs="宋体"/>
          <w:color w:val="auto"/>
          <w:highlight w:val="none"/>
          <w:lang w:val="en-US" w:eastAsia="zh-CN"/>
        </w:rPr>
        <w:t>伍</w:t>
      </w:r>
      <w:r>
        <w:rPr>
          <w:rFonts w:hint="eastAsia" w:ascii="宋体" w:hAnsi="宋体" w:eastAsia="宋体" w:cs="宋体"/>
          <w:color w:val="auto"/>
          <w:highlight w:val="none"/>
        </w:rPr>
        <w:t>份（壹份正本、</w:t>
      </w:r>
      <w:r>
        <w:rPr>
          <w:rFonts w:hint="eastAsia" w:ascii="宋体" w:hAnsi="宋体" w:eastAsia="宋体" w:cs="宋体"/>
          <w:color w:val="auto"/>
          <w:highlight w:val="none"/>
          <w:lang w:val="en-US" w:eastAsia="zh-CN"/>
        </w:rPr>
        <w:t>肆</w:t>
      </w:r>
      <w:r>
        <w:rPr>
          <w:rFonts w:hint="eastAsia" w:ascii="宋体" w:hAnsi="宋体" w:eastAsia="宋体" w:cs="宋体"/>
          <w:color w:val="auto"/>
          <w:highlight w:val="none"/>
        </w:rPr>
        <w:t>份副本），电子版响应文件壹份（电子版须为响应文件盖公章（红章）正本的PDF扫描件，扫描件内容应与纸质文件完全一致。文件名建议修改为公司名+项目编号简写、U盘形式，随纸质正本文件一并提交）。当纸质正本文件和电子版文件不一致时，以纸质正本文件为准。电子版文件用于存档，投标供应商需承担前述不一致造成的不利后果。每份纸质文件须清楚标明“正本”或“副本”字样。一旦正本和副本不符，以正本为准。</w:t>
      </w:r>
    </w:p>
    <w:p w14:paraId="1FCD3CA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3.公告媒体</w:t>
      </w:r>
    </w:p>
    <w:p w14:paraId="2A4E782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eastAsia="zh-CN"/>
        </w:rPr>
        <w:t>（</w:t>
      </w:r>
      <w:r>
        <w:rPr>
          <w:rFonts w:hint="eastAsia" w:ascii="宋体" w:hAnsi="宋体" w:eastAsia="宋体" w:cs="宋体"/>
          <w:color w:val="auto"/>
          <w:highlight w:val="none"/>
        </w:rPr>
        <w:t>1）本公告在中国药科大学招投标办公室网站发布，敬请各投标人关注；</w:t>
      </w:r>
    </w:p>
    <w:p w14:paraId="4828CEC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（2）若有关本次采购存在变动或修改，敬请各投标人及时关注中国药科大学招投标办公室网发布的关于本项目的信息更正公告。</w:t>
      </w:r>
    </w:p>
    <w:p w14:paraId="5C31878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4.采购项目需要落实的政府采购政策：</w:t>
      </w:r>
    </w:p>
    <w:p w14:paraId="18141EF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（1）政府采购促进中小企业发展</w:t>
      </w:r>
    </w:p>
    <w:p w14:paraId="2C801C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（2）政府采购支持监狱企业发展</w:t>
      </w:r>
    </w:p>
    <w:p w14:paraId="57AF7CD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（3）政府采购促进残疾人就业</w:t>
      </w:r>
    </w:p>
    <w:p w14:paraId="134AB69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（4）政府采购鼓励采购节能环保产品</w:t>
      </w:r>
    </w:p>
    <w:p w14:paraId="19DB173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5.本项目投标前需缴纳</w:t>
      </w:r>
      <w:r>
        <w:rPr>
          <w:rFonts w:hint="eastAsia" w:ascii="宋体" w:hAnsi="宋体" w:eastAsia="宋体" w:cs="宋体"/>
          <w:color w:val="auto"/>
          <w:highlight w:val="none"/>
          <w:lang w:val="en-US" w:eastAsia="zh-CN"/>
        </w:rPr>
        <w:t>投标</w:t>
      </w:r>
      <w:r>
        <w:rPr>
          <w:rFonts w:hint="eastAsia" w:ascii="宋体" w:hAnsi="宋体" w:eastAsia="宋体" w:cs="宋体"/>
          <w:color w:val="auto"/>
          <w:highlight w:val="none"/>
        </w:rPr>
        <w:t>保证金，金额：人民币</w:t>
      </w:r>
      <w:r>
        <w:rPr>
          <w:rFonts w:hint="eastAsia" w:ascii="宋体" w:hAnsi="宋体" w:eastAsia="宋体" w:cs="宋体"/>
          <w:color w:val="auto"/>
          <w:highlight w:val="none"/>
          <w:lang w:val="en-US" w:eastAsia="zh-CN"/>
        </w:rPr>
        <w:t>8</w:t>
      </w:r>
      <w:r>
        <w:rPr>
          <w:rFonts w:hint="eastAsia" w:ascii="宋体" w:hAnsi="宋体" w:eastAsia="宋体" w:cs="宋体"/>
          <w:color w:val="auto"/>
          <w:highlight w:val="none"/>
        </w:rPr>
        <w:t>000元（大写：</w:t>
      </w:r>
      <w:r>
        <w:rPr>
          <w:rFonts w:hint="eastAsia" w:ascii="宋体" w:hAnsi="宋体" w:eastAsia="宋体" w:cs="宋体"/>
          <w:color w:val="auto"/>
          <w:highlight w:val="none"/>
          <w:lang w:eastAsia="zh-CN"/>
        </w:rPr>
        <w:t>捌仟</w:t>
      </w:r>
      <w:r>
        <w:rPr>
          <w:rFonts w:hint="eastAsia" w:ascii="宋体" w:hAnsi="宋体" w:eastAsia="宋体" w:cs="宋体"/>
          <w:color w:val="auto"/>
          <w:highlight w:val="none"/>
          <w:lang w:val="en-US" w:eastAsia="zh-CN"/>
        </w:rPr>
        <w:t>圆</w:t>
      </w:r>
      <w:r>
        <w:rPr>
          <w:rFonts w:hint="eastAsia" w:ascii="宋体" w:hAnsi="宋体" w:eastAsia="宋体" w:cs="宋体"/>
          <w:color w:val="auto"/>
          <w:highlight w:val="none"/>
        </w:rPr>
        <w:t>整），支付信息详见招标文件。</w:t>
      </w:r>
    </w:p>
    <w:p w14:paraId="54B2BDC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七、对本次招标提出询问，请按以下方式联系。</w:t>
      </w:r>
    </w:p>
    <w:p w14:paraId="3D94FE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1.采购人信息</w:t>
      </w:r>
    </w:p>
    <w:p w14:paraId="30DD6BF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名称：中国药科大学</w:t>
      </w:r>
    </w:p>
    <w:p w14:paraId="157A9A9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地址：南京市江宁区龙眠大道639号</w:t>
      </w:r>
    </w:p>
    <w:p w14:paraId="6B1D5BF6">
      <w:pPr>
        <w:pStyle w:val="21"/>
        <w:keepNext w:val="0"/>
        <w:keepLines w:val="0"/>
        <w:widowControl/>
        <w:suppressLineNumbers w:val="0"/>
        <w:spacing w:before="0" w:beforeAutospacing="0" w:after="0" w:afterAutospacing="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rPr>
        <w:t>联系人：李老师、赵老师</w:t>
      </w:r>
    </w:p>
    <w:p w14:paraId="5F64283D">
      <w:pPr>
        <w:pStyle w:val="21"/>
        <w:keepNext w:val="0"/>
        <w:keepLines w:val="0"/>
        <w:widowControl/>
        <w:suppressLineNumbers w:val="0"/>
        <w:spacing w:before="0" w:beforeAutospacing="0" w:after="0" w:afterAutospacing="0" w:line="360" w:lineRule="auto"/>
        <w:ind w:left="0" w:right="0" w:firstLine="420"/>
        <w:rPr>
          <w:rFonts w:hint="eastAsia" w:ascii="宋体" w:hAnsi="宋体" w:eastAsia="宋体" w:cs="宋体"/>
          <w:color w:val="auto"/>
          <w:highlight w:val="none"/>
        </w:rPr>
      </w:pPr>
      <w:r>
        <w:rPr>
          <w:rFonts w:hint="eastAsia" w:ascii="宋体" w:hAnsi="宋体" w:eastAsia="宋体" w:cs="宋体"/>
          <w:color w:val="auto"/>
          <w:sz w:val="21"/>
          <w:szCs w:val="21"/>
          <w:highlight w:val="none"/>
          <w:u w:val="none"/>
        </w:rPr>
        <w:t>联系方式：025-86185029、025-86185387</w:t>
      </w:r>
    </w:p>
    <w:p w14:paraId="0242D7D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2.采购代理机构信息</w:t>
      </w:r>
    </w:p>
    <w:p w14:paraId="66D323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名称：南京苏宁工程咨询有限公司</w:t>
      </w:r>
    </w:p>
    <w:p w14:paraId="0D7068A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地址：南京市鼓楼区中山路99号1212室</w:t>
      </w:r>
    </w:p>
    <w:p w14:paraId="432C2D0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联系方式：李</w:t>
      </w:r>
      <w:r>
        <w:rPr>
          <w:rFonts w:hint="eastAsia" w:ascii="宋体" w:hAnsi="宋体" w:eastAsia="宋体" w:cs="宋体"/>
          <w:color w:val="auto"/>
          <w:highlight w:val="none"/>
          <w:lang w:val="en-US" w:eastAsia="zh-CN"/>
        </w:rPr>
        <w:t>佳蓉</w:t>
      </w:r>
      <w:r>
        <w:rPr>
          <w:rFonts w:hint="eastAsia" w:ascii="宋体" w:hAnsi="宋体" w:eastAsia="宋体" w:cs="宋体"/>
          <w:color w:val="auto"/>
          <w:highlight w:val="none"/>
        </w:rPr>
        <w:t xml:space="preserve"> 025-</w:t>
      </w:r>
      <w:r>
        <w:rPr>
          <w:rFonts w:hint="eastAsia" w:ascii="宋体" w:hAnsi="宋体" w:eastAsia="宋体" w:cs="宋体"/>
          <w:color w:val="auto"/>
          <w:highlight w:val="none"/>
          <w:lang w:eastAsia="zh-CN"/>
        </w:rPr>
        <w:t>84200809</w:t>
      </w:r>
    </w:p>
    <w:p w14:paraId="12647EB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项目联系人：李</w:t>
      </w:r>
      <w:r>
        <w:rPr>
          <w:rFonts w:hint="eastAsia" w:ascii="宋体" w:hAnsi="宋体" w:eastAsia="宋体" w:cs="宋体"/>
          <w:color w:val="auto"/>
          <w:highlight w:val="none"/>
          <w:lang w:val="en-US" w:eastAsia="zh-CN"/>
        </w:rPr>
        <w:t>佳蓉</w:t>
      </w:r>
    </w:p>
    <w:p w14:paraId="7146BA0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电话：025-</w:t>
      </w:r>
      <w:r>
        <w:rPr>
          <w:rFonts w:hint="eastAsia" w:ascii="宋体" w:hAnsi="宋体" w:eastAsia="宋体" w:cs="宋体"/>
          <w:color w:val="auto"/>
          <w:highlight w:val="none"/>
          <w:lang w:eastAsia="zh-CN"/>
        </w:rPr>
        <w:t>84200809</w:t>
      </w:r>
    </w:p>
    <w:p w14:paraId="6727229E">
      <w:pPr>
        <w:keepNext w:val="0"/>
        <w:keepLines w:val="0"/>
        <w:pageBreakBefore w:val="0"/>
        <w:numPr>
          <w:ilvl w:val="0"/>
          <w:numId w:val="0"/>
        </w:numPr>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36"/>
          <w:szCs w:val="36"/>
          <w:highlight w:val="none"/>
          <w:lang w:val="en-US" w:eastAsia="zh-CN"/>
        </w:rPr>
      </w:pPr>
      <w:r>
        <w:rPr>
          <w:rFonts w:hint="eastAsia" w:ascii="宋体" w:hAnsi="宋体" w:eastAsia="宋体" w:cs="宋体"/>
          <w:color w:val="auto"/>
          <w:szCs w:val="21"/>
          <w:highlight w:val="none"/>
        </w:rPr>
        <w:br w:type="page"/>
      </w:r>
    </w:p>
    <w:p w14:paraId="6FB9D294">
      <w:pPr>
        <w:jc w:val="center"/>
        <w:outlineLvl w:val="0"/>
        <w:rPr>
          <w:rFonts w:hint="eastAsia" w:ascii="宋体" w:hAnsi="宋体" w:eastAsia="宋体" w:cs="宋体"/>
          <w:color w:val="auto"/>
          <w:sz w:val="36"/>
          <w:szCs w:val="36"/>
          <w:highlight w:val="none"/>
          <w:lang w:val="zh-CN"/>
        </w:rPr>
      </w:pPr>
      <w:bookmarkStart w:id="4" w:name="_Toc23769"/>
      <w:r>
        <w:rPr>
          <w:rFonts w:hint="eastAsia" w:ascii="宋体" w:hAnsi="宋体" w:eastAsia="宋体" w:cs="宋体"/>
          <w:color w:val="auto"/>
          <w:sz w:val="36"/>
          <w:szCs w:val="36"/>
          <w:highlight w:val="none"/>
          <w:lang w:val="zh-CN"/>
        </w:rPr>
        <w:t>第二章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val="zh-CN"/>
        </w:rPr>
        <w:t>供应商须知</w:t>
      </w:r>
      <w:bookmarkEnd w:id="4"/>
    </w:p>
    <w:p w14:paraId="1E9EF401">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一、总则</w:t>
      </w:r>
    </w:p>
    <w:p w14:paraId="5D24BC7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1、适用法律</w:t>
      </w:r>
    </w:p>
    <w:p w14:paraId="260A8288">
      <w:pPr>
        <w:ind w:firstLine="420"/>
        <w:rPr>
          <w:rFonts w:hint="eastAsia" w:ascii="宋体" w:hAnsi="宋体" w:eastAsia="宋体" w:cs="宋体"/>
          <w:color w:val="auto"/>
          <w:highlight w:val="none"/>
        </w:rPr>
      </w:pPr>
      <w:r>
        <w:rPr>
          <w:rFonts w:hint="eastAsia" w:ascii="宋体" w:hAnsi="宋体" w:eastAsia="宋体" w:cs="宋体"/>
          <w:color w:val="auto"/>
          <w:highlight w:val="none"/>
        </w:rPr>
        <w:t>1.1 《中华人民共和国政府采购法》、《中华人民共和国政府采购法实施条例》、《政府采购货物和服务招标投标管理办法》等有关法律、规章和规定等。</w:t>
      </w:r>
    </w:p>
    <w:p w14:paraId="5AC7AC4D">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2、定义</w:t>
      </w:r>
    </w:p>
    <w:p w14:paraId="3A63C587">
      <w:pPr>
        <w:ind w:firstLine="420"/>
        <w:rPr>
          <w:rFonts w:hint="eastAsia" w:ascii="宋体" w:hAnsi="宋体" w:eastAsia="宋体" w:cs="宋体"/>
          <w:color w:val="auto"/>
          <w:highlight w:val="none"/>
        </w:rPr>
      </w:pPr>
      <w:r>
        <w:rPr>
          <w:rFonts w:hint="eastAsia" w:ascii="宋体" w:hAnsi="宋体" w:eastAsia="宋体" w:cs="宋体"/>
          <w:color w:val="auto"/>
          <w:highlight w:val="none"/>
        </w:rPr>
        <w:t>2.1 “供应商”、“投标人”是指参加投标竞争，并符合招标文件规定资格条件的法人、其他组织或者自然人。</w:t>
      </w:r>
    </w:p>
    <w:p w14:paraId="7F329296">
      <w:pPr>
        <w:ind w:firstLine="420"/>
        <w:rPr>
          <w:rFonts w:hint="eastAsia" w:ascii="宋体" w:hAnsi="宋体" w:eastAsia="宋体" w:cs="宋体"/>
          <w:color w:val="auto"/>
          <w:highlight w:val="none"/>
        </w:rPr>
      </w:pPr>
      <w:r>
        <w:rPr>
          <w:rFonts w:hint="eastAsia" w:ascii="宋体" w:hAnsi="宋体" w:eastAsia="宋体" w:cs="宋体"/>
          <w:color w:val="auto"/>
          <w:highlight w:val="none"/>
        </w:rPr>
        <w:t>2.2 “货物和服务”指本招标文件中所述产品及相关服务。</w:t>
      </w:r>
    </w:p>
    <w:p w14:paraId="60FF54BE">
      <w:pPr>
        <w:ind w:firstLine="420"/>
        <w:rPr>
          <w:rFonts w:hint="eastAsia" w:ascii="宋体" w:hAnsi="宋体" w:eastAsia="宋体" w:cs="宋体"/>
          <w:color w:val="auto"/>
          <w:highlight w:val="none"/>
        </w:rPr>
      </w:pPr>
      <w:r>
        <w:rPr>
          <w:rFonts w:hint="eastAsia" w:ascii="宋体" w:hAnsi="宋体" w:eastAsia="宋体" w:cs="宋体"/>
          <w:color w:val="auto"/>
          <w:highlight w:val="none"/>
        </w:rPr>
        <w:t>2.3 “用户或使用单位”是指使用服务的单位。</w:t>
      </w:r>
    </w:p>
    <w:p w14:paraId="390607F6">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3、政策功能</w:t>
      </w:r>
    </w:p>
    <w:p w14:paraId="4F96E461">
      <w:pPr>
        <w:ind w:firstLine="420"/>
        <w:rPr>
          <w:rFonts w:hint="eastAsia" w:ascii="宋体" w:hAnsi="宋体" w:eastAsia="宋体" w:cs="宋体"/>
          <w:color w:val="auto"/>
          <w:highlight w:val="none"/>
          <w:lang w:val="zh-CN"/>
        </w:rPr>
      </w:pPr>
      <w:r>
        <w:rPr>
          <w:rFonts w:hint="eastAsia" w:ascii="宋体" w:hAnsi="宋体" w:eastAsia="宋体" w:cs="宋体"/>
          <w:color w:val="auto"/>
          <w:highlight w:val="none"/>
        </w:rPr>
        <w:t>3.1</w:t>
      </w:r>
      <w:r>
        <w:rPr>
          <w:rFonts w:hint="eastAsia" w:ascii="宋体" w:hAnsi="宋体" w:eastAsia="宋体" w:cs="宋体"/>
          <w:color w:val="auto"/>
          <w:highlight w:val="none"/>
          <w:lang w:val="zh-CN"/>
        </w:rPr>
        <w:t>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p>
    <w:p w14:paraId="3D62A12B">
      <w:pPr>
        <w:ind w:firstLine="420"/>
        <w:rPr>
          <w:rFonts w:hint="eastAsia" w:ascii="宋体" w:hAnsi="宋体" w:eastAsia="宋体" w:cs="宋体"/>
          <w:color w:val="auto"/>
          <w:highlight w:val="none"/>
        </w:rPr>
      </w:pPr>
      <w:r>
        <w:rPr>
          <w:rFonts w:hint="eastAsia" w:ascii="宋体" w:hAnsi="宋体" w:eastAsia="宋体" w:cs="宋体"/>
          <w:color w:val="auto"/>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E2252C8">
      <w:pPr>
        <w:ind w:firstLine="420"/>
        <w:rPr>
          <w:rFonts w:hint="eastAsia" w:ascii="宋体" w:hAnsi="宋体" w:eastAsia="宋体" w:cs="宋体"/>
          <w:color w:val="auto"/>
          <w:highlight w:val="none"/>
        </w:rPr>
      </w:pPr>
      <w:r>
        <w:rPr>
          <w:rFonts w:hint="eastAsia" w:ascii="宋体" w:hAnsi="宋体" w:eastAsia="宋体" w:cs="宋体"/>
          <w:color w:val="auto"/>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6BD0E083">
      <w:pPr>
        <w:ind w:firstLine="420"/>
        <w:rPr>
          <w:rFonts w:hint="eastAsia" w:ascii="宋体" w:hAnsi="宋体" w:eastAsia="宋体" w:cs="宋体"/>
          <w:color w:val="auto"/>
          <w:highlight w:val="none"/>
        </w:rPr>
      </w:pPr>
      <w:r>
        <w:rPr>
          <w:rFonts w:hint="eastAsia" w:ascii="宋体" w:hAnsi="宋体" w:eastAsia="宋体" w:cs="宋体"/>
          <w:color w:val="auto"/>
          <w:highlight w:val="none"/>
        </w:rPr>
        <w:t>3.4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655C985A">
      <w:pPr>
        <w:ind w:firstLine="420"/>
        <w:rPr>
          <w:rFonts w:hint="eastAsia" w:ascii="宋体" w:hAnsi="宋体" w:eastAsia="宋体" w:cs="宋体"/>
          <w:color w:val="auto"/>
          <w:highlight w:val="none"/>
        </w:rPr>
      </w:pPr>
      <w:r>
        <w:rPr>
          <w:rFonts w:hint="eastAsia" w:ascii="宋体" w:hAnsi="宋体" w:eastAsia="宋体" w:cs="宋体"/>
          <w:color w:val="auto"/>
          <w:highlight w:val="none"/>
        </w:rPr>
        <w:t>3.5提供的产品属于信息安全产品的，供应商应当选择经国家认证的信息安全产品投标，并提供由中国信息安全认证中心按国家标准认证颁发的有效认证证书复印件。</w:t>
      </w:r>
    </w:p>
    <w:p w14:paraId="46946730">
      <w:pPr>
        <w:ind w:firstLine="420"/>
        <w:rPr>
          <w:rFonts w:hint="eastAsia" w:ascii="宋体" w:hAnsi="宋体" w:eastAsia="宋体" w:cs="宋体"/>
          <w:color w:val="auto"/>
          <w:highlight w:val="none"/>
        </w:rPr>
      </w:pPr>
      <w:r>
        <w:rPr>
          <w:rFonts w:hint="eastAsia" w:ascii="宋体" w:hAnsi="宋体" w:eastAsia="宋体" w:cs="宋体"/>
          <w:color w:val="auto"/>
          <w:highlight w:val="none"/>
        </w:rPr>
        <w:t>3.6提供的产品属于政府强制采购节能产品的，供应商应当选择经过认证的节能产品投标，并提供有效的节能产品认证证书复印件。</w:t>
      </w:r>
    </w:p>
    <w:p w14:paraId="446CEA8F">
      <w:pPr>
        <w:ind w:firstLine="420"/>
        <w:rPr>
          <w:rFonts w:hint="eastAsia" w:ascii="宋体" w:hAnsi="宋体" w:eastAsia="宋体" w:cs="宋体"/>
          <w:color w:val="auto"/>
          <w:highlight w:val="none"/>
          <w:lang w:eastAsia="zh-CN"/>
        </w:rPr>
      </w:pPr>
      <w:r>
        <w:rPr>
          <w:rFonts w:hint="eastAsia" w:ascii="宋体" w:hAnsi="宋体" w:eastAsia="宋体" w:cs="宋体"/>
          <w:color w:val="auto"/>
          <w:highlight w:val="none"/>
        </w:rPr>
        <w:t>3.7提供的产品属于环境标志产品的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供应商应当选择经过认证的环境标志产品投标</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并提供有效的环境标志产品认证证书复印件。</w:t>
      </w:r>
    </w:p>
    <w:p w14:paraId="44DA1623">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二、招标文件</w:t>
      </w:r>
    </w:p>
    <w:p w14:paraId="5E941411">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4、招标文件组成</w:t>
      </w:r>
    </w:p>
    <w:p w14:paraId="75DAD7FD">
      <w:pPr>
        <w:ind w:firstLine="420"/>
        <w:rPr>
          <w:rFonts w:hint="eastAsia" w:ascii="宋体" w:hAnsi="宋体" w:eastAsia="宋体" w:cs="宋体"/>
          <w:color w:val="auto"/>
          <w:highlight w:val="none"/>
        </w:rPr>
      </w:pPr>
      <w:r>
        <w:rPr>
          <w:rFonts w:hint="eastAsia" w:ascii="宋体" w:hAnsi="宋体" w:eastAsia="宋体" w:cs="宋体"/>
          <w:color w:val="auto"/>
          <w:highlight w:val="none"/>
        </w:rPr>
        <w:t>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p>
    <w:p w14:paraId="053C9E25">
      <w:pPr>
        <w:ind w:firstLine="420"/>
        <w:rPr>
          <w:rFonts w:hint="eastAsia" w:ascii="宋体" w:hAnsi="宋体" w:eastAsia="宋体" w:cs="宋体"/>
          <w:color w:val="auto"/>
          <w:highlight w:val="none"/>
        </w:rPr>
      </w:pPr>
      <w:r>
        <w:rPr>
          <w:rFonts w:hint="eastAsia" w:ascii="宋体" w:hAnsi="宋体" w:eastAsia="宋体" w:cs="宋体"/>
          <w:color w:val="auto"/>
          <w:highlight w:val="none"/>
        </w:rPr>
        <w:t>4.2 招标的最小单位是包。招标服务数量及技术要求中未分包的，供应商对要求提供的服务不得部分投标；招标服务数量及技术要求中已经分包的，应当以包为单位投标。</w:t>
      </w:r>
    </w:p>
    <w:p w14:paraId="7EDC7318">
      <w:pPr>
        <w:ind w:firstLine="420"/>
        <w:rPr>
          <w:rFonts w:hint="eastAsia" w:ascii="宋体" w:hAnsi="宋体" w:eastAsia="宋体" w:cs="宋体"/>
          <w:color w:val="auto"/>
          <w:highlight w:val="none"/>
        </w:rPr>
      </w:pPr>
      <w:r>
        <w:rPr>
          <w:rFonts w:hint="eastAsia" w:ascii="宋体" w:hAnsi="宋体" w:eastAsia="宋体" w:cs="宋体"/>
          <w:color w:val="auto"/>
          <w:highlight w:val="none"/>
        </w:rPr>
        <w:t>4.3 招标文件如果要求供应商提交备选投标方案的，供应商可以提交备选方案；否则，备选方案将被拒绝。</w:t>
      </w:r>
    </w:p>
    <w:p w14:paraId="7F6FE0E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5、招标文件的澄清、修改</w:t>
      </w:r>
    </w:p>
    <w:p w14:paraId="6749519E">
      <w:pPr>
        <w:ind w:firstLine="420"/>
        <w:rPr>
          <w:rFonts w:hint="eastAsia" w:ascii="宋体" w:hAnsi="宋体" w:eastAsia="宋体" w:cs="宋体"/>
          <w:color w:val="auto"/>
          <w:highlight w:val="none"/>
        </w:rPr>
      </w:pPr>
      <w:r>
        <w:rPr>
          <w:rFonts w:hint="eastAsia" w:ascii="宋体" w:hAnsi="宋体" w:eastAsia="宋体" w:cs="宋体"/>
          <w:color w:val="auto"/>
          <w:highlight w:val="none"/>
        </w:rPr>
        <w:t>5.1招标代理对已发出的招标文件进行必要澄清或者修改的，将在招标文件要求提交投标文件截止时间</w:t>
      </w:r>
      <w:r>
        <w:rPr>
          <w:rFonts w:hint="eastAsia" w:ascii="宋体" w:hAnsi="宋体" w:eastAsia="宋体" w:cs="宋体"/>
          <w:b/>
          <w:color w:val="auto"/>
          <w:highlight w:val="none"/>
          <w:u w:val="single"/>
        </w:rPr>
        <w:t>十五日</w:t>
      </w:r>
      <w:r>
        <w:rPr>
          <w:rFonts w:hint="eastAsia" w:ascii="宋体" w:hAnsi="宋体" w:eastAsia="宋体" w:cs="宋体"/>
          <w:color w:val="auto"/>
          <w:highlight w:val="none"/>
        </w:rPr>
        <w:t>前，在原招标公告媒体发布更正公告，该澄清或者修改的内容为招标文件的组成部分。</w:t>
      </w:r>
    </w:p>
    <w:p w14:paraId="5FD40BDB">
      <w:pPr>
        <w:ind w:firstLine="420"/>
        <w:rPr>
          <w:rFonts w:hint="eastAsia" w:ascii="宋体" w:hAnsi="宋体" w:eastAsia="宋体" w:cs="宋体"/>
          <w:color w:val="auto"/>
          <w:highlight w:val="none"/>
        </w:rPr>
      </w:pPr>
      <w:r>
        <w:rPr>
          <w:rFonts w:hint="eastAsia" w:ascii="宋体" w:hAnsi="宋体" w:eastAsia="宋体" w:cs="宋体"/>
          <w:color w:val="auto"/>
          <w:highlight w:val="none"/>
        </w:rPr>
        <w:t>5.2 招标代理在招标文件要求提交投标文件截止时间前，有权决定延长投标截止时间和开标时间，并在原采购信息发布媒体上发布变更公告。</w:t>
      </w:r>
    </w:p>
    <w:p w14:paraId="24B97C6E">
      <w:pPr>
        <w:ind w:firstLine="420"/>
        <w:rPr>
          <w:rFonts w:hint="eastAsia" w:ascii="宋体" w:hAnsi="宋体" w:eastAsia="宋体" w:cs="宋体"/>
          <w:color w:val="auto"/>
          <w:highlight w:val="none"/>
        </w:rPr>
      </w:pPr>
      <w:r>
        <w:rPr>
          <w:rFonts w:hint="eastAsia" w:ascii="宋体" w:hAnsi="宋体" w:eastAsia="宋体" w:cs="宋体"/>
          <w:color w:val="auto"/>
          <w:highlight w:val="none"/>
        </w:rPr>
        <w:t>5.3 供应商应在投标截止时间前关注原采购信息发布媒体上有关本招标项目有无变更公告。</w:t>
      </w:r>
    </w:p>
    <w:p w14:paraId="1D5C8D89">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三、投标</w:t>
      </w:r>
    </w:p>
    <w:p w14:paraId="4578E94E">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6、投标文件的语言、计量单位、货币和编制</w:t>
      </w:r>
    </w:p>
    <w:p w14:paraId="4FDDF572">
      <w:pPr>
        <w:ind w:firstLine="420"/>
        <w:rPr>
          <w:rFonts w:hint="eastAsia" w:ascii="宋体" w:hAnsi="宋体" w:eastAsia="宋体" w:cs="宋体"/>
          <w:color w:val="auto"/>
          <w:highlight w:val="none"/>
        </w:rPr>
      </w:pPr>
      <w:r>
        <w:rPr>
          <w:rFonts w:hint="eastAsia" w:ascii="宋体" w:hAnsi="宋体" w:eastAsia="宋体" w:cs="宋体"/>
          <w:color w:val="auto"/>
          <w:highlight w:val="none"/>
        </w:rPr>
        <w:t>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p>
    <w:p w14:paraId="2EBC4287">
      <w:pPr>
        <w:ind w:firstLine="420"/>
        <w:rPr>
          <w:rFonts w:hint="eastAsia" w:ascii="宋体" w:hAnsi="宋体" w:eastAsia="宋体" w:cs="宋体"/>
          <w:color w:val="auto"/>
          <w:highlight w:val="none"/>
        </w:rPr>
      </w:pPr>
      <w:r>
        <w:rPr>
          <w:rFonts w:hint="eastAsia" w:ascii="宋体" w:hAnsi="宋体" w:eastAsia="宋体" w:cs="宋体"/>
          <w:color w:val="auto"/>
          <w:highlight w:val="none"/>
        </w:rPr>
        <w:t>6.2 供应商所使用的计量单位应为国家法定计量单位。</w:t>
      </w:r>
    </w:p>
    <w:p w14:paraId="074BC667">
      <w:pPr>
        <w:ind w:firstLine="420"/>
        <w:rPr>
          <w:rFonts w:hint="eastAsia" w:ascii="宋体" w:hAnsi="宋体" w:eastAsia="宋体" w:cs="宋体"/>
          <w:color w:val="auto"/>
          <w:highlight w:val="none"/>
        </w:rPr>
      </w:pPr>
      <w:r>
        <w:rPr>
          <w:rFonts w:hint="eastAsia" w:ascii="宋体" w:hAnsi="宋体" w:eastAsia="宋体" w:cs="宋体"/>
          <w:color w:val="auto"/>
          <w:highlight w:val="none"/>
        </w:rPr>
        <w:t>6.3 供应商应用人民币报价。</w:t>
      </w:r>
    </w:p>
    <w:p w14:paraId="2A3A8525">
      <w:pPr>
        <w:ind w:firstLine="420"/>
        <w:rPr>
          <w:rFonts w:hint="eastAsia" w:ascii="宋体" w:hAnsi="宋体" w:eastAsia="宋体" w:cs="宋体"/>
          <w:color w:val="auto"/>
          <w:highlight w:val="none"/>
        </w:rPr>
      </w:pPr>
      <w:r>
        <w:rPr>
          <w:rFonts w:hint="eastAsia" w:ascii="宋体" w:hAnsi="宋体" w:eastAsia="宋体" w:cs="宋体"/>
          <w:color w:val="auto"/>
          <w:highlight w:val="none"/>
        </w:rPr>
        <w:t>6.4 投标文件应字迹清楚、内容齐全、不得涂改。如有修改，修改处须有供应商公章和法定代表人或其授权的供应商代表签字。</w:t>
      </w:r>
    </w:p>
    <w:p w14:paraId="4FD22AC6">
      <w:pPr>
        <w:ind w:firstLine="420"/>
        <w:rPr>
          <w:rFonts w:hint="eastAsia" w:ascii="宋体" w:hAnsi="宋体" w:eastAsia="宋体" w:cs="宋体"/>
          <w:color w:val="auto"/>
          <w:highlight w:val="none"/>
        </w:rPr>
      </w:pPr>
      <w:r>
        <w:rPr>
          <w:rFonts w:hint="eastAsia" w:ascii="宋体" w:hAnsi="宋体" w:eastAsia="宋体" w:cs="宋体"/>
          <w:color w:val="auto"/>
          <w:highlight w:val="none"/>
        </w:rPr>
        <w:t>6.5 投标文件应按照招标文件规定，统一用A4规格幅面打印、装订成册并编制目录，由于编排混乱导致投标文件被误读或查找不到，责任由供应商承担。</w:t>
      </w:r>
    </w:p>
    <w:p w14:paraId="0FD1C8E4">
      <w:pPr>
        <w:ind w:firstLine="420"/>
        <w:rPr>
          <w:rFonts w:hint="eastAsia" w:ascii="宋体" w:hAnsi="宋体" w:eastAsia="宋体" w:cs="宋体"/>
          <w:color w:val="auto"/>
          <w:highlight w:val="none"/>
        </w:rPr>
      </w:pPr>
      <w:r>
        <w:rPr>
          <w:rFonts w:hint="eastAsia" w:ascii="宋体" w:hAnsi="宋体" w:eastAsia="宋体" w:cs="宋体"/>
          <w:color w:val="auto"/>
          <w:highlight w:val="none"/>
        </w:rPr>
        <w:t>6.6 投标文件应逐页编码，不得跳页（包括但不限于证明材料、声明及产品介绍、彩页等）。</w:t>
      </w:r>
    </w:p>
    <w:p w14:paraId="0D569C41">
      <w:pPr>
        <w:ind w:firstLine="420"/>
        <w:rPr>
          <w:rFonts w:hint="eastAsia" w:ascii="宋体" w:hAnsi="宋体" w:eastAsia="宋体" w:cs="宋体"/>
          <w:color w:val="auto"/>
          <w:highlight w:val="none"/>
        </w:rPr>
      </w:pPr>
      <w:r>
        <w:rPr>
          <w:rFonts w:hint="eastAsia" w:ascii="宋体" w:hAnsi="宋体" w:eastAsia="宋体" w:cs="宋体"/>
          <w:color w:val="auto"/>
          <w:highlight w:val="none"/>
        </w:rPr>
        <w:t>6.7 供应商应在投标文件中写清相应的项目编号、项目名称、供应商全称、地址、电话、传真等。</w:t>
      </w:r>
    </w:p>
    <w:p w14:paraId="4F33155B">
      <w:pPr>
        <w:ind w:firstLine="420"/>
        <w:rPr>
          <w:rFonts w:hint="eastAsia" w:ascii="宋体" w:hAnsi="宋体" w:eastAsia="宋体" w:cs="宋体"/>
          <w:b/>
          <w:color w:val="auto"/>
          <w:highlight w:val="none"/>
          <w:lang w:eastAsia="zh-CN"/>
        </w:rPr>
      </w:pPr>
      <w:r>
        <w:rPr>
          <w:rFonts w:hint="eastAsia" w:ascii="宋体" w:hAnsi="宋体" w:eastAsia="宋体" w:cs="宋体"/>
          <w:color w:val="auto"/>
          <w:highlight w:val="none"/>
        </w:rPr>
        <w:t>7</w:t>
      </w:r>
      <w:r>
        <w:rPr>
          <w:rFonts w:hint="eastAsia" w:ascii="宋体" w:hAnsi="宋体" w:eastAsia="宋体" w:cs="宋体"/>
          <w:b/>
          <w:color w:val="auto"/>
          <w:highlight w:val="none"/>
        </w:rPr>
        <w:t>、联合投标</w:t>
      </w:r>
      <w:r>
        <w:rPr>
          <w:rFonts w:hint="eastAsia" w:ascii="宋体" w:hAnsi="宋体" w:eastAsia="宋体" w:cs="宋体"/>
          <w:b/>
          <w:color w:val="auto"/>
          <w:highlight w:val="none"/>
          <w:lang w:eastAsia="zh-CN"/>
        </w:rPr>
        <w:t>（</w:t>
      </w:r>
      <w:r>
        <w:rPr>
          <w:rFonts w:hint="eastAsia" w:ascii="宋体" w:hAnsi="宋体" w:eastAsia="宋体" w:cs="宋体"/>
          <w:b/>
          <w:color w:val="auto"/>
          <w:highlight w:val="none"/>
          <w:lang w:val="en-US" w:eastAsia="zh-CN"/>
        </w:rPr>
        <w:t>本项目不接受</w:t>
      </w:r>
      <w:r>
        <w:rPr>
          <w:rFonts w:hint="eastAsia" w:ascii="宋体" w:hAnsi="宋体" w:eastAsia="宋体" w:cs="宋体"/>
          <w:b/>
          <w:color w:val="auto"/>
          <w:highlight w:val="none"/>
          <w:lang w:eastAsia="zh-CN"/>
        </w:rPr>
        <w:t>）</w:t>
      </w:r>
    </w:p>
    <w:p w14:paraId="7899ED4D">
      <w:pPr>
        <w:ind w:firstLine="420" w:firstLineChars="200"/>
        <w:rPr>
          <w:rFonts w:hint="eastAsia" w:ascii="宋体" w:hAnsi="宋体" w:eastAsia="宋体" w:cs="宋体"/>
          <w:color w:val="auto"/>
          <w:szCs w:val="21"/>
          <w:highlight w:val="none"/>
        </w:rPr>
      </w:pPr>
      <w:r>
        <w:rPr>
          <w:rFonts w:hint="eastAsia" w:ascii="宋体" w:hAnsi="宋体" w:eastAsia="宋体" w:cs="宋体"/>
          <w:bCs/>
          <w:color w:val="auto"/>
          <w:kern w:val="0"/>
          <w:szCs w:val="21"/>
          <w:highlight w:val="none"/>
        </w:rPr>
        <w:t>7.1</w:t>
      </w:r>
      <w:r>
        <w:rPr>
          <w:rFonts w:hint="eastAsia" w:ascii="宋体" w:hAnsi="宋体" w:eastAsia="宋体" w:cs="宋体"/>
          <w:color w:val="auto"/>
          <w:szCs w:val="21"/>
          <w:highlight w:val="none"/>
        </w:rPr>
        <w:t>两个以上的自然人、法人或者其他组织可以组成一个联合体，以一个供应商的身份共同参加政府采购。</w:t>
      </w:r>
    </w:p>
    <w:p w14:paraId="5D68C5B9">
      <w:pPr>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7.2</w:t>
      </w:r>
      <w:r>
        <w:rPr>
          <w:rFonts w:hint="eastAsia" w:ascii="宋体" w:hAnsi="宋体" w:eastAsia="宋体" w:cs="宋体"/>
          <w:color w:val="auto"/>
          <w:kern w:val="0"/>
          <w:szCs w:val="21"/>
          <w:highlight w:val="none"/>
        </w:rPr>
        <w:t>鼓励大中型企业和其他自然人、法人或者其他组织与小型、微型企业组成联合体共同参加非专门面向中小企业的政府采购活动。</w:t>
      </w:r>
    </w:p>
    <w:p w14:paraId="3646A2DB">
      <w:pPr>
        <w:ind w:firstLine="420" w:firstLineChars="200"/>
        <w:rPr>
          <w:rFonts w:hint="eastAsia" w:ascii="宋体" w:hAnsi="宋体" w:eastAsia="宋体" w:cs="宋体"/>
          <w:color w:val="auto"/>
          <w:highlight w:val="none"/>
        </w:rPr>
      </w:pPr>
      <w:r>
        <w:rPr>
          <w:rFonts w:hint="eastAsia" w:ascii="宋体" w:hAnsi="宋体" w:eastAsia="宋体" w:cs="宋体"/>
          <w:color w:val="auto"/>
          <w:szCs w:val="21"/>
          <w:highlight w:val="none"/>
        </w:rPr>
        <w:t>7.3以联合体形式参加采购的，</w:t>
      </w:r>
      <w:r>
        <w:rPr>
          <w:rFonts w:hint="eastAsia" w:ascii="宋体" w:hAnsi="宋体" w:eastAsia="宋体" w:cs="宋体"/>
          <w:b/>
          <w:color w:val="auto"/>
          <w:szCs w:val="21"/>
          <w:highlight w:val="none"/>
        </w:rPr>
        <w:t>联合体各方均应当符合政府采购法第二十二条第一款规定的</w:t>
      </w:r>
      <w:r>
        <w:rPr>
          <w:rFonts w:hint="eastAsia" w:ascii="宋体" w:hAnsi="宋体" w:eastAsia="宋体" w:cs="宋体"/>
          <w:b/>
          <w:color w:val="auto"/>
          <w:highlight w:val="none"/>
        </w:rPr>
        <w:t>条件；采购人根据采购项目的特殊要求规定供应商特定条件的，联合体各方中至少应当有一方符合采购人规定的特定条件</w:t>
      </w:r>
      <w:r>
        <w:rPr>
          <w:rFonts w:hint="eastAsia" w:ascii="宋体" w:hAnsi="宋体" w:eastAsia="宋体" w:cs="宋体"/>
          <w:color w:val="auto"/>
          <w:highlight w:val="none"/>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3EAB811B">
      <w:pPr>
        <w:autoSpaceDE w:val="0"/>
        <w:autoSpaceDN w:val="0"/>
        <w:adjustRightInd w:val="0"/>
        <w:snapToGrid w:val="0"/>
        <w:spacing w:line="259"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7.4 联合体各方之间应当签订联合体协议，明确约定联合体各方承担的工作和相应的责任，并将联合体协议连同响应文件一并提交。</w:t>
      </w:r>
    </w:p>
    <w:p w14:paraId="23BBBE37">
      <w:pPr>
        <w:autoSpaceDE w:val="0"/>
        <w:autoSpaceDN w:val="0"/>
        <w:adjustRightInd w:val="0"/>
        <w:snapToGrid w:val="0"/>
        <w:spacing w:line="259" w:lineRule="auto"/>
        <w:ind w:firstLine="420"/>
        <w:rPr>
          <w:rFonts w:hint="eastAsia" w:ascii="宋体" w:hAnsi="宋体" w:eastAsia="宋体" w:cs="宋体"/>
          <w:b/>
          <w:bCs/>
          <w:color w:val="auto"/>
          <w:szCs w:val="21"/>
          <w:highlight w:val="none"/>
          <w:lang w:val="zh-CN"/>
        </w:rPr>
      </w:pPr>
      <w:r>
        <w:rPr>
          <w:rFonts w:hint="eastAsia" w:ascii="宋体" w:hAnsi="宋体" w:eastAsia="宋体" w:cs="宋体"/>
          <w:color w:val="auto"/>
          <w:highlight w:val="none"/>
        </w:rPr>
        <w:t>7.5 以联合体形式参加政府采购活动的，联合体各方不得再单独参加或者与其他供应商另外组成联合体参加同一合同项下的政府采购活动。</w:t>
      </w:r>
    </w:p>
    <w:p w14:paraId="631CD46E">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8、投标费用</w:t>
      </w:r>
    </w:p>
    <w:p w14:paraId="751FA1A5">
      <w:pPr>
        <w:ind w:firstLine="411" w:firstLineChars="19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8.1本项目的成交供应商须在领取成交通知书时向采购代理机构一次性缴纳采购代理服务费。</w:t>
      </w:r>
    </w:p>
    <w:p w14:paraId="22EB7ACF">
      <w:pPr>
        <w:ind w:firstLine="411" w:firstLineChars="196"/>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8.2</w:t>
      </w:r>
      <w:r>
        <w:rPr>
          <w:rFonts w:hint="eastAsia" w:ascii="宋体" w:hAnsi="宋体" w:eastAsia="宋体" w:cs="宋体"/>
          <w:color w:val="auto"/>
          <w:highlight w:val="none"/>
        </w:rPr>
        <w:t>本次招标，中标人按《招标代理服务费管理暂行办法》（国家发展计划委员会计价格【2002】1980 号）代理服务招标收费标准的</w:t>
      </w:r>
      <w:r>
        <w:rPr>
          <w:rFonts w:hint="eastAsia" w:ascii="宋体" w:hAnsi="宋体" w:eastAsia="宋体" w:cs="宋体"/>
          <w:color w:val="auto"/>
          <w:highlight w:val="none"/>
          <w:lang w:val="en-US" w:eastAsia="zh-CN"/>
        </w:rPr>
        <w:t>44</w:t>
      </w:r>
      <w:r>
        <w:rPr>
          <w:rFonts w:hint="eastAsia" w:ascii="宋体" w:hAnsi="宋体" w:eastAsia="宋体" w:cs="宋体"/>
          <w:color w:val="auto"/>
          <w:highlight w:val="none"/>
        </w:rPr>
        <w:t>%计算，</w:t>
      </w:r>
      <w:r>
        <w:rPr>
          <w:rFonts w:hint="eastAsia" w:ascii="宋体" w:hAnsi="宋体" w:eastAsia="宋体" w:cs="宋体"/>
          <w:color w:val="auto"/>
          <w:highlight w:val="none"/>
          <w:lang w:val="en-US" w:eastAsia="zh-CN"/>
        </w:rPr>
        <w:t>不足3000元，按3000元计取，</w:t>
      </w:r>
      <w:r>
        <w:rPr>
          <w:rFonts w:hint="eastAsia" w:ascii="宋体" w:hAnsi="宋体" w:eastAsia="宋体" w:cs="宋体"/>
          <w:color w:val="auto"/>
          <w:highlight w:val="none"/>
        </w:rPr>
        <w:t>向招标代理机构支付招标服务费。该项费用请投标人综合考虑在投标报价中，后期采购人不单独列支，必须在领取中标通知书前向招标代理机构支付招标服务费。</w:t>
      </w:r>
      <w:r>
        <w:rPr>
          <w:rFonts w:hint="eastAsia" w:ascii="宋体" w:hAnsi="宋体" w:eastAsia="宋体" w:cs="宋体"/>
          <w:i w:val="0"/>
          <w:iCs w:val="0"/>
          <w:color w:val="auto"/>
          <w:highlight w:val="none"/>
        </w:rPr>
        <w:t>请供应商予以关注并核算到总报价中，无需在投标报价表中单列。</w:t>
      </w:r>
    </w:p>
    <w:p w14:paraId="2AE1E829">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9、投标文件组成</w:t>
      </w:r>
    </w:p>
    <w:p w14:paraId="19741EA9">
      <w:pPr>
        <w:ind w:firstLine="420"/>
        <w:rPr>
          <w:rFonts w:hint="eastAsia" w:ascii="宋体" w:hAnsi="宋体" w:eastAsia="宋体" w:cs="宋体"/>
          <w:color w:val="auto"/>
          <w:highlight w:val="none"/>
        </w:rPr>
      </w:pPr>
      <w:r>
        <w:rPr>
          <w:rFonts w:hint="eastAsia" w:ascii="宋体" w:hAnsi="宋体" w:eastAsia="宋体" w:cs="宋体"/>
          <w:color w:val="auto"/>
          <w:highlight w:val="none"/>
        </w:rPr>
        <w:t>9.1供应商应当根据招标文件要求编制投标文件，投标文件应对招标文件提出的要求和条件作出实质性响应，并在《商务条款偏离表》和《技术条款偏离表》等处逐条标明满足与否。</w:t>
      </w:r>
    </w:p>
    <w:p w14:paraId="6EDCBAC0">
      <w:pPr>
        <w:ind w:firstLine="412"/>
        <w:rPr>
          <w:rFonts w:hint="eastAsia" w:ascii="宋体" w:hAnsi="宋体" w:eastAsia="宋体" w:cs="宋体"/>
          <w:b/>
          <w:color w:val="auto"/>
          <w:highlight w:val="none"/>
        </w:rPr>
      </w:pPr>
      <w:r>
        <w:rPr>
          <w:rFonts w:hint="eastAsia" w:ascii="宋体" w:hAnsi="宋体" w:eastAsia="宋体" w:cs="宋体"/>
          <w:color w:val="auto"/>
          <w:highlight w:val="none"/>
        </w:rPr>
        <w:t>9.2 供应商根据招标文件载明的标的采购项目实际情况，拟在中标后将中标项目的非主体、非关键性工作交由他人完成的，应当在投标文件中载明。</w:t>
      </w:r>
    </w:p>
    <w:p w14:paraId="1B37B949">
      <w:pPr>
        <w:ind w:firstLine="420"/>
        <w:rPr>
          <w:rFonts w:hint="eastAsia" w:ascii="宋体" w:hAnsi="宋体" w:eastAsia="宋体" w:cs="宋体"/>
          <w:color w:val="auto"/>
          <w:highlight w:val="none"/>
        </w:rPr>
      </w:pPr>
      <w:r>
        <w:rPr>
          <w:rFonts w:hint="eastAsia" w:ascii="宋体" w:hAnsi="宋体" w:eastAsia="宋体" w:cs="宋体"/>
          <w:color w:val="auto"/>
          <w:highlight w:val="none"/>
        </w:rPr>
        <w:t>9.3 投标文件由商务部分、技术部分、价格部分，以及其他部分组成。</w:t>
      </w:r>
    </w:p>
    <w:p w14:paraId="46999867">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10、投标文件的商务部分</w:t>
      </w:r>
    </w:p>
    <w:p w14:paraId="32FBBA2F">
      <w:pPr>
        <w:ind w:firstLine="420"/>
        <w:rPr>
          <w:rFonts w:hint="eastAsia" w:ascii="宋体" w:hAnsi="宋体" w:eastAsia="宋体" w:cs="宋体"/>
          <w:color w:val="auto"/>
          <w:highlight w:val="none"/>
        </w:rPr>
      </w:pPr>
      <w:r>
        <w:rPr>
          <w:rFonts w:hint="eastAsia" w:ascii="宋体" w:hAnsi="宋体" w:eastAsia="宋体" w:cs="宋体"/>
          <w:color w:val="auto"/>
          <w:highlight w:val="none"/>
        </w:rPr>
        <w:t>10.1 商务部分是证明供应商有资格参加投标和中标后有能力履行合同的文件，这些文件应能满足招标的要求，包括但不限于下列文件，其中加</w:t>
      </w:r>
      <w:r>
        <w:rPr>
          <w:rFonts w:hint="eastAsia" w:ascii="宋体" w:hAnsi="宋体" w:eastAsia="宋体" w:cs="宋体"/>
          <w:b/>
          <w:color w:val="auto"/>
          <w:highlight w:val="none"/>
        </w:rPr>
        <w:t>“★”</w:t>
      </w:r>
      <w:r>
        <w:rPr>
          <w:rFonts w:hint="eastAsia" w:ascii="宋体" w:hAnsi="宋体" w:eastAsia="宋体" w:cs="宋体"/>
          <w:color w:val="auto"/>
          <w:highlight w:val="none"/>
        </w:rPr>
        <w:t>项目不得有缺失或无效。</w:t>
      </w:r>
    </w:p>
    <w:p w14:paraId="0DA78C68">
      <w:pPr>
        <w:autoSpaceDE w:val="0"/>
        <w:autoSpaceDN w:val="0"/>
        <w:adjustRightInd w:val="0"/>
        <w:snapToGrid w:val="0"/>
        <w:spacing w:line="259" w:lineRule="auto"/>
        <w:ind w:firstLine="422" w:firstLineChars="200"/>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（1）★投标申请及声明；</w:t>
      </w:r>
    </w:p>
    <w:p w14:paraId="34E53389">
      <w:pPr>
        <w:widowControl/>
        <w:adjustRightInd w:val="0"/>
        <w:snapToGrid w:val="0"/>
        <w:spacing w:line="259" w:lineRule="auto"/>
        <w:ind w:firstLine="420"/>
        <w:jc w:val="left"/>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（2）</w:t>
      </w:r>
      <w:r>
        <w:rPr>
          <w:rFonts w:hint="eastAsia" w:ascii="宋体" w:hAnsi="宋体" w:eastAsia="宋体" w:cs="宋体"/>
          <w:b/>
          <w:color w:val="auto"/>
          <w:szCs w:val="21"/>
          <w:highlight w:val="none"/>
        </w:rPr>
        <w:t>★</w:t>
      </w:r>
      <w:r>
        <w:rPr>
          <w:rFonts w:hint="eastAsia" w:ascii="宋体" w:hAnsi="宋体" w:eastAsia="宋体" w:cs="宋体"/>
          <w:b/>
          <w:color w:val="auto"/>
          <w:kern w:val="0"/>
          <w:szCs w:val="21"/>
          <w:highlight w:val="none"/>
          <w:lang w:val="zh-CN"/>
        </w:rPr>
        <w:t>法定代表人授权委托书及委托代理人的身份证复印件；</w:t>
      </w:r>
    </w:p>
    <w:p w14:paraId="63087A14">
      <w:pPr>
        <w:autoSpaceDE w:val="0"/>
        <w:autoSpaceDN w:val="0"/>
        <w:adjustRightInd w:val="0"/>
        <w:snapToGrid w:val="0"/>
        <w:spacing w:line="259" w:lineRule="auto"/>
        <w:ind w:firstLine="422" w:firstLineChars="2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w:t>
      </w:r>
      <w:r>
        <w:rPr>
          <w:rFonts w:hint="eastAsia" w:ascii="宋体" w:hAnsi="宋体" w:eastAsia="宋体" w:cs="宋体"/>
          <w:b/>
          <w:color w:val="auto"/>
          <w:kern w:val="0"/>
          <w:szCs w:val="21"/>
          <w:highlight w:val="none"/>
        </w:rPr>
        <w:t>3</w:t>
      </w:r>
      <w:r>
        <w:rPr>
          <w:rFonts w:hint="eastAsia" w:ascii="宋体" w:hAnsi="宋体" w:eastAsia="宋体" w:cs="宋体"/>
          <w:b/>
          <w:color w:val="auto"/>
          <w:kern w:val="0"/>
          <w:szCs w:val="21"/>
          <w:highlight w:val="none"/>
          <w:lang w:val="zh-CN"/>
        </w:rPr>
        <w:t>）</w:t>
      </w:r>
      <w:r>
        <w:rPr>
          <w:rFonts w:hint="eastAsia" w:ascii="宋体" w:hAnsi="宋体" w:eastAsia="宋体" w:cs="宋体"/>
          <w:b/>
          <w:color w:val="auto"/>
          <w:szCs w:val="21"/>
          <w:highlight w:val="none"/>
        </w:rPr>
        <w:t>★</w:t>
      </w:r>
      <w:r>
        <w:rPr>
          <w:rFonts w:hint="eastAsia" w:ascii="宋体" w:hAnsi="宋体" w:eastAsia="宋体" w:cs="宋体"/>
          <w:b/>
          <w:color w:val="auto"/>
          <w:kern w:val="0"/>
          <w:szCs w:val="21"/>
          <w:highlight w:val="none"/>
        </w:rPr>
        <w:t>第一章招标</w:t>
      </w:r>
      <w:r>
        <w:rPr>
          <w:rFonts w:hint="eastAsia" w:ascii="宋体" w:hAnsi="宋体" w:eastAsia="宋体" w:cs="宋体"/>
          <w:b/>
          <w:color w:val="auto"/>
          <w:kern w:val="0"/>
          <w:szCs w:val="21"/>
          <w:highlight w:val="none"/>
          <w:lang w:val="en-US" w:eastAsia="zh-CN"/>
        </w:rPr>
        <w:t>公告</w:t>
      </w:r>
      <w:r>
        <w:rPr>
          <w:rFonts w:hint="eastAsia" w:ascii="宋体" w:hAnsi="宋体" w:eastAsia="宋体" w:cs="宋体"/>
          <w:b/>
          <w:color w:val="auto"/>
          <w:kern w:val="0"/>
          <w:szCs w:val="21"/>
          <w:highlight w:val="none"/>
        </w:rPr>
        <w:t>中</w:t>
      </w:r>
      <w:r>
        <w:rPr>
          <w:rFonts w:hint="eastAsia" w:ascii="宋体" w:hAnsi="宋体" w:eastAsia="宋体" w:cs="宋体"/>
          <w:b/>
          <w:color w:val="auto"/>
          <w:szCs w:val="21"/>
          <w:highlight w:val="none"/>
          <w:lang w:val="zh-CN"/>
        </w:rPr>
        <w:t>《中华人民共和国政府采购法》规定的资格条件证明文件</w:t>
      </w:r>
      <w:r>
        <w:rPr>
          <w:rFonts w:hint="eastAsia" w:ascii="宋体" w:hAnsi="宋体" w:eastAsia="宋体" w:cs="宋体"/>
          <w:b/>
          <w:color w:val="auto"/>
          <w:kern w:val="0"/>
          <w:szCs w:val="21"/>
          <w:highlight w:val="none"/>
          <w:lang w:val="zh-CN"/>
        </w:rPr>
        <w:t>；</w:t>
      </w:r>
    </w:p>
    <w:p w14:paraId="78C8FA7E">
      <w:pPr>
        <w:autoSpaceDE w:val="0"/>
        <w:autoSpaceDN w:val="0"/>
        <w:adjustRightInd w:val="0"/>
        <w:snapToGrid w:val="0"/>
        <w:spacing w:line="259" w:lineRule="auto"/>
        <w:ind w:left="1052" w:leftChars="200" w:hanging="632" w:hangingChars="300"/>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zh-CN"/>
        </w:rPr>
        <w:t>（</w:t>
      </w:r>
      <w:r>
        <w:rPr>
          <w:rFonts w:hint="eastAsia" w:ascii="宋体" w:hAnsi="宋体" w:eastAsia="宋体" w:cs="宋体"/>
          <w:b/>
          <w:color w:val="auto"/>
          <w:kern w:val="0"/>
          <w:szCs w:val="21"/>
          <w:highlight w:val="none"/>
        </w:rPr>
        <w:t>4</w:t>
      </w:r>
      <w:r>
        <w:rPr>
          <w:rFonts w:hint="eastAsia" w:ascii="宋体" w:hAnsi="宋体" w:eastAsia="宋体" w:cs="宋体"/>
          <w:b/>
          <w:color w:val="auto"/>
          <w:kern w:val="0"/>
          <w:szCs w:val="21"/>
          <w:highlight w:val="none"/>
          <w:lang w:val="zh-CN"/>
        </w:rPr>
        <w:t>）</w:t>
      </w:r>
      <w:r>
        <w:rPr>
          <w:rFonts w:hint="eastAsia" w:ascii="宋体" w:hAnsi="宋体" w:eastAsia="宋体" w:cs="宋体"/>
          <w:b/>
          <w:color w:val="auto"/>
          <w:szCs w:val="21"/>
          <w:highlight w:val="none"/>
        </w:rPr>
        <w:t>★</w:t>
      </w:r>
      <w:r>
        <w:rPr>
          <w:rFonts w:hint="eastAsia" w:ascii="宋体" w:hAnsi="宋体" w:eastAsia="宋体" w:cs="宋体"/>
          <w:b/>
          <w:color w:val="auto"/>
          <w:kern w:val="0"/>
          <w:szCs w:val="21"/>
          <w:highlight w:val="none"/>
        </w:rPr>
        <w:t>第一章招标</w:t>
      </w:r>
      <w:r>
        <w:rPr>
          <w:rFonts w:hint="eastAsia" w:ascii="宋体" w:hAnsi="宋体" w:eastAsia="宋体" w:cs="宋体"/>
          <w:b/>
          <w:color w:val="auto"/>
          <w:kern w:val="0"/>
          <w:szCs w:val="21"/>
          <w:highlight w:val="none"/>
          <w:lang w:val="en-US" w:eastAsia="zh-CN"/>
        </w:rPr>
        <w:t>公告</w:t>
      </w:r>
      <w:r>
        <w:rPr>
          <w:rFonts w:hint="eastAsia" w:ascii="宋体" w:hAnsi="宋体" w:eastAsia="宋体" w:cs="宋体"/>
          <w:b/>
          <w:color w:val="auto"/>
          <w:kern w:val="0"/>
          <w:szCs w:val="21"/>
          <w:highlight w:val="none"/>
        </w:rPr>
        <w:t>中</w:t>
      </w:r>
      <w:r>
        <w:rPr>
          <w:rFonts w:hint="eastAsia" w:ascii="宋体" w:hAnsi="宋体" w:eastAsia="宋体" w:cs="宋体"/>
          <w:b/>
          <w:color w:val="auto"/>
          <w:szCs w:val="21"/>
          <w:highlight w:val="none"/>
        </w:rPr>
        <w:t>本项目的特定资格要求证明文件；</w:t>
      </w:r>
    </w:p>
    <w:p w14:paraId="1000FF25">
      <w:pPr>
        <w:widowControl/>
        <w:adjustRightInd w:val="0"/>
        <w:snapToGrid w:val="0"/>
        <w:spacing w:line="259"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rPr>
        <w:t>5</w:t>
      </w:r>
      <w:r>
        <w:rPr>
          <w:rFonts w:hint="eastAsia" w:ascii="宋体" w:hAnsi="宋体" w:eastAsia="宋体" w:cs="宋体"/>
          <w:color w:val="auto"/>
          <w:kern w:val="0"/>
          <w:szCs w:val="21"/>
          <w:highlight w:val="none"/>
          <w:lang w:val="zh-CN"/>
        </w:rPr>
        <w:t>）《商务条款偏离表》；</w:t>
      </w:r>
    </w:p>
    <w:p w14:paraId="5ECCC6FA">
      <w:pPr>
        <w:widowControl/>
        <w:adjustRightInd w:val="0"/>
        <w:snapToGrid w:val="0"/>
        <w:spacing w:line="259" w:lineRule="auto"/>
        <w:ind w:firstLine="420"/>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w:t>
      </w:r>
      <w:r>
        <w:rPr>
          <w:rFonts w:hint="eastAsia" w:ascii="宋体" w:hAnsi="宋体" w:eastAsia="宋体" w:cs="宋体"/>
          <w:color w:val="auto"/>
          <w:kern w:val="0"/>
          <w:szCs w:val="21"/>
          <w:highlight w:val="none"/>
        </w:rPr>
        <w:t>6</w:t>
      </w:r>
      <w:r>
        <w:rPr>
          <w:rFonts w:hint="eastAsia" w:ascii="宋体" w:hAnsi="宋体" w:eastAsia="宋体" w:cs="宋体"/>
          <w:color w:val="auto"/>
          <w:kern w:val="0"/>
          <w:szCs w:val="21"/>
          <w:highlight w:val="none"/>
          <w:lang w:val="zh-CN"/>
        </w:rPr>
        <w:t>）合同草案条款；</w:t>
      </w:r>
    </w:p>
    <w:p w14:paraId="31881899">
      <w:pPr>
        <w:adjustRightInd w:val="0"/>
        <w:snapToGrid w:val="0"/>
        <w:spacing w:line="259"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（7）供应商认为需要</w:t>
      </w:r>
      <w:r>
        <w:rPr>
          <w:rFonts w:hint="eastAsia" w:ascii="宋体" w:hAnsi="宋体" w:eastAsia="宋体" w:cs="宋体"/>
          <w:color w:val="auto"/>
          <w:kern w:val="0"/>
          <w:szCs w:val="21"/>
          <w:highlight w:val="none"/>
          <w:lang w:val="zh-CN"/>
        </w:rPr>
        <w:t>提供的其他资格证明文件和商务资料。</w:t>
      </w:r>
    </w:p>
    <w:p w14:paraId="6E65D1AF">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11、投标文件的技术部分</w:t>
      </w:r>
    </w:p>
    <w:p w14:paraId="288A28B2">
      <w:pPr>
        <w:ind w:firstLine="420"/>
        <w:rPr>
          <w:rFonts w:hint="eastAsia" w:ascii="宋体" w:hAnsi="宋体" w:eastAsia="宋体" w:cs="宋体"/>
          <w:color w:val="auto"/>
          <w:highlight w:val="none"/>
        </w:rPr>
      </w:pPr>
      <w:r>
        <w:rPr>
          <w:rFonts w:hint="eastAsia" w:ascii="宋体" w:hAnsi="宋体" w:eastAsia="宋体" w:cs="宋体"/>
          <w:color w:val="auto"/>
          <w:highlight w:val="none"/>
        </w:rPr>
        <w:t>11.1 技术部分是证明供应商提供的产品和服务是合格的、并符合招标文件要求的证明文件，以及对投标报价表中的服务的详细说明，这些文件可以是文字资料、图纸和数据等。</w:t>
      </w:r>
    </w:p>
    <w:p w14:paraId="4E9B2804">
      <w:pPr>
        <w:ind w:firstLine="420"/>
        <w:rPr>
          <w:rFonts w:hint="eastAsia" w:ascii="宋体" w:hAnsi="宋体" w:eastAsia="宋体" w:cs="宋体"/>
          <w:color w:val="auto"/>
          <w:highlight w:val="none"/>
        </w:rPr>
      </w:pPr>
      <w:r>
        <w:rPr>
          <w:rFonts w:hint="eastAsia" w:ascii="宋体" w:hAnsi="宋体" w:eastAsia="宋体" w:cs="宋体"/>
          <w:color w:val="auto"/>
          <w:highlight w:val="none"/>
        </w:rPr>
        <w:t>11.2 若技术性能无特殊说明，则按国家有关部门最新颁布的标准及规范为准；</w:t>
      </w:r>
    </w:p>
    <w:p w14:paraId="4308E094">
      <w:pPr>
        <w:ind w:firstLine="420"/>
        <w:rPr>
          <w:rFonts w:hint="eastAsia" w:ascii="宋体" w:hAnsi="宋体" w:eastAsia="宋体" w:cs="宋体"/>
          <w:color w:val="auto"/>
          <w:highlight w:val="none"/>
        </w:rPr>
      </w:pPr>
      <w:r>
        <w:rPr>
          <w:rFonts w:hint="eastAsia" w:ascii="宋体" w:hAnsi="宋体" w:eastAsia="宋体" w:cs="宋体"/>
          <w:color w:val="auto"/>
          <w:highlight w:val="none"/>
        </w:rPr>
        <w:t>11.3 提供的服务如与招标文件要求有不符之处，应说明其差别之所在，并在《技术条款偏离表》中逐条予以说明。</w:t>
      </w:r>
    </w:p>
    <w:p w14:paraId="100D6FAB">
      <w:pPr>
        <w:ind w:firstLine="420"/>
        <w:rPr>
          <w:rFonts w:hint="eastAsia" w:ascii="宋体" w:hAnsi="宋体" w:eastAsia="宋体" w:cs="宋体"/>
          <w:color w:val="auto"/>
          <w:highlight w:val="none"/>
        </w:rPr>
      </w:pPr>
      <w:r>
        <w:rPr>
          <w:rFonts w:hint="eastAsia" w:ascii="宋体" w:hAnsi="宋体" w:eastAsia="宋体" w:cs="宋体"/>
          <w:color w:val="auto"/>
          <w:highlight w:val="none"/>
        </w:rPr>
        <w:t>11.4 投标文件应按照招标文件要求提供技术资料、文件和有关证明，包括但不限于其中加</w:t>
      </w:r>
      <w:r>
        <w:rPr>
          <w:rFonts w:hint="eastAsia" w:ascii="宋体" w:hAnsi="宋体" w:eastAsia="宋体" w:cs="宋体"/>
          <w:b/>
          <w:color w:val="auto"/>
          <w:highlight w:val="none"/>
        </w:rPr>
        <w:t>“★”</w:t>
      </w:r>
      <w:r>
        <w:rPr>
          <w:rFonts w:hint="eastAsia" w:ascii="宋体" w:hAnsi="宋体" w:eastAsia="宋体" w:cs="宋体"/>
          <w:color w:val="auto"/>
          <w:highlight w:val="none"/>
        </w:rPr>
        <w:t>项目不得有缺失或无效：</w:t>
      </w:r>
    </w:p>
    <w:p w14:paraId="46C8C92A">
      <w:pPr>
        <w:ind w:firstLine="420"/>
        <w:rPr>
          <w:rFonts w:hint="eastAsia" w:ascii="宋体" w:hAnsi="宋体" w:eastAsia="宋体" w:cs="宋体"/>
          <w:color w:val="auto"/>
          <w:highlight w:val="none"/>
        </w:rPr>
      </w:pPr>
      <w:r>
        <w:rPr>
          <w:rFonts w:hint="eastAsia" w:ascii="宋体" w:hAnsi="宋体" w:eastAsia="宋体" w:cs="宋体"/>
          <w:color w:val="auto"/>
          <w:highlight w:val="none"/>
        </w:rPr>
        <w:t>（1）项目组成员一览表；</w:t>
      </w:r>
    </w:p>
    <w:p w14:paraId="46D517BD">
      <w:pPr>
        <w:ind w:firstLine="420"/>
        <w:rPr>
          <w:rFonts w:hint="eastAsia" w:ascii="宋体" w:hAnsi="宋体" w:eastAsia="宋体" w:cs="宋体"/>
          <w:color w:val="auto"/>
          <w:highlight w:val="none"/>
        </w:rPr>
      </w:pPr>
      <w:r>
        <w:rPr>
          <w:rFonts w:hint="eastAsia" w:ascii="宋体" w:hAnsi="宋体" w:eastAsia="宋体" w:cs="宋体"/>
          <w:color w:val="auto"/>
          <w:highlight w:val="none"/>
        </w:rPr>
        <w:t>（2）项目整体实施方案（格式自拟）；</w:t>
      </w:r>
    </w:p>
    <w:p w14:paraId="4C8A6B4F">
      <w:pPr>
        <w:ind w:firstLine="420"/>
        <w:rPr>
          <w:rFonts w:hint="eastAsia" w:ascii="宋体" w:hAnsi="宋体" w:eastAsia="宋体" w:cs="宋体"/>
          <w:color w:val="auto"/>
          <w:highlight w:val="none"/>
        </w:rPr>
      </w:pPr>
      <w:r>
        <w:rPr>
          <w:rFonts w:hint="eastAsia" w:ascii="宋体" w:hAnsi="宋体" w:eastAsia="宋体" w:cs="宋体"/>
          <w:color w:val="auto"/>
          <w:highlight w:val="none"/>
        </w:rPr>
        <w:t>（3）服务承诺；</w:t>
      </w:r>
    </w:p>
    <w:p w14:paraId="66D5757C">
      <w:pPr>
        <w:ind w:firstLine="420"/>
        <w:rPr>
          <w:rFonts w:hint="eastAsia" w:ascii="宋体" w:hAnsi="宋体" w:eastAsia="宋体" w:cs="宋体"/>
          <w:color w:val="auto"/>
          <w:highlight w:val="none"/>
        </w:rPr>
      </w:pPr>
      <w:r>
        <w:rPr>
          <w:rFonts w:hint="eastAsia" w:ascii="宋体" w:hAnsi="宋体" w:eastAsia="宋体" w:cs="宋体"/>
          <w:color w:val="auto"/>
          <w:highlight w:val="none"/>
        </w:rPr>
        <w:t>（4）供应商认为需要提供的其他技术资料。</w:t>
      </w:r>
    </w:p>
    <w:p w14:paraId="7BAE8931">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12、投标文件的价格部分</w:t>
      </w:r>
    </w:p>
    <w:p w14:paraId="4F3371B1">
      <w:pPr>
        <w:ind w:firstLine="420"/>
        <w:rPr>
          <w:rFonts w:hint="eastAsia" w:ascii="宋体" w:hAnsi="宋体" w:eastAsia="宋体" w:cs="宋体"/>
          <w:color w:val="auto"/>
          <w:highlight w:val="none"/>
        </w:rPr>
      </w:pPr>
      <w:r>
        <w:rPr>
          <w:rFonts w:hint="eastAsia" w:ascii="宋体" w:hAnsi="宋体" w:eastAsia="宋体" w:cs="宋体"/>
          <w:color w:val="auto"/>
          <w:highlight w:val="none"/>
        </w:rPr>
        <w:t>12.1 价格部分是对投标服务价格构成的说明，每一项服务仅接受一个价格。</w:t>
      </w:r>
    </w:p>
    <w:p w14:paraId="0BF49531">
      <w:pPr>
        <w:ind w:firstLine="420"/>
        <w:rPr>
          <w:rFonts w:hint="eastAsia" w:ascii="宋体" w:hAnsi="宋体" w:eastAsia="宋体" w:cs="宋体"/>
          <w:color w:val="auto"/>
          <w:highlight w:val="none"/>
        </w:rPr>
      </w:pPr>
      <w:r>
        <w:rPr>
          <w:rFonts w:hint="eastAsia" w:ascii="宋体" w:hAnsi="宋体" w:eastAsia="宋体" w:cs="宋体"/>
          <w:color w:val="auto"/>
          <w:highlight w:val="none"/>
        </w:rPr>
        <w:t>12.2报价应包含完成本服务项目发生的所有含税费用、支付给员工的工资和国家强制缴纳的各种社会保障资金，以及供应商认为需要的其他费用等。</w:t>
      </w:r>
    </w:p>
    <w:p w14:paraId="4881E710">
      <w:pPr>
        <w:ind w:firstLine="420"/>
        <w:rPr>
          <w:rFonts w:hint="eastAsia" w:ascii="宋体" w:hAnsi="宋体" w:eastAsia="宋体" w:cs="宋体"/>
          <w:color w:val="auto"/>
          <w:highlight w:val="none"/>
        </w:rPr>
      </w:pPr>
      <w:r>
        <w:rPr>
          <w:rFonts w:hint="eastAsia" w:ascii="宋体" w:hAnsi="宋体" w:eastAsia="宋体" w:cs="宋体"/>
          <w:color w:val="auto"/>
          <w:highlight w:val="none"/>
        </w:rPr>
        <w:t>12.3 供应商的任何错漏、优惠、竞争性报价不得作为减轻责任、减少服务、增加收费、降低质量的理由。</w:t>
      </w:r>
    </w:p>
    <w:p w14:paraId="7258F8F2">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13、投标文件的其他部分</w:t>
      </w:r>
    </w:p>
    <w:p w14:paraId="2C281AED">
      <w:pPr>
        <w:ind w:firstLine="420"/>
        <w:rPr>
          <w:rFonts w:hint="eastAsia" w:ascii="宋体" w:hAnsi="宋体" w:eastAsia="宋体" w:cs="宋体"/>
          <w:color w:val="auto"/>
          <w:highlight w:val="none"/>
        </w:rPr>
      </w:pPr>
      <w:r>
        <w:rPr>
          <w:rFonts w:hint="eastAsia" w:ascii="宋体" w:hAnsi="宋体" w:eastAsia="宋体" w:cs="宋体"/>
          <w:color w:val="auto"/>
          <w:highlight w:val="none"/>
        </w:rPr>
        <w:t>13.1 其他部分由供应商根据编制投标文件需要提供的其他相关文件。</w:t>
      </w:r>
    </w:p>
    <w:p w14:paraId="0B95D09E">
      <w:pPr>
        <w:spacing w:line="400" w:lineRule="exact"/>
        <w:ind w:right="-109" w:rightChars="-52" w:firstLine="422" w:firstLineChars="200"/>
        <w:rPr>
          <w:rFonts w:hint="eastAsia" w:ascii="宋体" w:hAnsi="宋体" w:eastAsia="宋体" w:cs="宋体"/>
          <w:b/>
          <w:color w:val="auto"/>
          <w:highlight w:val="none"/>
        </w:rPr>
      </w:pPr>
      <w:r>
        <w:rPr>
          <w:rFonts w:hint="eastAsia" w:ascii="宋体" w:hAnsi="宋体" w:eastAsia="宋体" w:cs="宋体"/>
          <w:b/>
          <w:color w:val="auto"/>
          <w:highlight w:val="none"/>
        </w:rPr>
        <w:t>14、投标保证金:</w:t>
      </w:r>
    </w:p>
    <w:p w14:paraId="3BE3D8CD">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投标保证金金额：人民币</w:t>
      </w:r>
      <w:r>
        <w:rPr>
          <w:rFonts w:hint="eastAsia" w:ascii="宋体" w:hAnsi="宋体" w:eastAsia="宋体" w:cs="宋体"/>
          <w:color w:val="auto"/>
          <w:kern w:val="0"/>
          <w:szCs w:val="21"/>
          <w:highlight w:val="none"/>
          <w:lang w:val="en-US" w:eastAsia="zh-CN"/>
        </w:rPr>
        <w:t>8000</w:t>
      </w:r>
      <w:r>
        <w:rPr>
          <w:rFonts w:hint="eastAsia" w:ascii="宋体" w:hAnsi="宋体" w:eastAsia="宋体" w:cs="宋体"/>
          <w:color w:val="auto"/>
          <w:kern w:val="0"/>
          <w:szCs w:val="21"/>
          <w:highlight w:val="none"/>
          <w:lang w:val="zh-CN"/>
        </w:rPr>
        <w:t>元（大写：</w:t>
      </w:r>
      <w:r>
        <w:rPr>
          <w:rFonts w:hint="eastAsia" w:ascii="宋体" w:hAnsi="宋体" w:eastAsia="宋体" w:cs="宋体"/>
          <w:color w:val="auto"/>
          <w:kern w:val="0"/>
          <w:szCs w:val="21"/>
          <w:highlight w:val="none"/>
          <w:lang w:val="zh-CN" w:eastAsia="zh-CN"/>
        </w:rPr>
        <w:t>捌仟</w:t>
      </w:r>
      <w:r>
        <w:rPr>
          <w:rFonts w:hint="eastAsia" w:ascii="宋体" w:hAnsi="宋体" w:eastAsia="宋体" w:cs="宋体"/>
          <w:color w:val="auto"/>
          <w:kern w:val="0"/>
          <w:szCs w:val="21"/>
          <w:highlight w:val="none"/>
          <w:lang w:val="zh-CN"/>
        </w:rPr>
        <w:t xml:space="preserve">圆整） </w:t>
      </w:r>
    </w:p>
    <w:p w14:paraId="0B0DD9AE">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投标保证金和服务费银行及账号： </w:t>
      </w:r>
    </w:p>
    <w:p w14:paraId="655BBBF7">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开户单位：南京苏宁工程咨询有限公司</w:t>
      </w:r>
    </w:p>
    <w:p w14:paraId="529B06B0">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开户银行：南京银行中山东路支行 </w:t>
      </w:r>
    </w:p>
    <w:p w14:paraId="1382E9E8">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账号：0168200000000605 </w:t>
      </w:r>
    </w:p>
    <w:p w14:paraId="00495EA2">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汇款时需备注：</w:t>
      </w:r>
      <w:r>
        <w:rPr>
          <w:rFonts w:hint="eastAsia" w:ascii="宋体" w:hAnsi="宋体" w:eastAsia="宋体" w:cs="宋体"/>
          <w:color w:val="auto"/>
          <w:kern w:val="0"/>
          <w:szCs w:val="21"/>
          <w:highlight w:val="none"/>
          <w:lang w:val="zh-CN" w:eastAsia="zh-CN"/>
        </w:rPr>
        <w:t>SNZX-20250705</w:t>
      </w:r>
      <w:r>
        <w:rPr>
          <w:rFonts w:hint="eastAsia" w:ascii="宋体" w:hAnsi="宋体" w:eastAsia="宋体" w:cs="宋体"/>
          <w:color w:val="auto"/>
          <w:kern w:val="0"/>
          <w:szCs w:val="21"/>
          <w:highlight w:val="none"/>
          <w:lang w:val="zh-CN"/>
        </w:rPr>
        <w:t xml:space="preserve"> 保证金</w:t>
      </w:r>
    </w:p>
    <w:p w14:paraId="2E3FF153">
      <w:pPr>
        <w:ind w:firstLine="420"/>
        <w:rPr>
          <w:rFonts w:hint="eastAsia" w:ascii="宋体" w:hAnsi="宋体" w:eastAsia="宋体" w:cs="宋体"/>
          <w:color w:val="auto"/>
          <w:highlight w:val="none"/>
          <w:lang w:eastAsia="zh-CN"/>
        </w:rPr>
      </w:pPr>
      <w:r>
        <w:rPr>
          <w:rFonts w:hint="eastAsia" w:ascii="宋体" w:hAnsi="宋体" w:eastAsia="宋体" w:cs="宋体"/>
          <w:color w:val="auto"/>
          <w:kern w:val="0"/>
          <w:szCs w:val="21"/>
          <w:highlight w:val="none"/>
          <w:lang w:val="zh-CN"/>
        </w:rPr>
        <w:t>投标保证金应在投标截止时间前递交到南京苏宁工程咨询有限公司。</w:t>
      </w:r>
    </w:p>
    <w:p w14:paraId="5DE2B79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15、投标有效期</w:t>
      </w:r>
    </w:p>
    <w:p w14:paraId="171EA3BF">
      <w:pPr>
        <w:ind w:firstLine="420"/>
        <w:rPr>
          <w:rFonts w:hint="eastAsia" w:ascii="宋体" w:hAnsi="宋体" w:eastAsia="宋体" w:cs="宋体"/>
          <w:color w:val="auto"/>
          <w:highlight w:val="none"/>
        </w:rPr>
      </w:pPr>
      <w:r>
        <w:rPr>
          <w:rFonts w:hint="eastAsia" w:ascii="宋体" w:hAnsi="宋体" w:eastAsia="宋体" w:cs="宋体"/>
          <w:color w:val="auto"/>
          <w:highlight w:val="none"/>
        </w:rPr>
        <w:t>15.1 自开标之日起</w:t>
      </w:r>
      <w:r>
        <w:rPr>
          <w:rFonts w:hint="eastAsia" w:ascii="宋体" w:hAnsi="宋体" w:eastAsia="宋体" w:cs="宋体"/>
          <w:b/>
          <w:color w:val="auto"/>
          <w:highlight w:val="none"/>
        </w:rPr>
        <w:t>60天</w:t>
      </w:r>
      <w:r>
        <w:rPr>
          <w:rFonts w:hint="eastAsia" w:ascii="宋体" w:hAnsi="宋体" w:eastAsia="宋体" w:cs="宋体"/>
          <w:color w:val="auto"/>
          <w:highlight w:val="none"/>
        </w:rPr>
        <w:t>内投标有效。</w:t>
      </w:r>
    </w:p>
    <w:p w14:paraId="73A9DE7B">
      <w:pPr>
        <w:ind w:firstLine="420"/>
        <w:rPr>
          <w:rFonts w:hint="eastAsia" w:ascii="宋体" w:hAnsi="宋体" w:eastAsia="宋体" w:cs="宋体"/>
          <w:color w:val="auto"/>
          <w:highlight w:val="none"/>
        </w:rPr>
      </w:pPr>
      <w:r>
        <w:rPr>
          <w:rFonts w:hint="eastAsia" w:ascii="宋体" w:hAnsi="宋体" w:eastAsia="宋体" w:cs="宋体"/>
          <w:color w:val="auto"/>
          <w:highlight w:val="none"/>
        </w:rPr>
        <w:t>15.2 在特殊情况下，在原投标有效期截止之前，招标代理可要求供应商同意延长投标有效期，这种要求与答复均以书面形式提交，供应商可拒绝这种要求。接受延长投标有效期的供应商将不会要求和允许修正其投标。</w:t>
      </w:r>
    </w:p>
    <w:p w14:paraId="3CC6E29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16、投标文件的份数、签署</w:t>
      </w:r>
    </w:p>
    <w:p w14:paraId="174C5527">
      <w:pPr>
        <w:ind w:firstLine="420"/>
        <w:rPr>
          <w:rFonts w:hint="eastAsia" w:ascii="宋体" w:hAnsi="宋体" w:eastAsia="宋体" w:cs="宋体"/>
          <w:color w:val="auto"/>
          <w:highlight w:val="none"/>
        </w:rPr>
      </w:pPr>
      <w:r>
        <w:rPr>
          <w:rFonts w:hint="eastAsia" w:ascii="宋体" w:hAnsi="宋体" w:eastAsia="宋体" w:cs="宋体"/>
          <w:color w:val="auto"/>
          <w:highlight w:val="none"/>
        </w:rPr>
        <w:t>16.1 投标人应严格按照招标文件要求的份数准备投标文件，每份投标文件须清楚地标明“正本”或“副本”字样。一旦正本和副本不符，以正本为准。</w:t>
      </w:r>
    </w:p>
    <w:p w14:paraId="4F135B42">
      <w:pPr>
        <w:ind w:firstLine="420"/>
        <w:rPr>
          <w:rFonts w:hint="eastAsia" w:ascii="宋体" w:hAnsi="宋体" w:eastAsia="宋体" w:cs="宋体"/>
          <w:color w:val="auto"/>
          <w:highlight w:val="none"/>
        </w:rPr>
      </w:pPr>
      <w:r>
        <w:rPr>
          <w:rFonts w:hint="eastAsia" w:ascii="宋体" w:hAnsi="宋体" w:eastAsia="宋体" w:cs="宋体"/>
          <w:color w:val="auto"/>
          <w:highlight w:val="none"/>
        </w:rPr>
        <w:t>16.2 投标文件正本中，文字材料需打印或用不褪色墨水书写。投标文件的正本须经法定代表人或经正式授权并对供应商有约束力的委托代理人签字和加盖投标人公章。本招标文件所表述（指定）的公章是指法定名称章，不包括合同专用章、业务专用章等印章。</w:t>
      </w:r>
    </w:p>
    <w:p w14:paraId="49854D8E">
      <w:pPr>
        <w:ind w:firstLine="420"/>
        <w:rPr>
          <w:rFonts w:hint="eastAsia" w:ascii="宋体" w:hAnsi="宋体" w:eastAsia="宋体" w:cs="宋体"/>
          <w:color w:val="auto"/>
          <w:highlight w:val="none"/>
        </w:rPr>
      </w:pPr>
      <w:r>
        <w:rPr>
          <w:rFonts w:hint="eastAsia" w:ascii="宋体" w:hAnsi="宋体" w:eastAsia="宋体" w:cs="宋体"/>
          <w:color w:val="auto"/>
          <w:highlight w:val="none"/>
        </w:rPr>
        <w:t>16.3 除投标人对错处做必要修改外，投标文件不得行间插字、涂改或增删。如有修改错漏处，必须由投标文件签署人签字或盖章。</w:t>
      </w:r>
    </w:p>
    <w:p w14:paraId="20E1FD43">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17、投标文件的密封和递交</w:t>
      </w:r>
    </w:p>
    <w:p w14:paraId="3FDB91B4">
      <w:pPr>
        <w:ind w:firstLine="420"/>
        <w:rPr>
          <w:rFonts w:hint="eastAsia" w:ascii="宋体" w:hAnsi="宋体" w:eastAsia="宋体" w:cs="宋体"/>
          <w:color w:val="auto"/>
          <w:highlight w:val="none"/>
        </w:rPr>
      </w:pPr>
      <w:r>
        <w:rPr>
          <w:rFonts w:hint="eastAsia" w:ascii="宋体" w:hAnsi="宋体" w:eastAsia="宋体" w:cs="宋体"/>
          <w:color w:val="auto"/>
          <w:highlight w:val="none"/>
        </w:rPr>
        <w:t>17.1 供应商应当将投标文件密封；</w:t>
      </w:r>
    </w:p>
    <w:p w14:paraId="3FC07C4C">
      <w:pPr>
        <w:ind w:firstLine="420"/>
        <w:rPr>
          <w:rFonts w:hint="eastAsia" w:ascii="宋体" w:hAnsi="宋体" w:eastAsia="宋体" w:cs="宋体"/>
          <w:color w:val="auto"/>
          <w:highlight w:val="none"/>
        </w:rPr>
      </w:pPr>
      <w:r>
        <w:rPr>
          <w:rFonts w:hint="eastAsia" w:ascii="宋体" w:hAnsi="宋体" w:eastAsia="宋体" w:cs="宋体"/>
          <w:color w:val="auto"/>
          <w:highlight w:val="none"/>
        </w:rPr>
        <w:t>17.2 供应商应当在招标文件要求提交投标文件的截止时间前，将密封的投标文件送达投标地点。</w:t>
      </w:r>
    </w:p>
    <w:p w14:paraId="25FB03CD">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18、有下列情形之一的投标文件将拒收：</w:t>
      </w:r>
    </w:p>
    <w:p w14:paraId="74EF59B0">
      <w:pPr>
        <w:ind w:firstLine="420"/>
        <w:rPr>
          <w:rFonts w:hint="eastAsia" w:ascii="宋体" w:hAnsi="宋体" w:eastAsia="宋体" w:cs="宋体"/>
          <w:color w:val="auto"/>
          <w:highlight w:val="none"/>
        </w:rPr>
      </w:pPr>
      <w:r>
        <w:rPr>
          <w:rFonts w:hint="eastAsia" w:ascii="宋体" w:hAnsi="宋体" w:eastAsia="宋体" w:cs="宋体"/>
          <w:color w:val="auto"/>
          <w:highlight w:val="none"/>
        </w:rPr>
        <w:t>18.1 在招标文件要求提交投标文件的截止时间之后送达的。</w:t>
      </w:r>
    </w:p>
    <w:p w14:paraId="2B1D2487">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19、投标文件的修改和撤回</w:t>
      </w:r>
    </w:p>
    <w:p w14:paraId="6F246786">
      <w:pPr>
        <w:ind w:firstLine="420"/>
        <w:rPr>
          <w:rFonts w:hint="eastAsia" w:ascii="宋体" w:hAnsi="宋体" w:eastAsia="宋体" w:cs="宋体"/>
          <w:color w:val="auto"/>
          <w:highlight w:val="none"/>
        </w:rPr>
      </w:pPr>
      <w:r>
        <w:rPr>
          <w:rFonts w:hint="eastAsia" w:ascii="宋体" w:hAnsi="宋体" w:eastAsia="宋体" w:cs="宋体"/>
          <w:color w:val="auto"/>
          <w:highlight w:val="none"/>
        </w:rPr>
        <w:t>19.1 供应商在投标截止时间前，可以对所递交的投标文件进行补充、修改或撤回，并书面通知招标代理。补充、修改的内容应当按照招标文件要求签署、盖章，并作为投标文件的组成部分。</w:t>
      </w:r>
    </w:p>
    <w:p w14:paraId="5C7F0D24">
      <w:pPr>
        <w:ind w:firstLine="420"/>
        <w:rPr>
          <w:rFonts w:hint="eastAsia" w:ascii="宋体" w:hAnsi="宋体" w:eastAsia="宋体" w:cs="宋体"/>
          <w:color w:val="auto"/>
          <w:highlight w:val="none"/>
        </w:rPr>
      </w:pPr>
      <w:r>
        <w:rPr>
          <w:rFonts w:hint="eastAsia" w:ascii="宋体" w:hAnsi="宋体" w:eastAsia="宋体" w:cs="宋体"/>
          <w:color w:val="auto"/>
          <w:highlight w:val="none"/>
        </w:rPr>
        <w:t>19.2 投标截止时间之后，投标文件不得撤回。</w:t>
      </w:r>
    </w:p>
    <w:p w14:paraId="78AABBDB">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四、开标、评标与确定中标供应商</w:t>
      </w:r>
    </w:p>
    <w:p w14:paraId="2374915F">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20、开标</w:t>
      </w:r>
    </w:p>
    <w:p w14:paraId="2156FEAE">
      <w:pPr>
        <w:ind w:firstLine="420"/>
        <w:rPr>
          <w:rFonts w:hint="eastAsia" w:ascii="宋体" w:hAnsi="宋体" w:eastAsia="宋体" w:cs="宋体"/>
          <w:color w:val="auto"/>
          <w:highlight w:val="none"/>
        </w:rPr>
      </w:pPr>
      <w:r>
        <w:rPr>
          <w:rFonts w:hint="eastAsia" w:ascii="宋体" w:hAnsi="宋体" w:eastAsia="宋体" w:cs="宋体"/>
          <w:color w:val="auto"/>
          <w:highlight w:val="none"/>
        </w:rPr>
        <w:t>20.1 招标代理将在招标文件确定的时间和地点进行公开开标。供应商应委派代表准时参加，参加开标的代表须签名报到以证明其出席。</w:t>
      </w:r>
    </w:p>
    <w:p w14:paraId="7D894EC3">
      <w:pPr>
        <w:ind w:firstLine="420"/>
        <w:rPr>
          <w:rFonts w:hint="eastAsia" w:ascii="宋体" w:hAnsi="宋体" w:eastAsia="宋体" w:cs="宋体"/>
          <w:color w:val="auto"/>
          <w:highlight w:val="none"/>
        </w:rPr>
      </w:pPr>
      <w:r>
        <w:rPr>
          <w:rFonts w:hint="eastAsia" w:ascii="宋体" w:hAnsi="宋体" w:eastAsia="宋体" w:cs="宋体"/>
          <w:color w:val="auto"/>
          <w:highlight w:val="none"/>
        </w:rPr>
        <w:t>20.2 开标时，招标代理将邀请供应商代表检查投标文件的密封情况，经确认无误后，由招标代理工作人员当众拆封，宣读供应商名称、投标价格、价格折扣、招标文件允许提供的备选投标方案和投标文件规定的其他主要内容。</w:t>
      </w:r>
    </w:p>
    <w:p w14:paraId="5AAF71F7">
      <w:pPr>
        <w:ind w:firstLine="420"/>
        <w:rPr>
          <w:rFonts w:hint="eastAsia" w:ascii="宋体" w:hAnsi="宋体" w:eastAsia="宋体" w:cs="宋体"/>
          <w:color w:val="auto"/>
          <w:highlight w:val="none"/>
        </w:rPr>
      </w:pPr>
      <w:r>
        <w:rPr>
          <w:rFonts w:hint="eastAsia" w:ascii="宋体" w:hAnsi="宋体" w:eastAsia="宋体" w:cs="宋体"/>
          <w:color w:val="auto"/>
          <w:highlight w:val="none"/>
        </w:rPr>
        <w:t>20.3 未宣读的投标价格、价格折扣和招标文件允许提供的备选投标方案等实质性内容，评标时不予承认。</w:t>
      </w:r>
    </w:p>
    <w:p w14:paraId="12819D62">
      <w:pPr>
        <w:ind w:firstLine="420"/>
        <w:rPr>
          <w:rFonts w:hint="eastAsia" w:ascii="宋体" w:hAnsi="宋体" w:eastAsia="宋体" w:cs="宋体"/>
          <w:color w:val="auto"/>
          <w:highlight w:val="none"/>
        </w:rPr>
      </w:pPr>
      <w:r>
        <w:rPr>
          <w:rFonts w:hint="eastAsia" w:ascii="宋体" w:hAnsi="宋体" w:eastAsia="宋体" w:cs="宋体"/>
          <w:color w:val="auto"/>
          <w:highlight w:val="none"/>
        </w:rPr>
        <w:t>20.4 开标时，《开标一览表》（报价表）内容与投标文件中相应内容不一致的，以《开标一览表》（报价表）为准。</w:t>
      </w:r>
    </w:p>
    <w:p w14:paraId="74B0215D">
      <w:pPr>
        <w:ind w:firstLine="420"/>
        <w:rPr>
          <w:rFonts w:hint="eastAsia" w:ascii="宋体" w:hAnsi="宋体" w:eastAsia="宋体" w:cs="宋体"/>
          <w:color w:val="auto"/>
          <w:highlight w:val="none"/>
        </w:rPr>
      </w:pPr>
      <w:r>
        <w:rPr>
          <w:rFonts w:hint="eastAsia" w:ascii="宋体" w:hAnsi="宋体" w:eastAsia="宋体" w:cs="宋体"/>
          <w:color w:val="auto"/>
          <w:highlight w:val="none"/>
        </w:rPr>
        <w:t>20.5 投标文件、《开标一览表》（报价表）中报价的大写金额与小写金额不一致的，以大写金额为准。</w:t>
      </w:r>
    </w:p>
    <w:p w14:paraId="12B35DB5">
      <w:pPr>
        <w:ind w:firstLine="420"/>
        <w:rPr>
          <w:rFonts w:hint="eastAsia" w:ascii="宋体" w:hAnsi="宋体" w:eastAsia="宋体" w:cs="宋体"/>
          <w:color w:val="auto"/>
          <w:highlight w:val="none"/>
        </w:rPr>
      </w:pPr>
      <w:r>
        <w:rPr>
          <w:rFonts w:hint="eastAsia" w:ascii="宋体" w:hAnsi="宋体" w:eastAsia="宋体" w:cs="宋体"/>
          <w:color w:val="auto"/>
          <w:highlight w:val="none"/>
        </w:rPr>
        <w:t>20.6 单价金额小数点或者百分比有明显错位的，以《开标一览表》（报价表）的总价为准，并修改单价；</w:t>
      </w:r>
    </w:p>
    <w:p w14:paraId="28A2A0E4">
      <w:pPr>
        <w:ind w:firstLine="420"/>
        <w:rPr>
          <w:rFonts w:hint="eastAsia" w:ascii="宋体" w:hAnsi="宋体" w:eastAsia="宋体" w:cs="宋体"/>
          <w:color w:val="auto"/>
          <w:highlight w:val="none"/>
        </w:rPr>
      </w:pPr>
      <w:r>
        <w:rPr>
          <w:rFonts w:hint="eastAsia" w:ascii="宋体" w:hAnsi="宋体" w:eastAsia="宋体" w:cs="宋体"/>
          <w:color w:val="auto"/>
          <w:highlight w:val="none"/>
        </w:rPr>
        <w:t>20.7 总价金额与按单价汇总金额不一致的，以单价金额计算结果为准；</w:t>
      </w:r>
    </w:p>
    <w:p w14:paraId="583167BA">
      <w:pPr>
        <w:ind w:firstLine="420"/>
        <w:rPr>
          <w:rFonts w:hint="eastAsia" w:ascii="宋体" w:hAnsi="宋体" w:eastAsia="宋体" w:cs="宋体"/>
          <w:color w:val="auto"/>
          <w:highlight w:val="none"/>
        </w:rPr>
      </w:pPr>
      <w:r>
        <w:rPr>
          <w:rFonts w:hint="eastAsia" w:ascii="宋体" w:hAnsi="宋体" w:eastAsia="宋体" w:cs="宋体"/>
          <w:color w:val="auto"/>
          <w:highlight w:val="none"/>
        </w:rPr>
        <w:t>20.8 同时出现20.4-20.7中两种以上不一致的</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按照20.4-20.7的顺序修正。修正后的报价由法定代表人或其授权的代表签字确认后产生约束力，投标人不确认的，投标无效。</w:t>
      </w:r>
    </w:p>
    <w:p w14:paraId="7F5BCAA4">
      <w:pPr>
        <w:ind w:firstLine="420"/>
        <w:rPr>
          <w:rFonts w:hint="eastAsia" w:ascii="宋体" w:hAnsi="宋体" w:eastAsia="宋体" w:cs="宋体"/>
          <w:color w:val="auto"/>
          <w:highlight w:val="none"/>
        </w:rPr>
      </w:pPr>
      <w:r>
        <w:rPr>
          <w:rFonts w:hint="eastAsia" w:ascii="宋体" w:hAnsi="宋体" w:eastAsia="宋体" w:cs="宋体"/>
          <w:color w:val="auto"/>
          <w:highlight w:val="none"/>
        </w:rPr>
        <w:t>20.9  对不同文字文本投标文件的解释发生异议的，以中文文本为准。</w:t>
      </w:r>
    </w:p>
    <w:p w14:paraId="45190D5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21、评标</w:t>
      </w:r>
    </w:p>
    <w:p w14:paraId="39961C67">
      <w:pPr>
        <w:ind w:firstLine="420"/>
        <w:rPr>
          <w:rFonts w:hint="eastAsia" w:ascii="宋体" w:hAnsi="宋体" w:eastAsia="宋体" w:cs="宋体"/>
          <w:b/>
          <w:color w:val="auto"/>
          <w:highlight w:val="none"/>
        </w:rPr>
      </w:pPr>
      <w:r>
        <w:rPr>
          <w:rFonts w:hint="eastAsia" w:ascii="宋体" w:hAnsi="宋体" w:eastAsia="宋体" w:cs="宋体"/>
          <w:color w:val="auto"/>
          <w:highlight w:val="none"/>
        </w:rPr>
        <w:t>21.1</w:t>
      </w:r>
      <w:r>
        <w:rPr>
          <w:rFonts w:hint="eastAsia" w:ascii="宋体" w:hAnsi="宋体" w:eastAsia="宋体" w:cs="宋体"/>
          <w:b/>
          <w:color w:val="auto"/>
          <w:highlight w:val="none"/>
        </w:rPr>
        <w:t>评标组织</w:t>
      </w:r>
    </w:p>
    <w:p w14:paraId="43EFA743">
      <w:pPr>
        <w:ind w:firstLine="420"/>
        <w:rPr>
          <w:rFonts w:hint="eastAsia" w:ascii="宋体" w:hAnsi="宋体" w:eastAsia="宋体" w:cs="宋体"/>
          <w:color w:val="auto"/>
          <w:highlight w:val="none"/>
        </w:rPr>
      </w:pPr>
      <w:r>
        <w:rPr>
          <w:rFonts w:hint="eastAsia" w:ascii="宋体" w:hAnsi="宋体" w:eastAsia="宋体" w:cs="宋体"/>
          <w:color w:val="auto"/>
          <w:highlight w:val="none"/>
        </w:rPr>
        <w:t>21.1.1评标工作由招标代理负责组织，具体评标事务由依法组建的评标委员会负责，并独立履行下列职责：</w:t>
      </w:r>
    </w:p>
    <w:p w14:paraId="767DC245">
      <w:pPr>
        <w:ind w:firstLine="420"/>
        <w:rPr>
          <w:rFonts w:hint="eastAsia" w:ascii="宋体" w:hAnsi="宋体" w:eastAsia="宋体" w:cs="宋体"/>
          <w:color w:val="auto"/>
          <w:highlight w:val="none"/>
        </w:rPr>
      </w:pPr>
      <w:r>
        <w:rPr>
          <w:rFonts w:hint="eastAsia" w:ascii="宋体" w:hAnsi="宋体" w:eastAsia="宋体" w:cs="宋体"/>
          <w:color w:val="auto"/>
          <w:highlight w:val="none"/>
        </w:rPr>
        <w:t>（1）审查、评价投标文件是否符合招标文件的商务、技术等实质性要求；</w:t>
      </w:r>
    </w:p>
    <w:p w14:paraId="0F27A964">
      <w:pPr>
        <w:ind w:firstLine="420"/>
        <w:rPr>
          <w:rFonts w:hint="eastAsia" w:ascii="宋体" w:hAnsi="宋体" w:eastAsia="宋体" w:cs="宋体"/>
          <w:color w:val="auto"/>
          <w:highlight w:val="none"/>
        </w:rPr>
      </w:pPr>
      <w:r>
        <w:rPr>
          <w:rFonts w:hint="eastAsia" w:ascii="宋体" w:hAnsi="宋体" w:eastAsia="宋体" w:cs="宋体"/>
          <w:color w:val="auto"/>
          <w:highlight w:val="none"/>
        </w:rPr>
        <w:t>（2）要求投标人对投标文件有关事项作出澄清或者说明；</w:t>
      </w:r>
    </w:p>
    <w:p w14:paraId="1BEA74E8">
      <w:pPr>
        <w:ind w:firstLine="420"/>
        <w:rPr>
          <w:rFonts w:hint="eastAsia" w:ascii="宋体" w:hAnsi="宋体" w:eastAsia="宋体" w:cs="宋体"/>
          <w:color w:val="auto"/>
          <w:highlight w:val="none"/>
        </w:rPr>
      </w:pPr>
      <w:r>
        <w:rPr>
          <w:rFonts w:hint="eastAsia" w:ascii="宋体" w:hAnsi="宋体" w:eastAsia="宋体" w:cs="宋体"/>
          <w:color w:val="auto"/>
          <w:highlight w:val="none"/>
        </w:rPr>
        <w:t>（3）对投标文件进行比较和评价；</w:t>
      </w:r>
    </w:p>
    <w:p w14:paraId="008FCE07">
      <w:pPr>
        <w:ind w:firstLine="42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）根据采购人委托协议直接确定中标人；</w:t>
      </w:r>
    </w:p>
    <w:p w14:paraId="71C0F810">
      <w:pPr>
        <w:ind w:firstLine="420"/>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）向采购人、财政部门报告评标中发现的违法行为。</w:t>
      </w:r>
    </w:p>
    <w:p w14:paraId="68129CAA">
      <w:pPr>
        <w:ind w:firstLine="420"/>
        <w:rPr>
          <w:rFonts w:hint="eastAsia" w:ascii="宋体" w:hAnsi="宋体" w:eastAsia="宋体" w:cs="宋体"/>
          <w:color w:val="auto"/>
          <w:highlight w:val="none"/>
        </w:rPr>
      </w:pPr>
      <w:r>
        <w:rPr>
          <w:rFonts w:hint="eastAsia" w:ascii="宋体" w:hAnsi="宋体" w:eastAsia="宋体" w:cs="宋体"/>
          <w:b/>
          <w:color w:val="auto"/>
          <w:highlight w:val="none"/>
        </w:rPr>
        <w:t xml:space="preserve">21.1.2 </w:t>
      </w:r>
      <w:r>
        <w:rPr>
          <w:rFonts w:hint="eastAsia" w:ascii="宋体" w:hAnsi="宋体" w:eastAsia="宋体" w:cs="宋体"/>
          <w:color w:val="auto"/>
          <w:highlight w:val="none"/>
        </w:rPr>
        <w:t>评标委员会由采购人代表和有关技术、经济等方面的专家组成，独立开展评审工作。</w:t>
      </w:r>
    </w:p>
    <w:p w14:paraId="3B4819B5">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21.2 评标程序</w:t>
      </w:r>
    </w:p>
    <w:p w14:paraId="0266F7DF">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21.2.1 投标文件的资格审查。</w:t>
      </w:r>
    </w:p>
    <w:p w14:paraId="5F4C94AD">
      <w:pPr>
        <w:keepNext/>
        <w:keepLines/>
        <w:ind w:firstLine="420"/>
        <w:rPr>
          <w:rFonts w:hint="eastAsia" w:ascii="宋体" w:hAnsi="宋体" w:eastAsia="宋体" w:cs="宋体"/>
          <w:color w:val="auto"/>
          <w:highlight w:val="none"/>
        </w:rPr>
      </w:pPr>
      <w:r>
        <w:rPr>
          <w:rFonts w:hint="eastAsia" w:ascii="宋体" w:hAnsi="宋体" w:eastAsia="宋体" w:cs="宋体"/>
          <w:color w:val="auto"/>
          <w:highlight w:val="none"/>
        </w:rPr>
        <w:t>21.2.1.1采购人代表将依法对投标人的资格进行审查。</w:t>
      </w:r>
    </w:p>
    <w:p w14:paraId="2C964B7A">
      <w:pPr>
        <w:ind w:firstLine="420"/>
        <w:rPr>
          <w:rFonts w:hint="eastAsia" w:ascii="宋体" w:hAnsi="宋体" w:eastAsia="宋体" w:cs="宋体"/>
          <w:color w:val="auto"/>
          <w:highlight w:val="none"/>
        </w:rPr>
      </w:pPr>
      <w:r>
        <w:rPr>
          <w:rFonts w:hint="eastAsia" w:ascii="宋体" w:hAnsi="宋体" w:eastAsia="宋体" w:cs="宋体"/>
          <w:color w:val="auto"/>
          <w:highlight w:val="none"/>
        </w:rPr>
        <w:t>21.2.1.2资格性审查：依据法律法规和招标文件的规定，对投标文件中的资格证明文件进行审查，以确定投标供应商是否具备投标资格。</w:t>
      </w:r>
    </w:p>
    <w:p w14:paraId="1C698F9B">
      <w:pPr>
        <w:ind w:firstLine="420"/>
        <w:rPr>
          <w:rFonts w:hint="eastAsia" w:ascii="宋体" w:hAnsi="宋体" w:eastAsia="宋体" w:cs="宋体"/>
          <w:color w:val="auto"/>
          <w:highlight w:val="none"/>
        </w:rPr>
      </w:pPr>
      <w:r>
        <w:rPr>
          <w:rFonts w:hint="eastAsia" w:ascii="宋体" w:hAnsi="宋体" w:eastAsia="宋体" w:cs="宋体"/>
          <w:color w:val="auto"/>
          <w:highlight w:val="none"/>
        </w:rPr>
        <w:t>21.2.1.3 在进行资格性审查的同时，将在“信用中国”网站（www.creditchina.gov.cn）、“中国政府采购网"(www.ccgp.gov.cn)对投标人是否被列入失信被执行人、重大税收违法案件当事人名单、政府采购严重违法失信行为记录名单的情况进行查询，以确定投标供应商是否具备投标资格。查询结果将以网页打印的形式留存并归档。</w:t>
      </w:r>
    </w:p>
    <w:p w14:paraId="1B1B2BC4">
      <w:pPr>
        <w:ind w:firstLine="420"/>
        <w:rPr>
          <w:rFonts w:hint="eastAsia" w:ascii="宋体" w:hAnsi="宋体" w:eastAsia="宋体" w:cs="宋体"/>
          <w:color w:val="auto"/>
          <w:highlight w:val="none"/>
        </w:rPr>
      </w:pPr>
      <w:r>
        <w:rPr>
          <w:rFonts w:hint="eastAsia" w:ascii="宋体" w:hAnsi="宋体" w:eastAsia="宋体" w:cs="宋体"/>
          <w:color w:val="auto"/>
          <w:highlight w:val="none"/>
        </w:rPr>
        <w:t>21.2.1.4 投标文件有下列情况之一的，在资格性审查时按照无效投标处理：</w:t>
      </w:r>
    </w:p>
    <w:p w14:paraId="20EE48D6">
      <w:pPr>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（1）不具备招标文件中规定资格条件的；</w:t>
      </w:r>
    </w:p>
    <w:p w14:paraId="32C6039D">
      <w:pPr>
        <w:ind w:firstLine="420"/>
        <w:rPr>
          <w:rFonts w:hint="eastAsia" w:ascii="宋体" w:hAnsi="宋体" w:eastAsia="宋体" w:cs="宋体"/>
          <w:color w:val="auto"/>
          <w:highlight w:val="none"/>
        </w:rPr>
      </w:pPr>
      <w:r>
        <w:rPr>
          <w:rFonts w:hint="eastAsia" w:ascii="宋体" w:hAnsi="宋体" w:eastAsia="宋体" w:cs="宋体"/>
          <w:color w:val="auto"/>
          <w:highlight w:val="none"/>
        </w:rPr>
        <w:t>（2）供应商被“信用中国”网站（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u w:val="single"/>
        </w:rPr>
        <w:t>www.</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creditchina.gov.cn）、“中国政府采购网"(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"http://www.ccgp.gov.cn/" \h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u w:val="single"/>
        </w:rPr>
        <w:t>www.ccgp.gov.cn</w:t>
      </w:r>
      <w:r>
        <w:rPr>
          <w:rFonts w:hint="eastAsia" w:ascii="宋体" w:hAnsi="宋体" w:eastAsia="宋体" w:cs="宋体"/>
          <w:color w:val="auto"/>
          <w:highlight w:val="none"/>
          <w:u w:val="single"/>
        </w:rPr>
        <w:fldChar w:fldCharType="end"/>
      </w:r>
      <w:r>
        <w:rPr>
          <w:rFonts w:hint="eastAsia" w:ascii="宋体" w:hAnsi="宋体" w:eastAsia="宋体" w:cs="宋体"/>
          <w:color w:val="auto"/>
          <w:highlight w:val="none"/>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054A3DA1">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21.2.2   投标文件的符合性审查。</w:t>
      </w:r>
    </w:p>
    <w:p w14:paraId="36506C6A">
      <w:pPr>
        <w:ind w:firstLine="422"/>
        <w:rPr>
          <w:rFonts w:hint="eastAsia" w:ascii="宋体" w:hAnsi="宋体" w:eastAsia="宋体" w:cs="宋体"/>
          <w:color w:val="auto"/>
          <w:highlight w:val="none"/>
        </w:rPr>
      </w:pPr>
      <w:r>
        <w:rPr>
          <w:rFonts w:hint="eastAsia" w:ascii="宋体" w:hAnsi="宋体" w:eastAsia="宋体" w:cs="宋体"/>
          <w:b/>
          <w:color w:val="auto"/>
          <w:highlight w:val="none"/>
        </w:rPr>
        <w:t>21.2.2.1</w:t>
      </w:r>
      <w:r>
        <w:rPr>
          <w:rFonts w:hint="eastAsia" w:ascii="宋体" w:hAnsi="宋体" w:eastAsia="宋体" w:cs="宋体"/>
          <w:color w:val="auto"/>
          <w:highlight w:val="none"/>
        </w:rPr>
        <w:t>评标委员会将依据法律法规和招标文件的规定，对投标文件的有效性、完整性和对招标文件的响应程度进行审查，以确定是否对招标文件的实质性要求作出响应。</w:t>
      </w:r>
    </w:p>
    <w:p w14:paraId="24DF4B00">
      <w:pPr>
        <w:ind w:firstLine="420"/>
        <w:rPr>
          <w:rFonts w:hint="eastAsia" w:ascii="宋体" w:hAnsi="宋体" w:eastAsia="宋体" w:cs="宋体"/>
          <w:color w:val="auto"/>
          <w:highlight w:val="none"/>
        </w:rPr>
      </w:pPr>
      <w:r>
        <w:rPr>
          <w:rFonts w:hint="eastAsia" w:ascii="宋体" w:hAnsi="宋体" w:eastAsia="宋体" w:cs="宋体"/>
          <w:color w:val="auto"/>
          <w:highlight w:val="none"/>
        </w:rPr>
        <w:t>21.2.2.2 实质性要求是指本招标文件中用带星号（“★”）的商务和技术要求。</w:t>
      </w:r>
    </w:p>
    <w:p w14:paraId="5DC9096B">
      <w:pPr>
        <w:ind w:firstLine="420"/>
        <w:rPr>
          <w:rFonts w:hint="eastAsia" w:ascii="宋体" w:hAnsi="宋体" w:eastAsia="宋体" w:cs="宋体"/>
          <w:color w:val="auto"/>
          <w:highlight w:val="none"/>
        </w:rPr>
      </w:pPr>
      <w:r>
        <w:rPr>
          <w:rFonts w:hint="eastAsia" w:ascii="宋体" w:hAnsi="宋体" w:eastAsia="宋体" w:cs="宋体"/>
          <w:color w:val="auto"/>
          <w:highlight w:val="none"/>
        </w:rPr>
        <w:t>21.2.2.3 如果投标文件实质上没有响应招标文件的要求，评标委员会将予以拒绝，投标人不得通过修改或撤销不合要求的偏离或保留而使其投标成为实质性响应的投标。</w:t>
      </w:r>
    </w:p>
    <w:p w14:paraId="634E6A53">
      <w:pPr>
        <w:ind w:firstLine="420"/>
        <w:rPr>
          <w:rFonts w:hint="eastAsia" w:ascii="宋体" w:hAnsi="宋体" w:eastAsia="宋体" w:cs="宋体"/>
          <w:color w:val="auto"/>
          <w:highlight w:val="none"/>
        </w:rPr>
      </w:pPr>
      <w:r>
        <w:rPr>
          <w:rFonts w:hint="eastAsia" w:ascii="宋体" w:hAnsi="宋体" w:eastAsia="宋体" w:cs="宋体"/>
          <w:color w:val="auto"/>
          <w:highlight w:val="none"/>
        </w:rPr>
        <w:t>21.2.2.4 投标文件有下列情况之一的，在符合性审查时按照</w:t>
      </w:r>
      <w:r>
        <w:rPr>
          <w:rFonts w:hint="eastAsia" w:ascii="宋体" w:hAnsi="宋体" w:eastAsia="宋体" w:cs="宋体"/>
          <w:b/>
          <w:color w:val="auto"/>
          <w:highlight w:val="none"/>
        </w:rPr>
        <w:t>无效投标处理</w:t>
      </w:r>
      <w:r>
        <w:rPr>
          <w:rFonts w:hint="eastAsia" w:ascii="宋体" w:hAnsi="宋体" w:eastAsia="宋体" w:cs="宋体"/>
          <w:color w:val="auto"/>
          <w:highlight w:val="none"/>
        </w:rPr>
        <w:t>：</w:t>
      </w:r>
    </w:p>
    <w:p w14:paraId="3A0473D2">
      <w:pPr>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（1）未按照招标文件规定要求密封、签署、盖章的；</w:t>
      </w:r>
    </w:p>
    <w:p w14:paraId="2766FCCC">
      <w:pPr>
        <w:ind w:firstLine="420" w:firstLineChars="200"/>
        <w:jc w:val="left"/>
        <w:rPr>
          <w:rFonts w:hint="eastAsia" w:ascii="宋体" w:hAnsi="宋体" w:eastAsia="宋体" w:cs="宋体"/>
          <w:color w:val="auto"/>
          <w:highlight w:val="none"/>
        </w:rPr>
      </w:pPr>
      <w:r>
        <w:rPr>
          <w:rFonts w:hint="eastAsia" w:ascii="宋体" w:hAnsi="宋体" w:eastAsia="宋体" w:cs="宋体"/>
          <w:color w:val="auto"/>
          <w:highlight w:val="none"/>
        </w:rPr>
        <w:t>（2）投标总价高于采购预算金额或者最高限价的；</w:t>
      </w:r>
    </w:p>
    <w:p w14:paraId="192843B6">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（3）不同投标人的投标文件由同一单位或者个人编制；</w:t>
      </w:r>
    </w:p>
    <w:p w14:paraId="0F855DBD">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（4）不同投标人委托同一单位或者个人办理投标事宜；</w:t>
      </w:r>
    </w:p>
    <w:p w14:paraId="7785658E">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（5）不同投标人的投标文件载明的项目管理成员或者联系人员为同一人；</w:t>
      </w:r>
    </w:p>
    <w:p w14:paraId="797721DD">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（6）不同投标人的投标文件异常一致或者投标报价呈规律性差异；</w:t>
      </w:r>
    </w:p>
    <w:p w14:paraId="3DD8B911">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（7）不同投标人的投标文件相互混装；</w:t>
      </w:r>
    </w:p>
    <w:p w14:paraId="226C6095">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（8）不同供应商的法定代表人或委托代理人有夫妻、直系血亲关系的；</w:t>
      </w:r>
    </w:p>
    <w:p w14:paraId="4F78401B">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（9）不同供应商的负责人为同一人或者存在控股、管理关系的；</w:t>
      </w:r>
    </w:p>
    <w:p w14:paraId="23821507">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）投标文件含有采购人不能接受的附加条件的；</w:t>
      </w:r>
    </w:p>
    <w:p w14:paraId="75D0EB52">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）评标委员会认为投标人的报价明显低于其他通过符合性审查投标人的报价，有可能影响产品质量或者不能诚信履约的，未在评标现场合理的时间内提供书面说明或相关证明材料，不能证明其报价合理的；</w:t>
      </w:r>
    </w:p>
    <w:p w14:paraId="34F58777">
      <w:pPr>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）不符合法律、法规和招标文件规定的其他无效情形。</w:t>
      </w:r>
    </w:p>
    <w:p w14:paraId="493D6512">
      <w:pPr>
        <w:ind w:firstLine="420"/>
        <w:rPr>
          <w:rFonts w:hint="eastAsia" w:ascii="宋体" w:hAnsi="宋体" w:eastAsia="宋体" w:cs="宋体"/>
          <w:color w:val="auto"/>
          <w:highlight w:val="none"/>
        </w:rPr>
      </w:pPr>
      <w:r>
        <w:rPr>
          <w:rFonts w:hint="eastAsia" w:ascii="宋体" w:hAnsi="宋体" w:eastAsia="宋体" w:cs="宋体"/>
          <w:color w:val="auto"/>
          <w:highlight w:val="none"/>
        </w:rPr>
        <w:t>21.2.2.4 在评标期间，出现符合专业条件的供应商或者对招标文件作出实质性响应的供应商不足三家情形的，比照20.10款执行。</w:t>
      </w:r>
    </w:p>
    <w:p w14:paraId="01122DB5">
      <w:pPr>
        <w:ind w:firstLine="420"/>
        <w:rPr>
          <w:rFonts w:hint="eastAsia" w:ascii="宋体" w:hAnsi="宋体" w:eastAsia="宋体" w:cs="宋体"/>
          <w:color w:val="auto"/>
          <w:highlight w:val="none"/>
        </w:rPr>
      </w:pPr>
      <w:r>
        <w:rPr>
          <w:rFonts w:hint="eastAsia" w:ascii="宋体" w:hAnsi="宋体" w:eastAsia="宋体" w:cs="宋体"/>
          <w:color w:val="auto"/>
          <w:highlight w:val="none"/>
        </w:rPr>
        <w:t>21.2.2.5 有下列情形之一的予以</w:t>
      </w:r>
      <w:r>
        <w:rPr>
          <w:rFonts w:hint="eastAsia" w:ascii="宋体" w:hAnsi="宋体" w:eastAsia="宋体" w:cs="宋体"/>
          <w:b/>
          <w:color w:val="auto"/>
          <w:highlight w:val="none"/>
        </w:rPr>
        <w:t>废标</w:t>
      </w:r>
      <w:r>
        <w:rPr>
          <w:rFonts w:hint="eastAsia" w:ascii="宋体" w:hAnsi="宋体" w:eastAsia="宋体" w:cs="宋体"/>
          <w:color w:val="auto"/>
          <w:highlight w:val="none"/>
        </w:rPr>
        <w:t>，同时将废标理由通知所有供应商：</w:t>
      </w:r>
    </w:p>
    <w:p w14:paraId="4D5CAA70">
      <w:pPr>
        <w:ind w:firstLine="420"/>
        <w:rPr>
          <w:rFonts w:hint="eastAsia" w:ascii="宋体" w:hAnsi="宋体" w:eastAsia="宋体" w:cs="宋体"/>
          <w:color w:val="auto"/>
          <w:highlight w:val="none"/>
        </w:rPr>
      </w:pPr>
      <w:r>
        <w:rPr>
          <w:rFonts w:hint="eastAsia" w:ascii="宋体" w:hAnsi="宋体" w:eastAsia="宋体" w:cs="宋体"/>
          <w:color w:val="auto"/>
          <w:highlight w:val="none"/>
        </w:rPr>
        <w:t>（1）符合专业条件的供应商或者对招标文件作实质性响应的供应商不足三家的；</w:t>
      </w:r>
    </w:p>
    <w:p w14:paraId="1FF63EAB">
      <w:pPr>
        <w:ind w:firstLine="420"/>
        <w:rPr>
          <w:rFonts w:hint="eastAsia" w:ascii="宋体" w:hAnsi="宋体" w:eastAsia="宋体" w:cs="宋体"/>
          <w:color w:val="auto"/>
          <w:highlight w:val="none"/>
        </w:rPr>
      </w:pPr>
      <w:r>
        <w:rPr>
          <w:rFonts w:hint="eastAsia" w:ascii="宋体" w:hAnsi="宋体" w:eastAsia="宋体" w:cs="宋体"/>
          <w:color w:val="auto"/>
          <w:highlight w:val="none"/>
        </w:rPr>
        <w:t>（2）出现影响采购公正的违法、违规行为的；</w:t>
      </w:r>
    </w:p>
    <w:p w14:paraId="484B004D">
      <w:pPr>
        <w:ind w:firstLine="420"/>
        <w:rPr>
          <w:rFonts w:hint="eastAsia" w:ascii="宋体" w:hAnsi="宋体" w:eastAsia="宋体" w:cs="宋体"/>
          <w:color w:val="auto"/>
          <w:highlight w:val="none"/>
        </w:rPr>
      </w:pPr>
      <w:r>
        <w:rPr>
          <w:rFonts w:hint="eastAsia" w:ascii="宋体" w:hAnsi="宋体" w:eastAsia="宋体" w:cs="宋体"/>
          <w:color w:val="auto"/>
          <w:highlight w:val="none"/>
        </w:rPr>
        <w:t>（3）供应商的报价均高于采购预算或最高限价的，采购人不能支付的；</w:t>
      </w:r>
    </w:p>
    <w:p w14:paraId="22BC66E5">
      <w:pPr>
        <w:ind w:firstLine="420"/>
        <w:rPr>
          <w:rFonts w:hint="eastAsia" w:ascii="宋体" w:hAnsi="宋体" w:eastAsia="宋体" w:cs="宋体"/>
          <w:color w:val="auto"/>
          <w:highlight w:val="none"/>
        </w:rPr>
      </w:pPr>
      <w:r>
        <w:rPr>
          <w:rFonts w:hint="eastAsia" w:ascii="宋体" w:hAnsi="宋体" w:eastAsia="宋体" w:cs="宋体"/>
          <w:color w:val="auto"/>
          <w:highlight w:val="none"/>
        </w:rPr>
        <w:t>（4）因重大变故，采购任务取消的；</w:t>
      </w:r>
    </w:p>
    <w:p w14:paraId="725F3DC4">
      <w:pPr>
        <w:ind w:firstLine="420"/>
        <w:rPr>
          <w:rFonts w:hint="eastAsia" w:ascii="宋体" w:hAnsi="宋体" w:eastAsia="宋体" w:cs="宋体"/>
          <w:color w:val="auto"/>
          <w:highlight w:val="none"/>
        </w:rPr>
      </w:pPr>
      <w:r>
        <w:rPr>
          <w:rFonts w:hint="eastAsia" w:ascii="宋体" w:hAnsi="宋体" w:eastAsia="宋体" w:cs="宋体"/>
          <w:color w:val="auto"/>
          <w:highlight w:val="none"/>
        </w:rPr>
        <w:t>（5）投标文件存在歧义、重大缺陷，或者招标文件内容违反国家有关强制性规定的。</w:t>
      </w:r>
    </w:p>
    <w:p w14:paraId="285BE0B8">
      <w:pPr>
        <w:ind w:firstLine="422"/>
        <w:rPr>
          <w:rFonts w:hint="eastAsia" w:ascii="宋体" w:hAnsi="宋体" w:eastAsia="宋体" w:cs="宋体"/>
          <w:b w:val="0"/>
          <w:bCs/>
          <w:color w:val="auto"/>
          <w:highlight w:val="none"/>
        </w:rPr>
      </w:pPr>
      <w:r>
        <w:rPr>
          <w:rFonts w:hint="eastAsia" w:ascii="宋体" w:hAnsi="宋体" w:eastAsia="宋体" w:cs="宋体"/>
          <w:b w:val="0"/>
          <w:bCs/>
          <w:color w:val="auto"/>
          <w:highlight w:val="none"/>
          <w:lang w:val="en-US" w:eastAsia="zh-CN"/>
        </w:rPr>
        <w:t>21.2.2.6</w:t>
      </w:r>
      <w:r>
        <w:rPr>
          <w:rFonts w:hint="eastAsia" w:ascii="宋体" w:hAnsi="宋体" w:eastAsia="宋体" w:cs="宋体"/>
          <w:b w:val="0"/>
          <w:bCs/>
          <w:color w:val="auto"/>
          <w:highlight w:val="none"/>
        </w:rPr>
        <w:t>根据《关于印发中国药科大学采购若干实施细则的通知》（药大标〔2018〕017号）附件2第十七条：单项预算不足100万元的工程及工程中的货物，不足50万元的工程服务项目，除采取单一来源方式外，原则上应有不少于三家供应商投标或响应；如出现不足三家的情形，可按如下规定处理：</w:t>
      </w:r>
    </w:p>
    <w:p w14:paraId="2799B50E">
      <w:pPr>
        <w:ind w:firstLine="42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（一）报名时间截止时，报名单位不足三家的，延长报名时间，继续接受报名，延长的报名时间不得少于原报名时间。</w:t>
      </w:r>
    </w:p>
    <w:p w14:paraId="04F3DC2C">
      <w:pPr>
        <w:ind w:firstLine="42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二）报名满三家，但在投标或响应时间截止时，只有两家单位提交投标或响应文件的，开启投标或响应文件后，评标委员会或评审小组经审核后认为仍能形成有效竞争的，可以按原定评审办法评审。只有一家单位提交投标或响应文件的，应废标并重新发布采购公告。</w:t>
      </w:r>
    </w:p>
    <w:p w14:paraId="75A6DDB1">
      <w:pPr>
        <w:ind w:firstLine="42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三）投标或响应供应商满三家，但在评标或评审过程中发现实质性响应供应商只有两家的，评标委员会或评审小组认为仍能形成有效竞争的，可以按原定评审办法评审；实质性响应的供应商只有一家的，应废标并重新发布采购公告。</w:t>
      </w:r>
    </w:p>
    <w:p w14:paraId="6E1480D5">
      <w:pPr>
        <w:ind w:firstLine="422"/>
        <w:rPr>
          <w:rFonts w:hint="eastAsia" w:ascii="宋体" w:hAnsi="宋体" w:eastAsia="宋体" w:cs="宋体"/>
          <w:b w:val="0"/>
          <w:bCs/>
          <w:color w:val="auto"/>
          <w:highlight w:val="none"/>
        </w:rPr>
      </w:pPr>
      <w:r>
        <w:rPr>
          <w:rFonts w:hint="eastAsia" w:ascii="宋体" w:hAnsi="宋体" w:eastAsia="宋体" w:cs="宋体"/>
          <w:b w:val="0"/>
          <w:bCs/>
          <w:color w:val="auto"/>
          <w:highlight w:val="none"/>
        </w:rPr>
        <w:t>（四）经延长报名时间仍不满三家报名且无供应商质疑及废标重新发布公告的项目，有两家供应商报名并响应的可以按原定评审办法评审或变更为由两家单位参与的竞争性谈判或竞争性磋商；只有一家供应商报名或实质性响应的，可直接变更为单一来源方式采购。</w:t>
      </w:r>
    </w:p>
    <w:p w14:paraId="3B804E36">
      <w:pPr>
        <w:ind w:firstLine="422"/>
        <w:rPr>
          <w:rFonts w:hint="eastAsia" w:ascii="宋体" w:hAnsi="宋体" w:eastAsia="宋体" w:cs="宋体"/>
          <w:b/>
          <w:color w:val="auto"/>
          <w:highlight w:val="none"/>
        </w:rPr>
      </w:pPr>
      <w:r>
        <w:rPr>
          <w:rFonts w:hint="eastAsia" w:ascii="宋体" w:hAnsi="宋体" w:eastAsia="宋体" w:cs="宋体"/>
          <w:b/>
          <w:color w:val="auto"/>
          <w:highlight w:val="none"/>
        </w:rPr>
        <w:t>21.2.3 投标文件的进一步评审。</w:t>
      </w:r>
    </w:p>
    <w:p w14:paraId="3D7266A1">
      <w:pPr>
        <w:ind w:firstLine="420"/>
        <w:rPr>
          <w:rFonts w:hint="eastAsia" w:ascii="宋体" w:hAnsi="宋体" w:eastAsia="宋体" w:cs="宋体"/>
          <w:color w:val="auto"/>
          <w:highlight w:val="none"/>
        </w:rPr>
      </w:pPr>
      <w:r>
        <w:rPr>
          <w:rFonts w:hint="eastAsia" w:ascii="宋体" w:hAnsi="宋体" w:eastAsia="宋体" w:cs="宋体"/>
          <w:color w:val="auto"/>
          <w:highlight w:val="none"/>
        </w:rPr>
        <w:t>21.2.3.1评标委员会将对确定为实质性响应的投标文件进行进一步评审，看其是否有计算上或累加上的算术错误，修正错误的原则如下：</w:t>
      </w:r>
    </w:p>
    <w:p w14:paraId="5DA77F52">
      <w:pPr>
        <w:ind w:firstLine="420"/>
        <w:rPr>
          <w:rFonts w:hint="eastAsia" w:ascii="宋体" w:hAnsi="宋体" w:eastAsia="宋体" w:cs="宋体"/>
          <w:color w:val="auto"/>
          <w:highlight w:val="none"/>
        </w:rPr>
      </w:pPr>
      <w:r>
        <w:rPr>
          <w:rFonts w:hint="eastAsia" w:ascii="宋体" w:hAnsi="宋体" w:eastAsia="宋体" w:cs="宋体"/>
          <w:color w:val="auto"/>
          <w:highlight w:val="none"/>
        </w:rPr>
        <w:t>(1) 如果用数字表示的金额和用文字表示的金额不一致时，应以文字表示的金额为准进行修正；</w:t>
      </w:r>
    </w:p>
    <w:p w14:paraId="02C2C730">
      <w:pPr>
        <w:ind w:firstLine="420"/>
        <w:rPr>
          <w:rFonts w:hint="eastAsia" w:ascii="宋体" w:hAnsi="宋体" w:eastAsia="宋体" w:cs="宋体"/>
          <w:color w:val="auto"/>
          <w:highlight w:val="none"/>
        </w:rPr>
      </w:pPr>
      <w:r>
        <w:rPr>
          <w:rFonts w:hint="eastAsia" w:ascii="宋体" w:hAnsi="宋体" w:eastAsia="宋体" w:cs="宋体"/>
          <w:color w:val="auto"/>
          <w:highlight w:val="none"/>
        </w:rPr>
        <w:t>(2) 当单价与数量的乘积和总价不一致时，以单价为准进行修正。只有在评委会认为单价有明显的小数点错误时，才能以标出的总价为准，并修改单价。</w:t>
      </w:r>
    </w:p>
    <w:p w14:paraId="0EB34889">
      <w:pPr>
        <w:ind w:firstLine="420"/>
        <w:rPr>
          <w:rFonts w:hint="eastAsia" w:ascii="宋体" w:hAnsi="宋体" w:eastAsia="宋体" w:cs="宋体"/>
          <w:color w:val="auto"/>
          <w:highlight w:val="none"/>
        </w:rPr>
      </w:pPr>
      <w:r>
        <w:rPr>
          <w:rFonts w:hint="eastAsia" w:ascii="宋体" w:hAnsi="宋体" w:eastAsia="宋体" w:cs="宋体"/>
          <w:color w:val="auto"/>
          <w:highlight w:val="none"/>
        </w:rPr>
        <w:t>21.2.3.2 评标委员会将按上述修正错误的方法调整投标文件中的投标价，调整后的价格应对投标人具有约束力。如果投标人不接受修正后的价格，则其投标将被拒绝。</w:t>
      </w:r>
    </w:p>
    <w:p w14:paraId="4E3588C6">
      <w:pPr>
        <w:ind w:firstLine="420"/>
        <w:rPr>
          <w:rFonts w:hint="eastAsia" w:ascii="宋体" w:hAnsi="宋体" w:eastAsia="宋体" w:cs="宋体"/>
          <w:color w:val="auto"/>
          <w:highlight w:val="none"/>
        </w:rPr>
      </w:pPr>
      <w:r>
        <w:rPr>
          <w:rFonts w:hint="eastAsia" w:ascii="宋体" w:hAnsi="宋体" w:eastAsia="宋体" w:cs="宋体"/>
          <w:color w:val="auto"/>
          <w:highlight w:val="none"/>
        </w:rPr>
        <w:t>21.2.3.3 评委会将允许修正投标文件中不构成重大偏离的、微小的、非正规的、不一致的或不规则的地方，但这些修改不能影响任何投标人相应的名次排列。</w:t>
      </w:r>
    </w:p>
    <w:p w14:paraId="769D60A8">
      <w:pPr>
        <w:ind w:firstLine="420"/>
        <w:rPr>
          <w:rFonts w:hint="eastAsia" w:ascii="宋体" w:hAnsi="宋体" w:eastAsia="宋体" w:cs="宋体"/>
          <w:color w:val="auto"/>
          <w:highlight w:val="none"/>
        </w:rPr>
      </w:pPr>
      <w:r>
        <w:rPr>
          <w:rFonts w:hint="eastAsia" w:ascii="宋体" w:hAnsi="宋体" w:eastAsia="宋体" w:cs="宋体"/>
          <w:color w:val="auto"/>
          <w:highlight w:val="none"/>
        </w:rPr>
        <w:t xml:space="preserve">21.2.3.4 </w:t>
      </w:r>
      <w:r>
        <w:rPr>
          <w:rFonts w:hint="eastAsia" w:ascii="宋体" w:hAnsi="宋体" w:eastAsia="宋体" w:cs="宋体"/>
          <w:b/>
          <w:color w:val="auto"/>
          <w:highlight w:val="none"/>
        </w:rPr>
        <w:t>澄清有关问题</w:t>
      </w:r>
      <w:r>
        <w:rPr>
          <w:rFonts w:hint="eastAsia" w:ascii="宋体" w:hAnsi="宋体" w:eastAsia="宋体" w:cs="宋体"/>
          <w:color w:val="auto"/>
          <w:highlight w:val="none"/>
        </w:rPr>
        <w:t>。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19FEFCBE">
      <w:pPr>
        <w:ind w:firstLine="420"/>
        <w:rPr>
          <w:rFonts w:hint="eastAsia" w:ascii="宋体" w:hAnsi="宋体" w:eastAsia="宋体" w:cs="宋体"/>
          <w:color w:val="auto"/>
          <w:highlight w:val="none"/>
        </w:rPr>
      </w:pPr>
      <w:r>
        <w:rPr>
          <w:rFonts w:hint="eastAsia" w:ascii="宋体" w:hAnsi="宋体" w:eastAsia="宋体" w:cs="宋体"/>
          <w:b/>
          <w:color w:val="auto"/>
          <w:highlight w:val="none"/>
        </w:rPr>
        <w:t>21.2.3.5比较与评价。</w:t>
      </w:r>
      <w:r>
        <w:rPr>
          <w:rFonts w:hint="eastAsia" w:ascii="宋体" w:hAnsi="宋体" w:eastAsia="宋体" w:cs="宋体"/>
          <w:color w:val="auto"/>
          <w:highlight w:val="none"/>
        </w:rPr>
        <w:t>按照招标文件中规定的评标方法和标准，对资格性检查和符合性检查合格的投标文件进行商务和技术评估，综合比较与评价。</w:t>
      </w:r>
    </w:p>
    <w:p w14:paraId="4C747223">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21.3 评标方法和标准</w:t>
      </w:r>
    </w:p>
    <w:p w14:paraId="4742C9BA">
      <w:pPr>
        <w:ind w:firstLine="420"/>
        <w:rPr>
          <w:rFonts w:hint="eastAsia" w:ascii="宋体" w:hAnsi="宋体" w:eastAsia="宋体" w:cs="宋体"/>
          <w:color w:val="auto"/>
          <w:highlight w:val="none"/>
        </w:rPr>
      </w:pPr>
      <w:r>
        <w:rPr>
          <w:rFonts w:hint="eastAsia" w:ascii="宋体" w:hAnsi="宋体" w:eastAsia="宋体" w:cs="宋体"/>
          <w:b/>
          <w:color w:val="auto"/>
          <w:highlight w:val="none"/>
        </w:rPr>
        <w:t>21.3.1 采用综合评分法。</w:t>
      </w:r>
      <w:r>
        <w:rPr>
          <w:rFonts w:hint="eastAsia" w:ascii="宋体" w:hAnsi="宋体" w:eastAsia="宋体" w:cs="宋体"/>
          <w:color w:val="auto"/>
          <w:highlight w:val="none"/>
        </w:rPr>
        <w:t>即在投标文件满足招标文件全部实质性要求前提下，且按照评审因素的量化指标评审得分最高的投标人为中标人的评标方法。</w:t>
      </w:r>
    </w:p>
    <w:p w14:paraId="728978A3">
      <w:pPr>
        <w:ind w:firstLine="420"/>
        <w:rPr>
          <w:rFonts w:hint="eastAsia" w:ascii="宋体" w:hAnsi="宋体" w:eastAsia="宋体" w:cs="宋体"/>
          <w:color w:val="auto"/>
          <w:highlight w:val="none"/>
        </w:rPr>
      </w:pPr>
      <w:r>
        <w:rPr>
          <w:rFonts w:hint="eastAsia" w:ascii="宋体" w:hAnsi="宋体" w:eastAsia="宋体" w:cs="宋体"/>
          <w:color w:val="auto"/>
          <w:highlight w:val="none"/>
        </w:rPr>
        <w:t>21.3.2 综合评分的主要因素是：价格、技术、商务等。</w:t>
      </w:r>
    </w:p>
    <w:p w14:paraId="2C025F9C">
      <w:pPr>
        <w:ind w:firstLine="420"/>
        <w:rPr>
          <w:rFonts w:hint="eastAsia" w:ascii="宋体" w:hAnsi="宋体" w:eastAsia="宋体" w:cs="宋体"/>
          <w:b/>
          <w:color w:val="auto"/>
          <w:highlight w:val="none"/>
        </w:rPr>
      </w:pPr>
      <w:r>
        <w:rPr>
          <w:rFonts w:hint="eastAsia" w:ascii="宋体" w:hAnsi="宋体" w:eastAsia="宋体" w:cs="宋体"/>
          <w:color w:val="auto"/>
          <w:highlight w:val="none"/>
        </w:rPr>
        <w:t>21.3.3</w:t>
      </w:r>
      <w:r>
        <w:rPr>
          <w:rFonts w:hint="eastAsia" w:ascii="宋体" w:hAnsi="宋体" w:eastAsia="宋体" w:cs="宋体"/>
          <w:b/>
          <w:color w:val="auto"/>
          <w:highlight w:val="none"/>
        </w:rPr>
        <w:t>评分标准详见文件第三章。</w:t>
      </w:r>
    </w:p>
    <w:p w14:paraId="69189D23">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22、确定中标供应商</w:t>
      </w:r>
    </w:p>
    <w:p w14:paraId="559659F8">
      <w:pPr>
        <w:ind w:firstLine="420"/>
        <w:rPr>
          <w:rFonts w:hint="eastAsia" w:ascii="宋体" w:hAnsi="宋体" w:eastAsia="宋体" w:cs="宋体"/>
          <w:color w:val="auto"/>
          <w:highlight w:val="none"/>
        </w:rPr>
      </w:pPr>
      <w:r>
        <w:rPr>
          <w:rFonts w:hint="eastAsia" w:ascii="宋体" w:hAnsi="宋体" w:eastAsia="宋体" w:cs="宋体"/>
          <w:color w:val="auto"/>
          <w:highlight w:val="none"/>
        </w:rPr>
        <w:t>22.1 在综合比较与评价后按照得分由高到低顺序对供应商进行排列。得分相同的，按投标报价由低到高顺序排列。评标委员会将综合排名第一的供应商确定为中标供应商。得分且投标报价相同的并列</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先提交投标文件的供应商为中标供应商。</w:t>
      </w:r>
    </w:p>
    <w:p w14:paraId="2245331A">
      <w:pPr>
        <w:ind w:firstLine="420"/>
        <w:rPr>
          <w:rFonts w:hint="eastAsia" w:ascii="宋体" w:hAnsi="宋体" w:eastAsia="宋体" w:cs="宋体"/>
          <w:color w:val="auto"/>
          <w:highlight w:val="none"/>
        </w:rPr>
      </w:pPr>
      <w:r>
        <w:rPr>
          <w:rFonts w:hint="eastAsia" w:ascii="宋体" w:hAnsi="宋体" w:eastAsia="宋体" w:cs="宋体"/>
          <w:color w:val="auto"/>
          <w:highlight w:val="none"/>
        </w:rPr>
        <w:t>22.2 中标供应商确定之日起2个工作日内，将在财政部门指定的政府采购信息发布媒体上公告，中标供应商及时到招标代理领取《中标通知书》。</w:t>
      </w:r>
    </w:p>
    <w:p w14:paraId="1D2AAF17">
      <w:pPr>
        <w:ind w:firstLine="420"/>
        <w:rPr>
          <w:rFonts w:hint="eastAsia" w:ascii="宋体" w:hAnsi="宋体" w:eastAsia="宋体" w:cs="宋体"/>
          <w:color w:val="auto"/>
          <w:highlight w:val="none"/>
        </w:rPr>
      </w:pPr>
      <w:r>
        <w:rPr>
          <w:rFonts w:hint="eastAsia" w:ascii="宋体" w:hAnsi="宋体" w:eastAsia="宋体" w:cs="宋体"/>
          <w:color w:val="auto"/>
          <w:highlight w:val="none"/>
        </w:rPr>
        <w:t>22.3 中标通知书对采购人和中标供应商具有同等法律效力。</w:t>
      </w:r>
    </w:p>
    <w:p w14:paraId="47FED4EB">
      <w:pPr>
        <w:ind w:firstLine="420"/>
        <w:rPr>
          <w:rFonts w:hint="eastAsia" w:ascii="宋体" w:hAnsi="宋体" w:eastAsia="宋体" w:cs="宋体"/>
          <w:color w:val="auto"/>
          <w:highlight w:val="none"/>
        </w:rPr>
      </w:pPr>
      <w:r>
        <w:rPr>
          <w:rFonts w:hint="eastAsia" w:ascii="宋体" w:hAnsi="宋体" w:eastAsia="宋体" w:cs="宋体"/>
          <w:color w:val="auto"/>
          <w:highlight w:val="none"/>
        </w:rPr>
        <w:t>22.4 中标通知书发出后，中标供应商无正当理由不与采购人签订合同的，情节严重的，由财政部门将其列入不良行为记录名单，在一至三年内禁止参加中国药科大学组织的政府采购活动，并予以通报。</w:t>
      </w:r>
    </w:p>
    <w:p w14:paraId="3236A1A3">
      <w:pPr>
        <w:tabs>
          <w:tab w:val="left" w:pos="1260"/>
        </w:tabs>
        <w:ind w:firstLine="420"/>
        <w:rPr>
          <w:rFonts w:hint="eastAsia" w:ascii="宋体" w:hAnsi="宋体" w:eastAsia="宋体" w:cs="宋体"/>
          <w:color w:val="auto"/>
          <w:highlight w:val="none"/>
        </w:rPr>
      </w:pPr>
      <w:r>
        <w:rPr>
          <w:rFonts w:hint="eastAsia" w:ascii="宋体" w:hAnsi="宋体" w:eastAsia="宋体" w:cs="宋体"/>
          <w:color w:val="auto"/>
          <w:highlight w:val="none"/>
        </w:rPr>
        <w:t>22.5招标代理和评标委员会对未中标的供应商不作未中标原因的解释。</w:t>
      </w:r>
    </w:p>
    <w:p w14:paraId="21FE66FE">
      <w:pPr>
        <w:ind w:firstLine="420"/>
        <w:rPr>
          <w:rFonts w:hint="eastAsia" w:ascii="宋体" w:hAnsi="宋体" w:eastAsia="宋体" w:cs="宋体"/>
          <w:color w:val="auto"/>
          <w:highlight w:val="none"/>
        </w:rPr>
      </w:pPr>
      <w:r>
        <w:rPr>
          <w:rFonts w:hint="eastAsia" w:ascii="宋体" w:hAnsi="宋体" w:eastAsia="宋体" w:cs="宋体"/>
          <w:color w:val="auto"/>
          <w:highlight w:val="none"/>
        </w:rPr>
        <w:t>22.6 所有投标文件都将作为档案保存，不论中标与否，招标代理均不退回。</w:t>
      </w:r>
    </w:p>
    <w:p w14:paraId="3902AF38">
      <w:pPr>
        <w:ind w:firstLine="413"/>
        <w:rPr>
          <w:rFonts w:hint="eastAsia" w:ascii="宋体" w:hAnsi="宋体" w:eastAsia="宋体" w:cs="宋体"/>
          <w:b/>
          <w:color w:val="auto"/>
          <w:highlight w:val="none"/>
        </w:rPr>
      </w:pPr>
      <w:r>
        <w:rPr>
          <w:rFonts w:hint="eastAsia" w:ascii="宋体" w:hAnsi="宋体" w:eastAsia="宋体" w:cs="宋体"/>
          <w:b/>
          <w:color w:val="auto"/>
          <w:highlight w:val="none"/>
        </w:rPr>
        <w:t>23、编写评标报告</w:t>
      </w:r>
    </w:p>
    <w:p w14:paraId="79C94F45">
      <w:pPr>
        <w:ind w:firstLine="420"/>
        <w:rPr>
          <w:rFonts w:hint="eastAsia" w:ascii="宋体" w:hAnsi="宋体" w:eastAsia="宋体" w:cs="宋体"/>
          <w:color w:val="auto"/>
          <w:highlight w:val="none"/>
        </w:rPr>
      </w:pPr>
      <w:r>
        <w:rPr>
          <w:rFonts w:hint="eastAsia" w:ascii="宋体" w:hAnsi="宋体" w:eastAsia="宋体" w:cs="宋体"/>
          <w:color w:val="auto"/>
          <w:highlight w:val="none"/>
        </w:rPr>
        <w:t>23.1 评标委员会根据全体评标成员签字的原始评标记录和评标结果编写评标报告。</w:t>
      </w:r>
    </w:p>
    <w:p w14:paraId="72F6BCAD">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24、评标过程的保密性</w:t>
      </w:r>
    </w:p>
    <w:p w14:paraId="1C3EE7C5">
      <w:pPr>
        <w:ind w:firstLine="420"/>
        <w:rPr>
          <w:rFonts w:hint="eastAsia" w:ascii="宋体" w:hAnsi="宋体" w:eastAsia="宋体" w:cs="宋体"/>
          <w:color w:val="auto"/>
          <w:highlight w:val="none"/>
        </w:rPr>
      </w:pPr>
      <w:r>
        <w:rPr>
          <w:rFonts w:hint="eastAsia" w:ascii="宋体" w:hAnsi="宋体" w:eastAsia="宋体" w:cs="宋体"/>
          <w:color w:val="auto"/>
          <w:highlight w:val="none"/>
        </w:rPr>
        <w:t>24.1 招标代理将采取必要措施，保证评标在严格保密的情况下进行。</w:t>
      </w:r>
    </w:p>
    <w:p w14:paraId="11EA3525">
      <w:pPr>
        <w:ind w:firstLine="420"/>
        <w:rPr>
          <w:rFonts w:hint="eastAsia" w:ascii="宋体" w:hAnsi="宋体" w:eastAsia="宋体" w:cs="宋体"/>
          <w:color w:val="auto"/>
          <w:highlight w:val="none"/>
        </w:rPr>
      </w:pPr>
      <w:r>
        <w:rPr>
          <w:rFonts w:hint="eastAsia" w:ascii="宋体" w:hAnsi="宋体" w:eastAsia="宋体" w:cs="宋体"/>
          <w:color w:val="auto"/>
          <w:highlight w:val="none"/>
        </w:rPr>
        <w:t>24.2 任何单位和个人不得非法干预、影响评标办法的确定，以及评标过程和结果。</w:t>
      </w:r>
    </w:p>
    <w:p w14:paraId="16A573DD">
      <w:pPr>
        <w:ind w:firstLine="420"/>
        <w:rPr>
          <w:rFonts w:hint="eastAsia" w:ascii="宋体" w:hAnsi="宋体" w:eastAsia="宋体" w:cs="宋体"/>
          <w:b/>
          <w:color w:val="auto"/>
          <w:highlight w:val="none"/>
        </w:rPr>
      </w:pPr>
      <w:r>
        <w:rPr>
          <w:rFonts w:hint="eastAsia" w:ascii="宋体" w:hAnsi="宋体" w:eastAsia="宋体" w:cs="宋体"/>
          <w:color w:val="auto"/>
          <w:highlight w:val="none"/>
        </w:rPr>
        <w:t>24.3 凡是与审查、澄清、评价和比较投标的有关资料等，均不向供应商及与评标无关的其他人员透露。</w:t>
      </w:r>
    </w:p>
    <w:p w14:paraId="039CD870">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五、签订合同</w:t>
      </w:r>
    </w:p>
    <w:p w14:paraId="3F7E18AE">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25、签订合同</w:t>
      </w:r>
    </w:p>
    <w:p w14:paraId="1292B288">
      <w:pPr>
        <w:ind w:firstLine="420"/>
        <w:rPr>
          <w:rFonts w:hint="eastAsia" w:ascii="宋体" w:hAnsi="宋体" w:eastAsia="宋体" w:cs="宋体"/>
          <w:color w:val="auto"/>
          <w:highlight w:val="none"/>
        </w:rPr>
      </w:pPr>
      <w:r>
        <w:rPr>
          <w:rFonts w:hint="eastAsia" w:ascii="宋体" w:hAnsi="宋体" w:eastAsia="宋体" w:cs="宋体"/>
          <w:color w:val="auto"/>
          <w:highlight w:val="none"/>
        </w:rPr>
        <w:t>25.1 采购人应当自中标通知书发出之日起30日内，按照招标文件和中标人投标文件的规定与中标人签订书面合同。所签订的合同不得对招标文件确定事项和中标人投标文件作实质性修改。</w:t>
      </w:r>
    </w:p>
    <w:p w14:paraId="3ACA2F38">
      <w:pPr>
        <w:ind w:firstLine="420"/>
        <w:rPr>
          <w:rFonts w:hint="eastAsia" w:ascii="宋体" w:hAnsi="宋体" w:eastAsia="宋体" w:cs="宋体"/>
          <w:color w:val="auto"/>
          <w:highlight w:val="none"/>
        </w:rPr>
      </w:pPr>
      <w:r>
        <w:rPr>
          <w:rFonts w:hint="eastAsia" w:ascii="宋体" w:hAnsi="宋体" w:eastAsia="宋体" w:cs="宋体"/>
          <w:color w:val="auto"/>
          <w:highlight w:val="none"/>
        </w:rPr>
        <w:t>25.2采购人不得向中标人提出任何不合理的要求作为签订合同的条件，不得与中标人私下订立背离合同实质性内容的协议。</w:t>
      </w:r>
    </w:p>
    <w:p w14:paraId="1BADB3CC">
      <w:pPr>
        <w:ind w:firstLine="420"/>
        <w:rPr>
          <w:rFonts w:hint="eastAsia" w:ascii="宋体" w:hAnsi="宋体" w:eastAsia="宋体" w:cs="宋体"/>
          <w:color w:val="auto"/>
          <w:highlight w:val="none"/>
        </w:rPr>
      </w:pPr>
      <w:r>
        <w:rPr>
          <w:rFonts w:hint="eastAsia" w:ascii="宋体" w:hAnsi="宋体" w:eastAsia="宋体" w:cs="宋体"/>
          <w:color w:val="auto"/>
          <w:highlight w:val="none"/>
        </w:rPr>
        <w:t>25.3中标人拒绝与采购人签订合同，或因不可抗力或者自身原因不能履行政府采购合同的，采购人可以按照评审报告中的得分高低顺序，确定下一顺序投标人为中标人，也可以重新开展政府采购活动。</w:t>
      </w:r>
    </w:p>
    <w:p w14:paraId="62E02605">
      <w:pPr>
        <w:ind w:firstLine="420"/>
        <w:rPr>
          <w:rFonts w:hint="eastAsia" w:ascii="宋体" w:hAnsi="宋体" w:eastAsia="宋体" w:cs="宋体"/>
          <w:color w:val="auto"/>
          <w:highlight w:val="none"/>
        </w:rPr>
      </w:pPr>
      <w:r>
        <w:rPr>
          <w:rFonts w:hint="eastAsia" w:ascii="宋体" w:hAnsi="宋体" w:eastAsia="宋体" w:cs="宋体"/>
          <w:color w:val="auto"/>
          <w:highlight w:val="none"/>
        </w:rPr>
        <w:t>25.4 采购合同履行中，采购人需追加与合同标的相同货物的，在不改变合同其他条款的前提下，可以与供应商协商签订补充合同，但所有补充合同的采购金额不得超过原合同采购金额的百分之十。</w:t>
      </w:r>
    </w:p>
    <w:p w14:paraId="092DB724">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六、询问、质疑、投诉和诚实信用</w:t>
      </w:r>
    </w:p>
    <w:p w14:paraId="6E292654">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26、询问</w:t>
      </w:r>
    </w:p>
    <w:p w14:paraId="7380FA25">
      <w:pPr>
        <w:ind w:firstLine="420"/>
        <w:rPr>
          <w:rFonts w:hint="eastAsia" w:ascii="宋体" w:hAnsi="宋体" w:eastAsia="宋体" w:cs="宋体"/>
          <w:b/>
          <w:color w:val="auto"/>
          <w:highlight w:val="none"/>
        </w:rPr>
      </w:pPr>
      <w:r>
        <w:rPr>
          <w:rFonts w:hint="eastAsia" w:ascii="宋体" w:hAnsi="宋体" w:eastAsia="宋体" w:cs="宋体"/>
          <w:color w:val="auto"/>
          <w:highlight w:val="none"/>
        </w:rPr>
        <w:t>26.1 供应商对招标活动事项有疑问的，可以向招标代理或采购人提出询问，招标代理或采购人将在两个工作日内作出答复，但答复的内容不涉及商业秘密</w:t>
      </w:r>
      <w:r>
        <w:rPr>
          <w:rFonts w:hint="eastAsia" w:ascii="宋体" w:hAnsi="宋体" w:eastAsia="宋体" w:cs="宋体"/>
          <w:b/>
          <w:color w:val="auto"/>
          <w:highlight w:val="none"/>
        </w:rPr>
        <w:t>。</w:t>
      </w:r>
    </w:p>
    <w:p w14:paraId="42D192D7">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27、质疑</w:t>
      </w:r>
    </w:p>
    <w:p w14:paraId="780E8981">
      <w:pPr>
        <w:ind w:firstLine="420"/>
        <w:rPr>
          <w:rFonts w:hint="eastAsia" w:ascii="宋体" w:hAnsi="宋体" w:eastAsia="宋体" w:cs="宋体"/>
          <w:color w:val="auto"/>
          <w:highlight w:val="none"/>
        </w:rPr>
      </w:pPr>
      <w:r>
        <w:rPr>
          <w:rFonts w:hint="eastAsia" w:ascii="宋体" w:hAnsi="宋体" w:eastAsia="宋体" w:cs="宋体"/>
          <w:color w:val="auto"/>
          <w:highlight w:val="none"/>
        </w:rPr>
        <w:t>27.1 供应商认为采购文件、采购过程和中标结果使自己的合法权益受到损害的，可以在知道或者应当知道其权益受到损害之日起七个工作日内，将质疑文件原件以书面形式送达招标代理。</w:t>
      </w:r>
    </w:p>
    <w:p w14:paraId="5A9FA83B">
      <w:pPr>
        <w:ind w:firstLine="409"/>
        <w:rPr>
          <w:rFonts w:hint="eastAsia" w:ascii="宋体" w:hAnsi="宋体" w:eastAsia="宋体" w:cs="宋体"/>
          <w:color w:val="auto"/>
          <w:highlight w:val="none"/>
        </w:rPr>
      </w:pPr>
      <w:r>
        <w:rPr>
          <w:rFonts w:hint="eastAsia" w:ascii="宋体" w:hAnsi="宋体" w:eastAsia="宋体" w:cs="宋体"/>
          <w:color w:val="auto"/>
          <w:highlight w:val="none"/>
        </w:rPr>
        <w:t>27.2 质疑供应商是指直接参加本次投标活动的供应商，未参加投标活动的供应商或在投标活动中自身权益未受到损害的供应商所提出的质疑不予受理。</w:t>
      </w:r>
    </w:p>
    <w:p w14:paraId="77125757">
      <w:pPr>
        <w:ind w:firstLine="420"/>
        <w:rPr>
          <w:rFonts w:hint="eastAsia" w:ascii="宋体" w:hAnsi="宋体" w:eastAsia="宋体" w:cs="宋体"/>
          <w:color w:val="auto"/>
          <w:highlight w:val="none"/>
        </w:rPr>
      </w:pPr>
      <w:r>
        <w:rPr>
          <w:rFonts w:hint="eastAsia" w:ascii="宋体" w:hAnsi="宋体" w:eastAsia="宋体" w:cs="宋体"/>
          <w:color w:val="auto"/>
          <w:highlight w:val="none"/>
        </w:rPr>
        <w:t>27.3 质疑必须以参加投标供应商法定代表人或授权代表（投标文件中所确定的）原件送达的方式提交，否则，招标代理有权不予受理。</w:t>
      </w:r>
    </w:p>
    <w:p w14:paraId="64142F4E">
      <w:pPr>
        <w:ind w:firstLine="420"/>
        <w:rPr>
          <w:rFonts w:hint="eastAsia" w:ascii="宋体" w:hAnsi="宋体" w:eastAsia="宋体" w:cs="宋体"/>
          <w:color w:val="auto"/>
          <w:highlight w:val="none"/>
        </w:rPr>
      </w:pPr>
      <w:r>
        <w:rPr>
          <w:rFonts w:hint="eastAsia" w:ascii="宋体" w:hAnsi="宋体" w:eastAsia="宋体" w:cs="宋体"/>
          <w:color w:val="auto"/>
          <w:highlight w:val="none"/>
        </w:rPr>
        <w:t>27.4上述应知其权益受到损害之日是指：</w:t>
      </w:r>
    </w:p>
    <w:p w14:paraId="32A20D1F">
      <w:pPr>
        <w:ind w:firstLine="420"/>
        <w:rPr>
          <w:rFonts w:hint="eastAsia" w:ascii="宋体" w:hAnsi="宋体" w:eastAsia="宋体" w:cs="宋体"/>
          <w:color w:val="auto"/>
          <w:highlight w:val="none"/>
        </w:rPr>
      </w:pPr>
      <w:r>
        <w:rPr>
          <w:rFonts w:hint="eastAsia" w:ascii="宋体" w:hAnsi="宋体" w:eastAsia="宋体" w:cs="宋体"/>
          <w:color w:val="auto"/>
          <w:highlight w:val="none"/>
        </w:rPr>
        <w:t>（1）对招标文件提出质疑的，为投标文件公告期限届满之日起计算；</w:t>
      </w:r>
    </w:p>
    <w:p w14:paraId="3382602F">
      <w:pPr>
        <w:ind w:firstLine="420"/>
        <w:rPr>
          <w:rFonts w:hint="eastAsia" w:ascii="宋体" w:hAnsi="宋体" w:eastAsia="宋体" w:cs="宋体"/>
          <w:color w:val="auto"/>
          <w:highlight w:val="none"/>
        </w:rPr>
      </w:pPr>
      <w:r>
        <w:rPr>
          <w:rFonts w:hint="eastAsia" w:ascii="宋体" w:hAnsi="宋体" w:eastAsia="宋体" w:cs="宋体"/>
          <w:color w:val="auto"/>
          <w:highlight w:val="none"/>
        </w:rPr>
        <w:t>（2）对采购过程提出质疑的，自采购程序环节结束之日起计算；</w:t>
      </w:r>
    </w:p>
    <w:p w14:paraId="5BD0E81B">
      <w:pPr>
        <w:ind w:firstLine="420"/>
        <w:rPr>
          <w:rFonts w:hint="eastAsia" w:ascii="宋体" w:hAnsi="宋体" w:eastAsia="宋体" w:cs="宋体"/>
          <w:color w:val="auto"/>
          <w:highlight w:val="none"/>
        </w:rPr>
      </w:pPr>
      <w:r>
        <w:rPr>
          <w:rFonts w:hint="eastAsia" w:ascii="宋体" w:hAnsi="宋体" w:eastAsia="宋体" w:cs="宋体"/>
          <w:color w:val="auto"/>
          <w:highlight w:val="none"/>
        </w:rPr>
        <w:t>（3）对中标结果提出质疑的，自中标结果公告期限届满之日起计算。</w:t>
      </w:r>
    </w:p>
    <w:p w14:paraId="7FD936DA">
      <w:pPr>
        <w:ind w:firstLine="420"/>
        <w:rPr>
          <w:rFonts w:hint="eastAsia" w:ascii="宋体" w:hAnsi="宋体" w:eastAsia="宋体" w:cs="宋体"/>
          <w:color w:val="auto"/>
          <w:highlight w:val="none"/>
        </w:rPr>
      </w:pPr>
      <w:r>
        <w:rPr>
          <w:rFonts w:hint="eastAsia" w:ascii="宋体" w:hAnsi="宋体" w:eastAsia="宋体" w:cs="宋体"/>
          <w:color w:val="auto"/>
          <w:highlight w:val="none"/>
        </w:rPr>
        <w:t>27.5 质疑文件应包括以下主要内容，并按照“谁主张、谁举证”的原则，附上相关证明材料。否则，招标代理或采购人不予受理：</w:t>
      </w:r>
    </w:p>
    <w:p w14:paraId="1D7804C2">
      <w:pPr>
        <w:ind w:left="420"/>
        <w:rPr>
          <w:rFonts w:hint="eastAsia" w:ascii="宋体" w:hAnsi="宋体" w:eastAsia="宋体" w:cs="宋体"/>
          <w:color w:val="auto"/>
          <w:highlight w:val="none"/>
        </w:rPr>
      </w:pPr>
      <w:r>
        <w:rPr>
          <w:rFonts w:hint="eastAsia" w:ascii="宋体" w:hAnsi="宋体" w:eastAsia="宋体" w:cs="宋体"/>
          <w:color w:val="auto"/>
          <w:highlight w:val="none"/>
        </w:rPr>
        <w:t>（1）质疑项目名称、项目编号、包号、招标公告发布时间、开标时间；</w:t>
      </w:r>
    </w:p>
    <w:p w14:paraId="0A63EE74">
      <w:pPr>
        <w:ind w:firstLine="420"/>
        <w:rPr>
          <w:rFonts w:hint="eastAsia" w:ascii="宋体" w:hAnsi="宋体" w:eastAsia="宋体" w:cs="宋体"/>
          <w:color w:val="auto"/>
          <w:highlight w:val="none"/>
        </w:rPr>
      </w:pPr>
      <w:r>
        <w:rPr>
          <w:rFonts w:hint="eastAsia" w:ascii="宋体" w:hAnsi="宋体" w:eastAsia="宋体" w:cs="宋体"/>
          <w:color w:val="auto"/>
          <w:highlight w:val="none"/>
        </w:rPr>
        <w:t>（2）提起质疑的日期、具体的质疑事项及事实根据（具体条款）；</w:t>
      </w:r>
    </w:p>
    <w:p w14:paraId="6AE68D56">
      <w:pPr>
        <w:ind w:firstLine="420"/>
        <w:rPr>
          <w:rFonts w:hint="eastAsia" w:ascii="宋体" w:hAnsi="宋体" w:eastAsia="宋体" w:cs="宋体"/>
          <w:color w:val="auto"/>
          <w:highlight w:val="none"/>
        </w:rPr>
      </w:pPr>
      <w:r>
        <w:rPr>
          <w:rFonts w:hint="eastAsia" w:ascii="宋体" w:hAnsi="宋体" w:eastAsia="宋体" w:cs="宋体"/>
          <w:color w:val="auto"/>
          <w:highlight w:val="none"/>
        </w:rPr>
        <w:t>（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060D5A29">
      <w:pPr>
        <w:ind w:firstLine="420"/>
        <w:rPr>
          <w:rFonts w:hint="eastAsia" w:ascii="宋体" w:hAnsi="宋体" w:eastAsia="宋体" w:cs="宋体"/>
          <w:color w:val="auto"/>
          <w:highlight w:val="none"/>
        </w:rPr>
      </w:pPr>
      <w:r>
        <w:rPr>
          <w:rFonts w:hint="eastAsia" w:ascii="宋体" w:hAnsi="宋体" w:eastAsia="宋体" w:cs="宋体"/>
          <w:color w:val="auto"/>
          <w:highlight w:val="none"/>
        </w:rPr>
        <w:t>（4）质疑供应商名称、地址、邮编、联系人、联系电话（包括座机、手机、传真号码等）；</w:t>
      </w:r>
    </w:p>
    <w:p w14:paraId="7A916A82">
      <w:pPr>
        <w:ind w:firstLine="420"/>
        <w:rPr>
          <w:rFonts w:hint="eastAsia" w:ascii="宋体" w:hAnsi="宋体" w:eastAsia="宋体" w:cs="宋体"/>
          <w:color w:val="auto"/>
          <w:highlight w:val="none"/>
        </w:rPr>
      </w:pPr>
      <w:r>
        <w:rPr>
          <w:rFonts w:hint="eastAsia" w:ascii="宋体" w:hAnsi="宋体" w:eastAsia="宋体" w:cs="宋体"/>
          <w:color w:val="auto"/>
          <w:highlight w:val="none"/>
        </w:rPr>
        <w:t>（5）质疑文件应当署名，质疑人为自然人的，应当由本人签字并附有效身份证明；质疑人为法人或其他组织的，应当由法定代表人签字并加盖单位公章。</w:t>
      </w:r>
    </w:p>
    <w:p w14:paraId="6A62664F">
      <w:pPr>
        <w:ind w:firstLine="420"/>
        <w:rPr>
          <w:rFonts w:hint="eastAsia" w:ascii="宋体" w:hAnsi="宋体" w:eastAsia="宋体" w:cs="宋体"/>
          <w:color w:val="auto"/>
          <w:highlight w:val="none"/>
        </w:rPr>
      </w:pPr>
      <w:r>
        <w:rPr>
          <w:rFonts w:hint="eastAsia" w:ascii="宋体" w:hAnsi="宋体" w:eastAsia="宋体" w:cs="宋体"/>
          <w:color w:val="auto"/>
          <w:highlight w:val="none"/>
        </w:rPr>
        <w:t>（6）供应商委托代理质疑的，应当向被质疑人提交授权委托书，并载明委托代理的具体权限和事项。</w:t>
      </w:r>
    </w:p>
    <w:p w14:paraId="31E553EC">
      <w:pPr>
        <w:ind w:firstLine="420"/>
        <w:rPr>
          <w:rFonts w:hint="eastAsia" w:ascii="宋体" w:hAnsi="宋体" w:eastAsia="宋体" w:cs="宋体"/>
          <w:color w:val="auto"/>
          <w:highlight w:val="none"/>
        </w:rPr>
      </w:pPr>
      <w:r>
        <w:rPr>
          <w:rFonts w:hint="eastAsia" w:ascii="宋体" w:hAnsi="宋体" w:eastAsia="宋体" w:cs="宋体"/>
          <w:color w:val="auto"/>
          <w:highlight w:val="none"/>
        </w:rPr>
        <w:t>27.6 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p>
    <w:p w14:paraId="63F2FA28">
      <w:pPr>
        <w:ind w:firstLine="420"/>
        <w:rPr>
          <w:rFonts w:hint="eastAsia" w:ascii="宋体" w:hAnsi="宋体" w:eastAsia="宋体" w:cs="宋体"/>
          <w:color w:val="auto"/>
          <w:highlight w:val="none"/>
        </w:rPr>
      </w:pPr>
      <w:r>
        <w:rPr>
          <w:rFonts w:hint="eastAsia" w:ascii="宋体" w:hAnsi="宋体" w:eastAsia="宋体" w:cs="宋体"/>
          <w:b/>
          <w:color w:val="auto"/>
          <w:highlight w:val="none"/>
        </w:rPr>
        <w:t>28、投诉</w:t>
      </w:r>
    </w:p>
    <w:p w14:paraId="23D847F6">
      <w:pPr>
        <w:ind w:firstLine="420"/>
        <w:rPr>
          <w:rFonts w:hint="eastAsia" w:ascii="宋体" w:hAnsi="宋体" w:eastAsia="宋体" w:cs="宋体"/>
          <w:color w:val="auto"/>
          <w:highlight w:val="none"/>
        </w:rPr>
      </w:pPr>
      <w:r>
        <w:rPr>
          <w:rFonts w:hint="eastAsia" w:ascii="宋体" w:hAnsi="宋体" w:eastAsia="宋体" w:cs="宋体"/>
          <w:color w:val="auto"/>
          <w:highlight w:val="none"/>
        </w:rPr>
        <w:t>28.1质疑供应商对招标代理的答复不满意，或招标代理未在规定的时间内作出答复的，可以在答复期满后</w:t>
      </w:r>
      <w:r>
        <w:rPr>
          <w:rFonts w:hint="eastAsia" w:ascii="宋体" w:hAnsi="宋体" w:eastAsia="宋体" w:cs="宋体"/>
          <w:b/>
          <w:color w:val="auto"/>
          <w:highlight w:val="none"/>
        </w:rPr>
        <w:t>十五个工作日内</w:t>
      </w:r>
      <w:r>
        <w:rPr>
          <w:rFonts w:hint="eastAsia" w:ascii="宋体" w:hAnsi="宋体" w:eastAsia="宋体" w:cs="宋体"/>
          <w:color w:val="auto"/>
          <w:highlight w:val="none"/>
        </w:rPr>
        <w:t>向采购项目同级财政部门投诉。</w:t>
      </w:r>
    </w:p>
    <w:p w14:paraId="695A3EAB">
      <w:pPr>
        <w:ind w:firstLine="420"/>
        <w:rPr>
          <w:rFonts w:hint="eastAsia" w:ascii="宋体" w:hAnsi="宋体" w:eastAsia="宋体" w:cs="宋体"/>
          <w:b/>
          <w:color w:val="auto"/>
          <w:highlight w:val="none"/>
        </w:rPr>
      </w:pPr>
      <w:r>
        <w:rPr>
          <w:rFonts w:hint="eastAsia" w:ascii="宋体" w:hAnsi="宋体" w:eastAsia="宋体" w:cs="宋体"/>
          <w:b/>
          <w:color w:val="auto"/>
          <w:highlight w:val="none"/>
        </w:rPr>
        <w:t>29、诚实信用</w:t>
      </w:r>
    </w:p>
    <w:p w14:paraId="6DC500C8">
      <w:pPr>
        <w:ind w:firstLine="420"/>
        <w:rPr>
          <w:rFonts w:hint="eastAsia" w:ascii="宋体" w:hAnsi="宋体" w:eastAsia="宋体" w:cs="宋体"/>
          <w:color w:val="auto"/>
          <w:highlight w:val="none"/>
        </w:rPr>
      </w:pPr>
      <w:r>
        <w:rPr>
          <w:rFonts w:hint="eastAsia" w:ascii="宋体" w:hAnsi="宋体" w:eastAsia="宋体" w:cs="宋体"/>
          <w:color w:val="auto"/>
          <w:highlight w:val="none"/>
        </w:rPr>
        <w:t>29.1 供应商之间不得相互串通投标报价，不得妨碍其他供应商的公平竞争，不得损害采购人和其他供应商的合法权益。</w:t>
      </w:r>
    </w:p>
    <w:p w14:paraId="74488872">
      <w:pPr>
        <w:ind w:firstLine="420"/>
        <w:rPr>
          <w:rFonts w:hint="eastAsia" w:ascii="宋体" w:hAnsi="宋体" w:eastAsia="宋体" w:cs="宋体"/>
          <w:color w:val="auto"/>
          <w:highlight w:val="none"/>
        </w:rPr>
      </w:pPr>
      <w:r>
        <w:rPr>
          <w:rFonts w:hint="eastAsia" w:ascii="宋体" w:hAnsi="宋体" w:eastAsia="宋体" w:cs="宋体"/>
          <w:color w:val="auto"/>
          <w:highlight w:val="none"/>
        </w:rPr>
        <w:t>29.2 供应商不得以向招标代理工作人员、评标委员会成员行贿或者采取其他不正当手段谋取中标。经查实供应商有此行为的，政府采购管理部门将供应商列入不良行为记录名单，按照《政府采购法》有关规定处理。</w:t>
      </w:r>
    </w:p>
    <w:p w14:paraId="564D3E26">
      <w:pPr>
        <w:ind w:firstLine="420"/>
        <w:rPr>
          <w:rFonts w:hint="eastAsia" w:ascii="宋体" w:hAnsi="宋体" w:eastAsia="宋体" w:cs="宋体"/>
          <w:color w:val="auto"/>
          <w:highlight w:val="none"/>
        </w:rPr>
      </w:pPr>
      <w:r>
        <w:rPr>
          <w:rFonts w:hint="eastAsia" w:ascii="宋体" w:hAnsi="宋体" w:eastAsia="宋体" w:cs="宋体"/>
          <w:color w:val="auto"/>
          <w:highlight w:val="none"/>
        </w:rPr>
        <w:t>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1402DCEF">
      <w:pPr>
        <w:ind w:firstLine="420"/>
        <w:rPr>
          <w:rFonts w:hint="eastAsia" w:ascii="宋体" w:hAnsi="宋体" w:eastAsia="宋体" w:cs="宋体"/>
          <w:color w:val="auto"/>
          <w:highlight w:val="none"/>
        </w:rPr>
      </w:pPr>
      <w:r>
        <w:rPr>
          <w:rFonts w:hint="eastAsia" w:ascii="宋体" w:hAnsi="宋体" w:eastAsia="宋体" w:cs="宋体"/>
          <w:color w:val="auto"/>
          <w:highlight w:val="none"/>
        </w:rPr>
        <w:t>29.4 供应商不得虚假承诺，否则，按照提供虚假材料谋取中标成交处理。</w:t>
      </w:r>
    </w:p>
    <w:p w14:paraId="170924E3">
      <w:pPr>
        <w:ind w:firstLine="420"/>
        <w:rPr>
          <w:rFonts w:hint="eastAsia" w:ascii="宋体" w:hAnsi="宋体" w:eastAsia="宋体" w:cs="宋体"/>
          <w:color w:val="auto"/>
          <w:highlight w:val="none"/>
        </w:rPr>
      </w:pPr>
      <w:r>
        <w:rPr>
          <w:rFonts w:hint="eastAsia" w:ascii="宋体" w:hAnsi="宋体" w:eastAsia="宋体" w:cs="宋体"/>
          <w:color w:val="auto"/>
          <w:highlight w:val="none"/>
        </w:rPr>
        <w:t>29.5 供应商应自觉遵守开标、评标纪律，扰乱开标评标现场秩序的，属于失信行为，失信行为将被记入供应商诚信档案</w:t>
      </w:r>
    </w:p>
    <w:p w14:paraId="5E941862">
      <w:pPr>
        <w:widowControl/>
        <w:jc w:val="center"/>
        <w:rPr>
          <w:rFonts w:hint="eastAsia" w:ascii="宋体" w:hAnsi="宋体" w:eastAsia="宋体" w:cs="宋体"/>
          <w:b/>
          <w:color w:val="auto"/>
          <w:sz w:val="36"/>
          <w:highlight w:val="none"/>
        </w:rPr>
      </w:pPr>
    </w:p>
    <w:p w14:paraId="7FFB7851">
      <w:pPr>
        <w:pStyle w:val="7"/>
        <w:rPr>
          <w:rFonts w:hint="eastAsia" w:ascii="宋体" w:hAnsi="宋体" w:eastAsia="宋体" w:cs="宋体"/>
          <w:b/>
          <w:color w:val="auto"/>
          <w:sz w:val="36"/>
          <w:highlight w:val="none"/>
        </w:rPr>
      </w:pPr>
    </w:p>
    <w:p w14:paraId="5FF8F395">
      <w:pPr>
        <w:widowControl/>
        <w:jc w:val="left"/>
        <w:rPr>
          <w:rFonts w:hint="eastAsia" w:ascii="宋体" w:hAnsi="宋体" w:eastAsia="宋体" w:cs="宋体"/>
          <w:b/>
          <w:color w:val="auto"/>
          <w:kern w:val="0"/>
          <w:sz w:val="36"/>
          <w:szCs w:val="24"/>
          <w:highlight w:val="none"/>
        </w:rPr>
      </w:pPr>
      <w:r>
        <w:rPr>
          <w:rFonts w:hint="eastAsia" w:ascii="宋体" w:hAnsi="宋体" w:eastAsia="宋体" w:cs="宋体"/>
          <w:b/>
          <w:color w:val="auto"/>
          <w:sz w:val="36"/>
          <w:highlight w:val="none"/>
        </w:rPr>
        <w:br w:type="page"/>
      </w:r>
    </w:p>
    <w:p w14:paraId="05BF8988">
      <w:pPr>
        <w:jc w:val="center"/>
        <w:outlineLvl w:val="0"/>
        <w:rPr>
          <w:rFonts w:hint="eastAsia" w:ascii="宋体" w:hAnsi="宋体" w:eastAsia="宋体" w:cs="宋体"/>
          <w:color w:val="auto"/>
          <w:sz w:val="36"/>
          <w:szCs w:val="36"/>
          <w:highlight w:val="none"/>
          <w:lang w:val="zh-CN"/>
        </w:rPr>
      </w:pPr>
      <w:bookmarkStart w:id="5" w:name="_Toc17016"/>
      <w:r>
        <w:rPr>
          <w:rFonts w:hint="eastAsia" w:ascii="宋体" w:hAnsi="宋体" w:eastAsia="宋体" w:cs="宋体"/>
          <w:color w:val="auto"/>
          <w:sz w:val="36"/>
          <w:szCs w:val="36"/>
          <w:highlight w:val="none"/>
          <w:lang w:val="zh-CN"/>
        </w:rPr>
        <w:t>第三章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val="zh-CN"/>
        </w:rPr>
        <w:t>评标标准</w:t>
      </w:r>
      <w:bookmarkEnd w:id="5"/>
    </w:p>
    <w:p w14:paraId="5F809516">
      <w:pPr>
        <w:pStyle w:val="38"/>
        <w:rPr>
          <w:rFonts w:hint="eastAsia" w:ascii="宋体" w:hAnsi="宋体" w:eastAsia="宋体" w:cs="宋体"/>
          <w:color w:val="auto"/>
          <w:highlight w:val="none"/>
        </w:rPr>
      </w:pPr>
    </w:p>
    <w:p w14:paraId="2F9263EA">
      <w:pPr>
        <w:pStyle w:val="38"/>
        <w:spacing w:line="360" w:lineRule="auto"/>
        <w:ind w:left="223" w:right="272" w:firstLine="0" w:firstLineChars="0"/>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3.1资格审查：</w:t>
      </w:r>
    </w:p>
    <w:tbl>
      <w:tblPr>
        <w:tblStyle w:val="25"/>
        <w:tblW w:w="500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34"/>
        <w:gridCol w:w="3087"/>
        <w:gridCol w:w="3185"/>
        <w:gridCol w:w="1000"/>
        <w:gridCol w:w="926"/>
        <w:gridCol w:w="926"/>
      </w:tblGrid>
      <w:tr w14:paraId="060E7A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vMerge w:val="restart"/>
            <w:noWrap w:val="0"/>
            <w:vAlign w:val="center"/>
          </w:tcPr>
          <w:p w14:paraId="769569BE">
            <w:pPr>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84" w:type="dxa"/>
            <w:vMerge w:val="restart"/>
            <w:noWrap w:val="0"/>
            <w:vAlign w:val="center"/>
          </w:tcPr>
          <w:p w14:paraId="60E0F2BB">
            <w:pPr>
              <w:jc w:val="center"/>
              <w:rPr>
                <w:rFonts w:hint="eastAsia" w:ascii="宋体" w:hAnsi="宋体" w:eastAsia="宋体" w:cs="宋体"/>
                <w:color w:val="auto"/>
                <w:highlight w:val="none"/>
              </w:rPr>
            </w:pPr>
            <w:r>
              <w:rPr>
                <w:rFonts w:hint="eastAsia" w:ascii="宋体" w:hAnsi="宋体" w:eastAsia="宋体" w:cs="宋体"/>
                <w:color w:val="auto"/>
                <w:highlight w:val="none"/>
              </w:rPr>
              <w:t>审查因素</w:t>
            </w:r>
          </w:p>
        </w:tc>
        <w:tc>
          <w:tcPr>
            <w:tcW w:w="3182" w:type="dxa"/>
            <w:vMerge w:val="restart"/>
            <w:noWrap w:val="0"/>
            <w:vAlign w:val="center"/>
          </w:tcPr>
          <w:p w14:paraId="0334042C">
            <w:pPr>
              <w:jc w:val="center"/>
              <w:rPr>
                <w:rFonts w:hint="eastAsia" w:ascii="宋体" w:hAnsi="宋体" w:eastAsia="宋体" w:cs="宋体"/>
                <w:color w:val="auto"/>
                <w:highlight w:val="none"/>
              </w:rPr>
            </w:pPr>
            <w:r>
              <w:rPr>
                <w:rFonts w:hint="eastAsia" w:ascii="宋体" w:hAnsi="宋体" w:eastAsia="宋体" w:cs="宋体"/>
                <w:color w:val="auto"/>
                <w:highlight w:val="none"/>
              </w:rPr>
              <w:t>审查标准</w:t>
            </w:r>
          </w:p>
        </w:tc>
        <w:tc>
          <w:tcPr>
            <w:tcW w:w="2849" w:type="dxa"/>
            <w:gridSpan w:val="3"/>
            <w:noWrap w:val="0"/>
            <w:vAlign w:val="center"/>
          </w:tcPr>
          <w:p w14:paraId="74BF2287">
            <w:pPr>
              <w:jc w:val="center"/>
              <w:rPr>
                <w:rFonts w:hint="eastAsia" w:ascii="宋体" w:hAnsi="宋体" w:eastAsia="宋体" w:cs="宋体"/>
                <w:color w:val="auto"/>
                <w:highlight w:val="none"/>
              </w:rPr>
            </w:pPr>
            <w:r>
              <w:rPr>
                <w:rFonts w:hint="eastAsia" w:ascii="宋体" w:hAnsi="宋体" w:eastAsia="宋体" w:cs="宋体"/>
                <w:color w:val="auto"/>
                <w:highlight w:val="none"/>
              </w:rPr>
              <w:t>供应商名称及审查意见</w:t>
            </w:r>
          </w:p>
        </w:tc>
      </w:tr>
      <w:tr w14:paraId="71F966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vMerge w:val="continue"/>
            <w:tcBorders>
              <w:top w:val="nil"/>
            </w:tcBorders>
            <w:noWrap w:val="0"/>
            <w:vAlign w:val="center"/>
          </w:tcPr>
          <w:p w14:paraId="796B8280">
            <w:pPr>
              <w:jc w:val="center"/>
              <w:rPr>
                <w:rFonts w:hint="eastAsia" w:ascii="宋体" w:hAnsi="宋体" w:eastAsia="宋体" w:cs="宋体"/>
                <w:color w:val="auto"/>
                <w:highlight w:val="none"/>
              </w:rPr>
            </w:pPr>
          </w:p>
        </w:tc>
        <w:tc>
          <w:tcPr>
            <w:tcW w:w="3084" w:type="dxa"/>
            <w:vMerge w:val="continue"/>
            <w:tcBorders>
              <w:top w:val="nil"/>
            </w:tcBorders>
            <w:noWrap w:val="0"/>
            <w:vAlign w:val="center"/>
          </w:tcPr>
          <w:p w14:paraId="0B31EF1B">
            <w:pPr>
              <w:jc w:val="center"/>
              <w:rPr>
                <w:rFonts w:hint="eastAsia" w:ascii="宋体" w:hAnsi="宋体" w:eastAsia="宋体" w:cs="宋体"/>
                <w:color w:val="auto"/>
                <w:highlight w:val="none"/>
              </w:rPr>
            </w:pPr>
          </w:p>
        </w:tc>
        <w:tc>
          <w:tcPr>
            <w:tcW w:w="3182" w:type="dxa"/>
            <w:vMerge w:val="continue"/>
            <w:tcBorders>
              <w:top w:val="nil"/>
            </w:tcBorders>
            <w:noWrap w:val="0"/>
            <w:vAlign w:val="center"/>
          </w:tcPr>
          <w:p w14:paraId="17651AD3">
            <w:pPr>
              <w:jc w:val="center"/>
              <w:rPr>
                <w:rFonts w:hint="eastAsia" w:ascii="宋体" w:hAnsi="宋体" w:eastAsia="宋体" w:cs="宋体"/>
                <w:color w:val="auto"/>
                <w:highlight w:val="none"/>
              </w:rPr>
            </w:pPr>
          </w:p>
        </w:tc>
        <w:tc>
          <w:tcPr>
            <w:tcW w:w="999" w:type="dxa"/>
            <w:noWrap w:val="0"/>
            <w:vAlign w:val="center"/>
          </w:tcPr>
          <w:p w14:paraId="0C3E7175">
            <w:pPr>
              <w:rPr>
                <w:rFonts w:hint="eastAsia" w:ascii="宋体" w:hAnsi="宋体" w:eastAsia="宋体" w:cs="宋体"/>
                <w:color w:val="auto"/>
                <w:highlight w:val="none"/>
              </w:rPr>
            </w:pPr>
          </w:p>
        </w:tc>
        <w:tc>
          <w:tcPr>
            <w:tcW w:w="925" w:type="dxa"/>
            <w:noWrap w:val="0"/>
            <w:vAlign w:val="center"/>
          </w:tcPr>
          <w:p w14:paraId="31D84A61">
            <w:pPr>
              <w:rPr>
                <w:rFonts w:hint="eastAsia" w:ascii="宋体" w:hAnsi="宋体" w:eastAsia="宋体" w:cs="宋体"/>
                <w:color w:val="auto"/>
                <w:highlight w:val="none"/>
              </w:rPr>
            </w:pPr>
          </w:p>
        </w:tc>
        <w:tc>
          <w:tcPr>
            <w:tcW w:w="925" w:type="dxa"/>
            <w:noWrap w:val="0"/>
            <w:vAlign w:val="center"/>
          </w:tcPr>
          <w:p w14:paraId="62CF406D">
            <w:pPr>
              <w:rPr>
                <w:rFonts w:hint="eastAsia" w:ascii="宋体" w:hAnsi="宋体" w:eastAsia="宋体" w:cs="宋体"/>
                <w:color w:val="auto"/>
                <w:highlight w:val="none"/>
              </w:rPr>
            </w:pPr>
          </w:p>
        </w:tc>
      </w:tr>
      <w:tr w14:paraId="270F8C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533" w:type="dxa"/>
            <w:noWrap w:val="0"/>
            <w:vAlign w:val="center"/>
          </w:tcPr>
          <w:p w14:paraId="73378D0A">
            <w:pPr>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084" w:type="dxa"/>
            <w:noWrap w:val="0"/>
            <w:vAlign w:val="center"/>
          </w:tcPr>
          <w:p w14:paraId="609105E5">
            <w:pPr>
              <w:jc w:val="left"/>
              <w:rPr>
                <w:rFonts w:hint="eastAsia" w:ascii="宋体" w:hAnsi="宋体" w:eastAsia="宋体" w:cs="宋体"/>
                <w:color w:val="auto"/>
                <w:highlight w:val="none"/>
              </w:rPr>
            </w:pPr>
            <w:r>
              <w:rPr>
                <w:rFonts w:hint="eastAsia" w:ascii="宋体" w:hAnsi="宋体" w:eastAsia="宋体" w:cs="宋体"/>
                <w:color w:val="auto"/>
                <w:highlight w:val="none"/>
              </w:rPr>
              <w:t>具有独立承担民事责任的能力</w:t>
            </w:r>
          </w:p>
        </w:tc>
        <w:tc>
          <w:tcPr>
            <w:tcW w:w="3182" w:type="dxa"/>
            <w:noWrap w:val="0"/>
            <w:vAlign w:val="center"/>
          </w:tcPr>
          <w:p w14:paraId="56B54A19">
            <w:pPr>
              <w:jc w:val="left"/>
              <w:rPr>
                <w:rFonts w:hint="eastAsia" w:ascii="宋体" w:hAnsi="宋体" w:eastAsia="宋体" w:cs="宋体"/>
                <w:color w:val="auto"/>
                <w:highlight w:val="none"/>
              </w:rPr>
            </w:pPr>
            <w:r>
              <w:rPr>
                <w:rFonts w:hint="eastAsia" w:ascii="宋体" w:hAnsi="宋体" w:eastAsia="宋体" w:cs="宋体"/>
                <w:color w:val="auto"/>
                <w:highlight w:val="none"/>
              </w:rPr>
              <w:t>提供法人或者其他组织的营业执照，自然人的身份证</w:t>
            </w:r>
          </w:p>
        </w:tc>
        <w:tc>
          <w:tcPr>
            <w:tcW w:w="999" w:type="dxa"/>
            <w:noWrap w:val="0"/>
            <w:vAlign w:val="center"/>
          </w:tcPr>
          <w:p w14:paraId="15ED297B">
            <w:pPr>
              <w:rPr>
                <w:rFonts w:hint="eastAsia" w:ascii="宋体" w:hAnsi="宋体" w:eastAsia="宋体" w:cs="宋体"/>
                <w:color w:val="auto"/>
                <w:highlight w:val="none"/>
              </w:rPr>
            </w:pPr>
          </w:p>
        </w:tc>
        <w:tc>
          <w:tcPr>
            <w:tcW w:w="925" w:type="dxa"/>
            <w:noWrap w:val="0"/>
            <w:vAlign w:val="center"/>
          </w:tcPr>
          <w:p w14:paraId="3E8F503B">
            <w:pPr>
              <w:rPr>
                <w:rFonts w:hint="eastAsia" w:ascii="宋体" w:hAnsi="宋体" w:eastAsia="宋体" w:cs="宋体"/>
                <w:color w:val="auto"/>
                <w:highlight w:val="none"/>
              </w:rPr>
            </w:pPr>
          </w:p>
        </w:tc>
        <w:tc>
          <w:tcPr>
            <w:tcW w:w="925" w:type="dxa"/>
            <w:noWrap w:val="0"/>
            <w:vAlign w:val="center"/>
          </w:tcPr>
          <w:p w14:paraId="1ADE0627">
            <w:pPr>
              <w:rPr>
                <w:rFonts w:hint="eastAsia" w:ascii="宋体" w:hAnsi="宋体" w:eastAsia="宋体" w:cs="宋体"/>
                <w:color w:val="auto"/>
                <w:highlight w:val="none"/>
              </w:rPr>
            </w:pPr>
          </w:p>
        </w:tc>
      </w:tr>
      <w:tr w14:paraId="5FFF67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533" w:type="dxa"/>
            <w:noWrap w:val="0"/>
            <w:vAlign w:val="center"/>
          </w:tcPr>
          <w:p w14:paraId="16656554">
            <w:pPr>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084" w:type="dxa"/>
            <w:noWrap w:val="0"/>
            <w:vAlign w:val="center"/>
          </w:tcPr>
          <w:p w14:paraId="3CE055AE">
            <w:pPr>
              <w:jc w:val="left"/>
              <w:rPr>
                <w:rFonts w:hint="eastAsia" w:ascii="宋体" w:hAnsi="宋体" w:eastAsia="宋体" w:cs="宋体"/>
                <w:color w:val="auto"/>
                <w:highlight w:val="none"/>
              </w:rPr>
            </w:pPr>
            <w:r>
              <w:rPr>
                <w:rFonts w:hint="eastAsia" w:ascii="宋体" w:hAnsi="宋体" w:eastAsia="宋体" w:cs="宋体"/>
                <w:color w:val="auto"/>
                <w:highlight w:val="none"/>
              </w:rPr>
              <w:t>具有良好的商业信誉和健全的财务会计制度</w:t>
            </w:r>
          </w:p>
        </w:tc>
        <w:tc>
          <w:tcPr>
            <w:tcW w:w="3182" w:type="dxa"/>
            <w:noWrap w:val="0"/>
            <w:vAlign w:val="center"/>
          </w:tcPr>
          <w:p w14:paraId="37599BA6">
            <w:pPr>
              <w:rPr>
                <w:rFonts w:hint="eastAsia" w:ascii="宋体" w:hAnsi="宋体" w:eastAsia="宋体" w:cs="宋体"/>
                <w:color w:val="auto"/>
                <w:highlight w:val="none"/>
              </w:rPr>
            </w:pPr>
            <w:r>
              <w:rPr>
                <w:rFonts w:hint="eastAsia" w:ascii="宋体" w:hAnsi="宋体" w:eastAsia="宋体" w:cs="宋体"/>
                <w:color w:val="auto"/>
                <w:highlight w:val="none"/>
              </w:rPr>
              <w:t>提供参加本次政府采购活动上一年度的财务报表，或本次政府采购活动截止时间前六个月内银行出具的资信证明，或财政部门认可的政府采购专业担保机构出具的投标担保函。成立不满一年无需提供。</w:t>
            </w:r>
          </w:p>
        </w:tc>
        <w:tc>
          <w:tcPr>
            <w:tcW w:w="999" w:type="dxa"/>
            <w:noWrap w:val="0"/>
            <w:vAlign w:val="center"/>
          </w:tcPr>
          <w:p w14:paraId="66ADDCF2">
            <w:pPr>
              <w:rPr>
                <w:rFonts w:hint="eastAsia" w:ascii="宋体" w:hAnsi="宋体" w:eastAsia="宋体" w:cs="宋体"/>
                <w:color w:val="auto"/>
                <w:highlight w:val="none"/>
              </w:rPr>
            </w:pPr>
          </w:p>
        </w:tc>
        <w:tc>
          <w:tcPr>
            <w:tcW w:w="925" w:type="dxa"/>
            <w:noWrap w:val="0"/>
            <w:vAlign w:val="center"/>
          </w:tcPr>
          <w:p w14:paraId="7CE6BA71">
            <w:pPr>
              <w:rPr>
                <w:rFonts w:hint="eastAsia" w:ascii="宋体" w:hAnsi="宋体" w:eastAsia="宋体" w:cs="宋体"/>
                <w:color w:val="auto"/>
                <w:highlight w:val="none"/>
              </w:rPr>
            </w:pPr>
          </w:p>
        </w:tc>
        <w:tc>
          <w:tcPr>
            <w:tcW w:w="925" w:type="dxa"/>
            <w:noWrap w:val="0"/>
            <w:vAlign w:val="center"/>
          </w:tcPr>
          <w:p w14:paraId="06B75426">
            <w:pPr>
              <w:rPr>
                <w:rFonts w:hint="eastAsia" w:ascii="宋体" w:hAnsi="宋体" w:eastAsia="宋体" w:cs="宋体"/>
                <w:color w:val="auto"/>
                <w:highlight w:val="none"/>
              </w:rPr>
            </w:pPr>
          </w:p>
        </w:tc>
      </w:tr>
      <w:tr w14:paraId="74478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65F33E6B">
            <w:pPr>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084" w:type="dxa"/>
            <w:noWrap w:val="0"/>
            <w:vAlign w:val="center"/>
          </w:tcPr>
          <w:p w14:paraId="304964F7">
            <w:pPr>
              <w:jc w:val="left"/>
              <w:rPr>
                <w:rFonts w:hint="eastAsia" w:ascii="宋体" w:hAnsi="宋体" w:eastAsia="宋体" w:cs="宋体"/>
                <w:color w:val="auto"/>
                <w:highlight w:val="none"/>
              </w:rPr>
            </w:pPr>
            <w:r>
              <w:rPr>
                <w:rFonts w:hint="eastAsia" w:ascii="宋体" w:hAnsi="宋体" w:eastAsia="宋体" w:cs="宋体"/>
                <w:color w:val="auto"/>
                <w:highlight w:val="none"/>
              </w:rPr>
              <w:t>具有履行合同所必需的设备和专业技术能力</w:t>
            </w:r>
          </w:p>
        </w:tc>
        <w:tc>
          <w:tcPr>
            <w:tcW w:w="3182" w:type="dxa"/>
            <w:noWrap w:val="0"/>
            <w:vAlign w:val="center"/>
          </w:tcPr>
          <w:p w14:paraId="60D0D946">
            <w:pPr>
              <w:rPr>
                <w:rFonts w:hint="eastAsia" w:ascii="宋体" w:hAnsi="宋体" w:eastAsia="宋体" w:cs="宋体"/>
                <w:color w:val="auto"/>
                <w:highlight w:val="none"/>
              </w:rPr>
            </w:pPr>
            <w:r>
              <w:rPr>
                <w:rFonts w:hint="eastAsia" w:ascii="宋体" w:hAnsi="宋体" w:eastAsia="宋体" w:cs="宋体"/>
                <w:color w:val="auto"/>
                <w:highlight w:val="none"/>
              </w:rPr>
              <w:t>根据项目需求提供履行合同所必需的设备和专业技术能力的证明材料或相关加盖公章的声明函</w:t>
            </w:r>
          </w:p>
        </w:tc>
        <w:tc>
          <w:tcPr>
            <w:tcW w:w="999" w:type="dxa"/>
            <w:noWrap w:val="0"/>
            <w:vAlign w:val="center"/>
          </w:tcPr>
          <w:p w14:paraId="30B74788">
            <w:pPr>
              <w:rPr>
                <w:rFonts w:hint="eastAsia" w:ascii="宋体" w:hAnsi="宋体" w:eastAsia="宋体" w:cs="宋体"/>
                <w:color w:val="auto"/>
                <w:highlight w:val="none"/>
              </w:rPr>
            </w:pPr>
          </w:p>
        </w:tc>
        <w:tc>
          <w:tcPr>
            <w:tcW w:w="925" w:type="dxa"/>
            <w:noWrap w:val="0"/>
            <w:vAlign w:val="center"/>
          </w:tcPr>
          <w:p w14:paraId="2B6D8351">
            <w:pPr>
              <w:rPr>
                <w:rFonts w:hint="eastAsia" w:ascii="宋体" w:hAnsi="宋体" w:eastAsia="宋体" w:cs="宋体"/>
                <w:color w:val="auto"/>
                <w:highlight w:val="none"/>
              </w:rPr>
            </w:pPr>
          </w:p>
        </w:tc>
        <w:tc>
          <w:tcPr>
            <w:tcW w:w="925" w:type="dxa"/>
            <w:noWrap w:val="0"/>
            <w:vAlign w:val="center"/>
          </w:tcPr>
          <w:p w14:paraId="0BBDEE0A">
            <w:pPr>
              <w:rPr>
                <w:rFonts w:hint="eastAsia" w:ascii="宋体" w:hAnsi="宋体" w:eastAsia="宋体" w:cs="宋体"/>
                <w:color w:val="auto"/>
                <w:highlight w:val="none"/>
              </w:rPr>
            </w:pPr>
          </w:p>
        </w:tc>
      </w:tr>
      <w:tr w14:paraId="0FC81E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76AA38F8">
            <w:pPr>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084" w:type="dxa"/>
            <w:noWrap w:val="0"/>
            <w:vAlign w:val="center"/>
          </w:tcPr>
          <w:p w14:paraId="0ADE2F45">
            <w:pPr>
              <w:jc w:val="left"/>
              <w:rPr>
                <w:rFonts w:hint="eastAsia" w:ascii="宋体" w:hAnsi="宋体" w:eastAsia="宋体" w:cs="宋体"/>
                <w:color w:val="auto"/>
                <w:highlight w:val="none"/>
              </w:rPr>
            </w:pPr>
            <w:r>
              <w:rPr>
                <w:rFonts w:hint="eastAsia" w:ascii="宋体" w:hAnsi="宋体" w:eastAsia="宋体" w:cs="宋体"/>
                <w:color w:val="auto"/>
                <w:highlight w:val="none"/>
              </w:rPr>
              <w:t>有依法缴纳税收和社会保障资金的良好记录</w:t>
            </w:r>
          </w:p>
        </w:tc>
        <w:tc>
          <w:tcPr>
            <w:tcW w:w="3182" w:type="dxa"/>
            <w:noWrap w:val="0"/>
            <w:vAlign w:val="center"/>
          </w:tcPr>
          <w:p w14:paraId="584C3180">
            <w:pPr>
              <w:rPr>
                <w:rFonts w:hint="eastAsia" w:ascii="宋体" w:hAnsi="宋体" w:eastAsia="宋体" w:cs="宋体"/>
                <w:color w:val="auto"/>
                <w:highlight w:val="none"/>
              </w:rPr>
            </w:pPr>
            <w:r>
              <w:rPr>
                <w:rFonts w:hint="eastAsia" w:ascii="宋体" w:hAnsi="宋体" w:eastAsia="宋体" w:cs="宋体"/>
                <w:color w:val="auto"/>
                <w:highlight w:val="none"/>
              </w:rPr>
              <w:t>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近半年内任意一个月的纳税证明文件（依法免缴的应提供相应文件说明）；并提供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近半年内依法为员工缴纳社会保障资金的证明材料（任意一个月即可），证明材料可以是缴费的银行单据复印件、社保机构开具的证明（依法不需要缴纳社会保障资金的应提供相应文件说明）</w:t>
            </w:r>
          </w:p>
        </w:tc>
        <w:tc>
          <w:tcPr>
            <w:tcW w:w="999" w:type="dxa"/>
            <w:noWrap w:val="0"/>
            <w:vAlign w:val="center"/>
          </w:tcPr>
          <w:p w14:paraId="15AB2EFA">
            <w:pPr>
              <w:rPr>
                <w:rFonts w:hint="eastAsia" w:ascii="宋体" w:hAnsi="宋体" w:eastAsia="宋体" w:cs="宋体"/>
                <w:color w:val="auto"/>
                <w:highlight w:val="none"/>
              </w:rPr>
            </w:pPr>
          </w:p>
        </w:tc>
        <w:tc>
          <w:tcPr>
            <w:tcW w:w="925" w:type="dxa"/>
            <w:noWrap w:val="0"/>
            <w:vAlign w:val="center"/>
          </w:tcPr>
          <w:p w14:paraId="404424A4">
            <w:pPr>
              <w:rPr>
                <w:rFonts w:hint="eastAsia" w:ascii="宋体" w:hAnsi="宋体" w:eastAsia="宋体" w:cs="宋体"/>
                <w:color w:val="auto"/>
                <w:highlight w:val="none"/>
              </w:rPr>
            </w:pPr>
          </w:p>
        </w:tc>
        <w:tc>
          <w:tcPr>
            <w:tcW w:w="925" w:type="dxa"/>
            <w:noWrap w:val="0"/>
            <w:vAlign w:val="center"/>
          </w:tcPr>
          <w:p w14:paraId="7C778379">
            <w:pPr>
              <w:rPr>
                <w:rFonts w:hint="eastAsia" w:ascii="宋体" w:hAnsi="宋体" w:eastAsia="宋体" w:cs="宋体"/>
                <w:color w:val="auto"/>
                <w:highlight w:val="none"/>
              </w:rPr>
            </w:pPr>
          </w:p>
        </w:tc>
      </w:tr>
      <w:tr w14:paraId="0C191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3" w:type="dxa"/>
            <w:noWrap w:val="0"/>
            <w:vAlign w:val="center"/>
          </w:tcPr>
          <w:p w14:paraId="541BF3BC">
            <w:pPr>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084" w:type="dxa"/>
            <w:noWrap w:val="0"/>
            <w:vAlign w:val="center"/>
          </w:tcPr>
          <w:p w14:paraId="0B208E67">
            <w:pPr>
              <w:jc w:val="left"/>
              <w:rPr>
                <w:rFonts w:hint="eastAsia" w:ascii="宋体" w:hAnsi="宋体" w:eastAsia="宋体" w:cs="宋体"/>
                <w:color w:val="auto"/>
                <w:highlight w:val="none"/>
              </w:rPr>
            </w:pPr>
            <w:r>
              <w:rPr>
                <w:rFonts w:hint="eastAsia" w:ascii="宋体" w:hAnsi="宋体" w:eastAsia="宋体" w:cs="宋体"/>
                <w:color w:val="auto"/>
                <w:highlight w:val="none"/>
              </w:rPr>
              <w:t>参加政府采购活动前三年内，在经营活动中没有重大违法记录</w:t>
            </w:r>
          </w:p>
        </w:tc>
        <w:tc>
          <w:tcPr>
            <w:tcW w:w="3182" w:type="dxa"/>
            <w:noWrap w:val="0"/>
            <w:vAlign w:val="center"/>
          </w:tcPr>
          <w:p w14:paraId="460F5282">
            <w:pPr>
              <w:jc w:val="left"/>
              <w:rPr>
                <w:rFonts w:hint="eastAsia" w:ascii="宋体" w:hAnsi="宋体" w:eastAsia="宋体" w:cs="宋体"/>
                <w:color w:val="auto"/>
                <w:highlight w:val="none"/>
                <w:lang w:eastAsia="zh-CN"/>
              </w:rPr>
            </w:pPr>
            <w:r>
              <w:rPr>
                <w:rFonts w:hint="eastAsia" w:ascii="宋体" w:hAnsi="宋体" w:eastAsia="宋体" w:cs="宋体"/>
                <w:color w:val="auto"/>
                <w:highlight w:val="none"/>
              </w:rPr>
              <w:t>提供参加本次采购活动前三年内在经营活动中没有重大违法记录的书面声明</w:t>
            </w:r>
            <w:r>
              <w:rPr>
                <w:rFonts w:hint="eastAsia" w:ascii="宋体" w:hAnsi="宋体" w:eastAsia="宋体" w:cs="宋体"/>
                <w:color w:val="auto"/>
                <w:highlight w:val="none"/>
                <w:lang w:eastAsia="zh-CN"/>
              </w:rPr>
              <w:t>。</w:t>
            </w:r>
          </w:p>
          <w:p w14:paraId="51FC7B79">
            <w:pPr>
              <w:pStyle w:val="12"/>
              <w:rPr>
                <w:rFonts w:hint="eastAsia"/>
                <w:color w:val="auto"/>
                <w:highlight w:val="none"/>
                <w:lang w:eastAsia="zh-CN"/>
              </w:rPr>
            </w:pPr>
            <w:r>
              <w:rPr>
                <w:rFonts w:hint="eastAsia"/>
                <w:color w:val="auto"/>
                <w:highlight w:val="none"/>
                <w:lang w:eastAsia="zh-CN"/>
              </w:rPr>
              <w:t>注：①</w:t>
            </w:r>
            <w:r>
              <w:rPr>
                <w:rFonts w:hint="eastAsia"/>
                <w:color w:val="auto"/>
                <w:highlight w:val="none"/>
                <w:lang w:val="en-US" w:eastAsia="zh-CN"/>
              </w:rPr>
              <w:t>本</w:t>
            </w:r>
            <w:r>
              <w:rPr>
                <w:rFonts w:hint="eastAsia"/>
                <w:color w:val="auto"/>
                <w:highlight w:val="none"/>
                <w:lang w:eastAsia="zh-CN"/>
              </w:rPr>
              <w:t>条所称重大违法记录，是指供应商因违法经营受到刑事处罚或者责令停产停业、吊销许可证或者执照、较大数额罚款等行政处罚。</w:t>
            </w:r>
          </w:p>
          <w:p w14:paraId="4F19C5BC">
            <w:pPr>
              <w:pStyle w:val="12"/>
              <w:rPr>
                <w:rFonts w:hint="eastAsia"/>
                <w:color w:val="auto"/>
                <w:highlight w:val="none"/>
                <w:lang w:eastAsia="zh-CN"/>
              </w:rPr>
            </w:pPr>
            <w:r>
              <w:rPr>
                <w:rFonts w:hint="eastAsia"/>
                <w:color w:val="auto"/>
                <w:highlight w:val="none"/>
                <w:lang w:eastAsia="zh-CN"/>
              </w:rPr>
              <w:t>②供应商在参加政府采购活动前3年内因违法经营被禁止在一定期限内参加政府采购活动，期限届满的，可以参加政府采购活动。</w:t>
            </w:r>
          </w:p>
        </w:tc>
        <w:tc>
          <w:tcPr>
            <w:tcW w:w="999" w:type="dxa"/>
            <w:noWrap w:val="0"/>
            <w:vAlign w:val="center"/>
          </w:tcPr>
          <w:p w14:paraId="7D76ABC8">
            <w:pPr>
              <w:rPr>
                <w:rFonts w:hint="eastAsia" w:ascii="宋体" w:hAnsi="宋体" w:eastAsia="宋体" w:cs="宋体"/>
                <w:color w:val="auto"/>
                <w:highlight w:val="none"/>
              </w:rPr>
            </w:pPr>
          </w:p>
        </w:tc>
        <w:tc>
          <w:tcPr>
            <w:tcW w:w="925" w:type="dxa"/>
            <w:noWrap w:val="0"/>
            <w:vAlign w:val="center"/>
          </w:tcPr>
          <w:p w14:paraId="152A20D1">
            <w:pPr>
              <w:rPr>
                <w:rFonts w:hint="eastAsia" w:ascii="宋体" w:hAnsi="宋体" w:eastAsia="宋体" w:cs="宋体"/>
                <w:color w:val="auto"/>
                <w:highlight w:val="none"/>
              </w:rPr>
            </w:pPr>
          </w:p>
        </w:tc>
        <w:tc>
          <w:tcPr>
            <w:tcW w:w="925" w:type="dxa"/>
            <w:noWrap w:val="0"/>
            <w:vAlign w:val="center"/>
          </w:tcPr>
          <w:p w14:paraId="4AEADCC8">
            <w:pPr>
              <w:rPr>
                <w:rFonts w:hint="eastAsia" w:ascii="宋体" w:hAnsi="宋体" w:eastAsia="宋体" w:cs="宋体"/>
                <w:color w:val="auto"/>
                <w:highlight w:val="none"/>
              </w:rPr>
            </w:pPr>
          </w:p>
        </w:tc>
      </w:tr>
      <w:tr w14:paraId="64019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3" w:type="dxa"/>
            <w:noWrap w:val="0"/>
            <w:vAlign w:val="center"/>
          </w:tcPr>
          <w:p w14:paraId="2E6715C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w:t>
            </w:r>
          </w:p>
        </w:tc>
        <w:tc>
          <w:tcPr>
            <w:tcW w:w="3084" w:type="dxa"/>
            <w:noWrap w:val="0"/>
            <w:vAlign w:val="center"/>
          </w:tcPr>
          <w:p w14:paraId="25196D25">
            <w:pPr>
              <w:jc w:val="left"/>
              <w:rPr>
                <w:rFonts w:hint="eastAsia" w:ascii="宋体" w:hAnsi="宋体" w:eastAsia="宋体" w:cs="宋体"/>
                <w:color w:val="auto"/>
                <w:highlight w:val="none"/>
              </w:rPr>
            </w:pPr>
            <w:r>
              <w:rPr>
                <w:rFonts w:hint="eastAsia" w:ascii="宋体" w:hAnsi="宋体" w:eastAsia="宋体" w:cs="宋体"/>
                <w:color w:val="auto"/>
                <w:highlight w:val="none"/>
              </w:rPr>
              <w:t>法律、行政法规规定的其他条件</w:t>
            </w:r>
          </w:p>
        </w:tc>
        <w:tc>
          <w:tcPr>
            <w:tcW w:w="3182" w:type="dxa"/>
            <w:noWrap w:val="0"/>
            <w:vAlign w:val="center"/>
          </w:tcPr>
          <w:p w14:paraId="5BADAE5B">
            <w:pPr>
              <w:jc w:val="left"/>
              <w:rPr>
                <w:rFonts w:hint="eastAsia" w:ascii="宋体" w:hAnsi="宋体" w:eastAsia="宋体" w:cs="宋体"/>
                <w:color w:val="auto"/>
                <w:highlight w:val="none"/>
              </w:rPr>
            </w:pPr>
            <w:r>
              <w:rPr>
                <w:rFonts w:hint="eastAsia" w:ascii="宋体" w:hAnsi="宋体" w:eastAsia="宋体" w:cs="宋体"/>
                <w:color w:val="auto"/>
                <w:highlight w:val="none"/>
              </w:rPr>
              <w:t>符合并提供承诺书加盖供应商公章编入响应文件中</w:t>
            </w:r>
          </w:p>
        </w:tc>
        <w:tc>
          <w:tcPr>
            <w:tcW w:w="999" w:type="dxa"/>
            <w:noWrap w:val="0"/>
            <w:vAlign w:val="center"/>
          </w:tcPr>
          <w:p w14:paraId="1A9AEBC6">
            <w:pPr>
              <w:rPr>
                <w:rFonts w:hint="eastAsia" w:ascii="宋体" w:hAnsi="宋体" w:eastAsia="宋体" w:cs="宋体"/>
                <w:color w:val="auto"/>
                <w:highlight w:val="none"/>
              </w:rPr>
            </w:pPr>
          </w:p>
        </w:tc>
        <w:tc>
          <w:tcPr>
            <w:tcW w:w="925" w:type="dxa"/>
            <w:noWrap w:val="0"/>
            <w:vAlign w:val="center"/>
          </w:tcPr>
          <w:p w14:paraId="4F173101">
            <w:pPr>
              <w:rPr>
                <w:rFonts w:hint="eastAsia" w:ascii="宋体" w:hAnsi="宋体" w:eastAsia="宋体" w:cs="宋体"/>
                <w:color w:val="auto"/>
                <w:highlight w:val="none"/>
              </w:rPr>
            </w:pPr>
          </w:p>
        </w:tc>
        <w:tc>
          <w:tcPr>
            <w:tcW w:w="925" w:type="dxa"/>
            <w:noWrap w:val="0"/>
            <w:vAlign w:val="center"/>
          </w:tcPr>
          <w:p w14:paraId="0FE886ED">
            <w:pPr>
              <w:rPr>
                <w:rFonts w:hint="eastAsia" w:ascii="宋体" w:hAnsi="宋体" w:eastAsia="宋体" w:cs="宋体"/>
                <w:color w:val="auto"/>
                <w:highlight w:val="none"/>
              </w:rPr>
            </w:pPr>
          </w:p>
        </w:tc>
      </w:tr>
      <w:tr w14:paraId="14BABD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533" w:type="dxa"/>
            <w:noWrap w:val="0"/>
            <w:vAlign w:val="center"/>
          </w:tcPr>
          <w:p w14:paraId="12BA02C8">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7</w:t>
            </w:r>
          </w:p>
        </w:tc>
        <w:tc>
          <w:tcPr>
            <w:tcW w:w="3084" w:type="dxa"/>
            <w:noWrap w:val="0"/>
            <w:vAlign w:val="center"/>
          </w:tcPr>
          <w:p w14:paraId="0CF2995A">
            <w:pPr>
              <w:jc w:val="left"/>
              <w:rPr>
                <w:rFonts w:hint="eastAsia" w:ascii="宋体" w:hAnsi="宋体" w:eastAsia="宋体" w:cs="宋体"/>
                <w:color w:val="auto"/>
                <w:highlight w:val="none"/>
              </w:rPr>
            </w:pPr>
            <w:r>
              <w:rPr>
                <w:rFonts w:hint="eastAsia" w:ascii="宋体" w:hAnsi="宋体" w:eastAsia="宋体" w:cs="宋体"/>
                <w:color w:val="auto"/>
                <w:highlight w:val="none"/>
              </w:rPr>
              <w:t>落实政府采购政策需满足的资格要求：本项目为专门面向中小企业采购的项目。</w:t>
            </w:r>
          </w:p>
          <w:p w14:paraId="4F05F3D0">
            <w:pPr>
              <w:jc w:val="left"/>
              <w:rPr>
                <w:rFonts w:hint="eastAsia" w:ascii="宋体" w:hAnsi="宋体" w:eastAsia="宋体" w:cs="宋体"/>
                <w:color w:val="auto"/>
                <w:highlight w:val="none"/>
              </w:rPr>
            </w:pPr>
          </w:p>
        </w:tc>
        <w:tc>
          <w:tcPr>
            <w:tcW w:w="3182" w:type="dxa"/>
            <w:noWrap w:val="0"/>
            <w:vAlign w:val="center"/>
          </w:tcPr>
          <w:p w14:paraId="45F91D0F">
            <w:pPr>
              <w:jc w:val="left"/>
              <w:rPr>
                <w:rFonts w:hint="eastAsia" w:ascii="宋体" w:hAnsi="宋体" w:eastAsia="宋体" w:cs="宋体"/>
                <w:color w:val="auto"/>
                <w:highlight w:val="none"/>
              </w:rPr>
            </w:pPr>
            <w:r>
              <w:rPr>
                <w:rFonts w:hint="eastAsia" w:ascii="宋体" w:hAnsi="宋体" w:eastAsia="宋体" w:cs="宋体"/>
                <w:color w:val="auto"/>
                <w:highlight w:val="none"/>
              </w:rPr>
              <w:t>须提供中小企业或残疾人福利性企业声明函、监狱单位提供证明文件）。非中小型企业参与本项目投标，将做无效标处理。</w:t>
            </w:r>
          </w:p>
        </w:tc>
        <w:tc>
          <w:tcPr>
            <w:tcW w:w="999" w:type="dxa"/>
            <w:noWrap w:val="0"/>
            <w:vAlign w:val="center"/>
          </w:tcPr>
          <w:p w14:paraId="30F80766">
            <w:pPr>
              <w:rPr>
                <w:rFonts w:hint="eastAsia" w:ascii="宋体" w:hAnsi="宋体" w:eastAsia="宋体" w:cs="宋体"/>
                <w:color w:val="auto"/>
                <w:highlight w:val="none"/>
              </w:rPr>
            </w:pPr>
          </w:p>
        </w:tc>
        <w:tc>
          <w:tcPr>
            <w:tcW w:w="925" w:type="dxa"/>
            <w:noWrap w:val="0"/>
            <w:vAlign w:val="center"/>
          </w:tcPr>
          <w:p w14:paraId="7DC91CA9">
            <w:pPr>
              <w:rPr>
                <w:rFonts w:hint="eastAsia" w:ascii="宋体" w:hAnsi="宋体" w:eastAsia="宋体" w:cs="宋体"/>
                <w:color w:val="auto"/>
                <w:highlight w:val="none"/>
              </w:rPr>
            </w:pPr>
          </w:p>
        </w:tc>
        <w:tc>
          <w:tcPr>
            <w:tcW w:w="925" w:type="dxa"/>
            <w:noWrap w:val="0"/>
            <w:vAlign w:val="center"/>
          </w:tcPr>
          <w:p w14:paraId="21F66A15">
            <w:pPr>
              <w:rPr>
                <w:rFonts w:hint="eastAsia" w:ascii="宋体" w:hAnsi="宋体" w:eastAsia="宋体" w:cs="宋体"/>
                <w:color w:val="auto"/>
                <w:highlight w:val="none"/>
              </w:rPr>
            </w:pPr>
          </w:p>
        </w:tc>
      </w:tr>
      <w:tr w14:paraId="01DDC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66424253">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8</w:t>
            </w:r>
          </w:p>
        </w:tc>
        <w:tc>
          <w:tcPr>
            <w:tcW w:w="3084" w:type="dxa"/>
            <w:shd w:val="clear" w:color="auto" w:fill="auto"/>
            <w:noWrap w:val="0"/>
            <w:vAlign w:val="center"/>
          </w:tcPr>
          <w:p w14:paraId="05E449C3">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供应商资质等级及范围必须符合下列条件之一：</w:t>
            </w:r>
          </w:p>
          <w:p w14:paraId="11765DCB">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①工程设计综合甲级（含）以上资质；</w:t>
            </w:r>
          </w:p>
          <w:p w14:paraId="563A1836">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②工程设计建筑行业乙级（含）以上资质；</w:t>
            </w:r>
          </w:p>
          <w:p w14:paraId="091B9E8C">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lang w:val="en-US" w:eastAsia="zh-CN"/>
              </w:rPr>
              <w:t>③建筑行业（建筑工程）设计乙级（含）以上资质。</w:t>
            </w:r>
          </w:p>
        </w:tc>
        <w:tc>
          <w:tcPr>
            <w:tcW w:w="3182" w:type="dxa"/>
            <w:shd w:val="clear" w:color="auto" w:fill="auto"/>
            <w:noWrap w:val="0"/>
            <w:vAlign w:val="center"/>
          </w:tcPr>
          <w:p w14:paraId="7B62D0C7">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kern w:val="2"/>
                <w:sz w:val="21"/>
                <w:szCs w:val="22"/>
                <w:highlight w:val="none"/>
                <w:lang w:val="en-US" w:eastAsia="zh-CN" w:bidi="ar-SA"/>
              </w:rPr>
              <w:t>提供资质证书复印件并加盖供应商公章</w:t>
            </w:r>
          </w:p>
        </w:tc>
        <w:tc>
          <w:tcPr>
            <w:tcW w:w="999" w:type="dxa"/>
            <w:noWrap w:val="0"/>
            <w:vAlign w:val="center"/>
          </w:tcPr>
          <w:p w14:paraId="25D9348A">
            <w:pPr>
              <w:rPr>
                <w:rFonts w:hint="eastAsia" w:ascii="宋体" w:hAnsi="宋体" w:eastAsia="宋体" w:cs="宋体"/>
                <w:color w:val="auto"/>
                <w:highlight w:val="none"/>
              </w:rPr>
            </w:pPr>
          </w:p>
        </w:tc>
        <w:tc>
          <w:tcPr>
            <w:tcW w:w="925" w:type="dxa"/>
            <w:noWrap w:val="0"/>
            <w:vAlign w:val="center"/>
          </w:tcPr>
          <w:p w14:paraId="2B9CDE32">
            <w:pPr>
              <w:rPr>
                <w:rFonts w:hint="eastAsia" w:ascii="宋体" w:hAnsi="宋体" w:eastAsia="宋体" w:cs="宋体"/>
                <w:color w:val="auto"/>
                <w:highlight w:val="none"/>
              </w:rPr>
            </w:pPr>
          </w:p>
        </w:tc>
        <w:tc>
          <w:tcPr>
            <w:tcW w:w="925" w:type="dxa"/>
            <w:noWrap w:val="0"/>
            <w:vAlign w:val="center"/>
          </w:tcPr>
          <w:p w14:paraId="283C44E9">
            <w:pPr>
              <w:rPr>
                <w:rFonts w:hint="eastAsia" w:ascii="宋体" w:hAnsi="宋体" w:eastAsia="宋体" w:cs="宋体"/>
                <w:color w:val="auto"/>
                <w:highlight w:val="none"/>
              </w:rPr>
            </w:pPr>
          </w:p>
        </w:tc>
      </w:tr>
      <w:tr w14:paraId="64775A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0619A704">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9</w:t>
            </w:r>
          </w:p>
        </w:tc>
        <w:tc>
          <w:tcPr>
            <w:tcW w:w="3084" w:type="dxa"/>
            <w:shd w:val="clear" w:color="auto" w:fill="auto"/>
            <w:noWrap w:val="0"/>
            <w:vAlign w:val="center"/>
          </w:tcPr>
          <w:p w14:paraId="77186977">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rPr>
              <w:t>供应商投入本项目的项目负责人资质类别和等级：具有</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级</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以上</w:t>
            </w:r>
            <w:r>
              <w:rPr>
                <w:rFonts w:hint="eastAsia" w:ascii="宋体" w:hAnsi="宋体" w:eastAsia="宋体" w:cs="宋体"/>
                <w:color w:val="auto"/>
                <w:highlight w:val="none"/>
              </w:rPr>
              <w:t>注册建筑师资格</w:t>
            </w:r>
          </w:p>
        </w:tc>
        <w:tc>
          <w:tcPr>
            <w:tcW w:w="3182" w:type="dxa"/>
            <w:shd w:val="clear" w:color="auto" w:fill="auto"/>
            <w:noWrap w:val="0"/>
            <w:vAlign w:val="center"/>
          </w:tcPr>
          <w:p w14:paraId="7DEE0334">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rPr>
              <w:t>提供证书复印件并加盖供应商公章</w:t>
            </w:r>
          </w:p>
        </w:tc>
        <w:tc>
          <w:tcPr>
            <w:tcW w:w="999" w:type="dxa"/>
            <w:noWrap w:val="0"/>
            <w:vAlign w:val="center"/>
          </w:tcPr>
          <w:p w14:paraId="7C67F466">
            <w:pPr>
              <w:rPr>
                <w:rFonts w:hint="eastAsia" w:ascii="宋体" w:hAnsi="宋体" w:eastAsia="宋体" w:cs="宋体"/>
                <w:color w:val="auto"/>
                <w:highlight w:val="none"/>
              </w:rPr>
            </w:pPr>
          </w:p>
        </w:tc>
        <w:tc>
          <w:tcPr>
            <w:tcW w:w="925" w:type="dxa"/>
            <w:noWrap w:val="0"/>
            <w:vAlign w:val="center"/>
          </w:tcPr>
          <w:p w14:paraId="0536AA95">
            <w:pPr>
              <w:rPr>
                <w:rFonts w:hint="eastAsia" w:ascii="宋体" w:hAnsi="宋体" w:eastAsia="宋体" w:cs="宋体"/>
                <w:color w:val="auto"/>
                <w:highlight w:val="none"/>
              </w:rPr>
            </w:pPr>
          </w:p>
        </w:tc>
        <w:tc>
          <w:tcPr>
            <w:tcW w:w="925" w:type="dxa"/>
            <w:noWrap w:val="0"/>
            <w:vAlign w:val="center"/>
          </w:tcPr>
          <w:p w14:paraId="5525DB30">
            <w:pPr>
              <w:rPr>
                <w:rFonts w:hint="eastAsia" w:ascii="宋体" w:hAnsi="宋体" w:eastAsia="宋体" w:cs="宋体"/>
                <w:color w:val="auto"/>
                <w:highlight w:val="none"/>
              </w:rPr>
            </w:pPr>
          </w:p>
        </w:tc>
      </w:tr>
      <w:tr w14:paraId="7B7F7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603E5C1F">
            <w:pPr>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9</w:t>
            </w:r>
          </w:p>
        </w:tc>
        <w:tc>
          <w:tcPr>
            <w:tcW w:w="3084" w:type="dxa"/>
            <w:shd w:val="clear" w:color="auto" w:fill="auto"/>
            <w:noWrap w:val="0"/>
            <w:vAlign w:val="center"/>
          </w:tcPr>
          <w:p w14:paraId="269A7787">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lang w:val="en-US" w:eastAsia="zh-CN"/>
              </w:rPr>
              <w:t>供应商需提供社保机构出具的近半年（2025年7月-2025年12月）投标申请人为其缴纳的养老保险缴费证明材料。（投标人为拟投入本工程项目负责人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提供证明材料复印件并加盖供应商公章</w:t>
            </w:r>
          </w:p>
        </w:tc>
        <w:tc>
          <w:tcPr>
            <w:tcW w:w="3182" w:type="dxa"/>
            <w:shd w:val="clear" w:color="auto" w:fill="auto"/>
            <w:noWrap w:val="0"/>
            <w:vAlign w:val="center"/>
          </w:tcPr>
          <w:p w14:paraId="28A3DB7D">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rPr>
              <w:t>提供证明材料复印件并加盖供应商公章</w:t>
            </w:r>
          </w:p>
        </w:tc>
        <w:tc>
          <w:tcPr>
            <w:tcW w:w="999" w:type="dxa"/>
            <w:noWrap w:val="0"/>
            <w:vAlign w:val="center"/>
          </w:tcPr>
          <w:p w14:paraId="227B799F">
            <w:pPr>
              <w:rPr>
                <w:rFonts w:hint="eastAsia" w:ascii="宋体" w:hAnsi="宋体" w:eastAsia="宋体" w:cs="宋体"/>
                <w:color w:val="auto"/>
                <w:highlight w:val="none"/>
              </w:rPr>
            </w:pPr>
          </w:p>
        </w:tc>
        <w:tc>
          <w:tcPr>
            <w:tcW w:w="925" w:type="dxa"/>
            <w:noWrap w:val="0"/>
            <w:vAlign w:val="center"/>
          </w:tcPr>
          <w:p w14:paraId="7660A1A9">
            <w:pPr>
              <w:rPr>
                <w:rFonts w:hint="eastAsia" w:ascii="宋体" w:hAnsi="宋体" w:eastAsia="宋体" w:cs="宋体"/>
                <w:color w:val="auto"/>
                <w:highlight w:val="none"/>
              </w:rPr>
            </w:pPr>
          </w:p>
        </w:tc>
        <w:tc>
          <w:tcPr>
            <w:tcW w:w="925" w:type="dxa"/>
            <w:noWrap w:val="0"/>
            <w:vAlign w:val="center"/>
          </w:tcPr>
          <w:p w14:paraId="3382BA5F">
            <w:pPr>
              <w:rPr>
                <w:rFonts w:hint="eastAsia" w:ascii="宋体" w:hAnsi="宋体" w:eastAsia="宋体" w:cs="宋体"/>
                <w:color w:val="auto"/>
                <w:highlight w:val="none"/>
              </w:rPr>
            </w:pPr>
          </w:p>
        </w:tc>
      </w:tr>
      <w:tr w14:paraId="6E488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6011C38E">
            <w:pPr>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12</w:t>
            </w:r>
          </w:p>
        </w:tc>
        <w:tc>
          <w:tcPr>
            <w:tcW w:w="3084" w:type="dxa"/>
            <w:shd w:val="clear" w:color="auto" w:fill="auto"/>
            <w:noWrap w:val="0"/>
            <w:vAlign w:val="center"/>
          </w:tcPr>
          <w:p w14:paraId="3AB68C95">
            <w:pPr>
              <w:jc w:val="left"/>
              <w:rPr>
                <w:rFonts w:hint="eastAsia" w:ascii="宋体" w:hAnsi="宋体" w:eastAsia="宋体" w:cs="宋体"/>
                <w:color w:val="auto"/>
                <w:highlight w:val="none"/>
              </w:rPr>
            </w:pPr>
            <w:r>
              <w:rPr>
                <w:rFonts w:hint="eastAsia" w:ascii="宋体" w:hAnsi="宋体" w:eastAsia="宋体" w:cs="宋体"/>
                <w:color w:val="auto"/>
                <w:highlight w:val="none"/>
              </w:rPr>
              <w:t>拒绝下述供应商参加本次采购活动：（提供承诺书加盖供应商公章编入响应文件中）</w:t>
            </w:r>
          </w:p>
          <w:p w14:paraId="69551BB9">
            <w:pPr>
              <w:jc w:val="left"/>
              <w:rPr>
                <w:rFonts w:hint="eastAsia" w:ascii="宋体" w:hAnsi="宋体" w:eastAsia="宋体" w:cs="宋体"/>
                <w:color w:val="auto"/>
                <w:highlight w:val="none"/>
              </w:rPr>
            </w:pPr>
            <w:r>
              <w:rPr>
                <w:rFonts w:hint="eastAsia" w:ascii="宋体" w:hAnsi="宋体" w:eastAsia="宋体" w:cs="宋体"/>
                <w:color w:val="auto"/>
                <w:highlight w:val="none"/>
              </w:rPr>
              <w:t>（1）供应商单位负责人为同一人或者存在直接控股、管理关系的不同供应商，不得参加同一合同项下的采购活动。</w:t>
            </w:r>
          </w:p>
          <w:p w14:paraId="37936382">
            <w:pPr>
              <w:jc w:val="left"/>
              <w:rPr>
                <w:rFonts w:hint="eastAsia" w:ascii="宋体" w:hAnsi="宋体" w:eastAsia="宋体" w:cs="宋体"/>
                <w:color w:val="auto"/>
                <w:highlight w:val="none"/>
              </w:rPr>
            </w:pPr>
            <w:r>
              <w:rPr>
                <w:rFonts w:hint="eastAsia" w:ascii="宋体" w:hAnsi="宋体" w:eastAsia="宋体" w:cs="宋体"/>
                <w:color w:val="auto"/>
                <w:highlight w:val="none"/>
              </w:rPr>
              <w:t>（2）凡为采购项目提供整体设计、规范编制或者项目管理、监理、检测等服务的供应商，不得再参加本项目的采购活动。</w:t>
            </w:r>
          </w:p>
          <w:p w14:paraId="1581BD41">
            <w:pPr>
              <w:jc w:val="left"/>
              <w:rPr>
                <w:rFonts w:hint="eastAsia" w:ascii="宋体" w:hAnsi="宋体" w:eastAsia="宋体" w:cs="宋体"/>
                <w:color w:val="auto"/>
                <w:kern w:val="2"/>
                <w:sz w:val="21"/>
                <w:szCs w:val="22"/>
                <w:highlight w:val="none"/>
                <w:lang w:val="en-US" w:eastAsia="zh-CN" w:bidi="ar-SA"/>
              </w:rPr>
            </w:pPr>
            <w:r>
              <w:rPr>
                <w:rFonts w:hint="eastAsia" w:ascii="宋体" w:hAnsi="宋体" w:eastAsia="宋体" w:cs="宋体"/>
                <w:color w:val="auto"/>
                <w:highlight w:val="none"/>
              </w:rPr>
              <w:t>（3）拒绝列入失信被执行人、重大税收违法失信主体、政府采购严重违法失信行为记录名单中的供应商参加本项目的采购活动。</w:t>
            </w:r>
          </w:p>
        </w:tc>
        <w:tc>
          <w:tcPr>
            <w:tcW w:w="3182" w:type="dxa"/>
            <w:shd w:val="clear" w:color="auto" w:fill="auto"/>
            <w:noWrap w:val="0"/>
            <w:vAlign w:val="center"/>
          </w:tcPr>
          <w:p w14:paraId="242F2393">
            <w:pPr>
              <w:keepNext w:val="0"/>
              <w:keepLines w:val="0"/>
              <w:pageBreakBefore w:val="0"/>
              <w:widowControl w:val="0"/>
              <w:kinsoku/>
              <w:wordWrap w:val="0"/>
              <w:overflowPunct/>
              <w:topLinePunct w:val="0"/>
              <w:autoSpaceDE/>
              <w:autoSpaceDN/>
              <w:bidi w:val="0"/>
              <w:adjustRightInd/>
              <w:snapToGrid/>
              <w:jc w:val="left"/>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提供承诺书加盖供应商公章编入投标文件中。</w:t>
            </w:r>
          </w:p>
          <w:p w14:paraId="5CB42B20">
            <w:pPr>
              <w:pStyle w:val="12"/>
              <w:keepNext w:val="0"/>
              <w:keepLines w:val="0"/>
              <w:pageBreakBefore w:val="0"/>
              <w:widowControl w:val="0"/>
              <w:kinsoku/>
              <w:wordWrap w:val="0"/>
              <w:overflowPunct/>
              <w:topLinePunct w:val="0"/>
              <w:autoSpaceDE/>
              <w:autoSpaceDN/>
              <w:bidi w:val="0"/>
              <w:adjustRightInd/>
              <w:snapToGrid/>
              <w:textAlignment w:val="auto"/>
              <w:rPr>
                <w:rFonts w:hint="eastAsia" w:ascii="宋体" w:hAnsi="Courier New" w:eastAsiaTheme="minorEastAsia" w:cstheme="minorBidi"/>
                <w:color w:val="auto"/>
                <w:kern w:val="2"/>
                <w:sz w:val="21"/>
                <w:szCs w:val="22"/>
                <w:highlight w:val="none"/>
                <w:lang w:val="en-US" w:eastAsia="zh-CN" w:bidi="ar-SA"/>
              </w:rPr>
            </w:pPr>
            <w:r>
              <w:rPr>
                <w:rFonts w:hint="eastAsia"/>
                <w:color w:val="auto"/>
                <w:highlight w:val="none"/>
              </w:rPr>
              <w:t>采购人或代理机构通过 “信用中国”网站（www.creditchina.gov.cn）、“中国政府采购网”网站（www.ccgp.gov.cn）等渠道查询供应商信用记录并保存。</w:t>
            </w:r>
          </w:p>
        </w:tc>
        <w:tc>
          <w:tcPr>
            <w:tcW w:w="999" w:type="dxa"/>
            <w:noWrap w:val="0"/>
            <w:vAlign w:val="center"/>
          </w:tcPr>
          <w:p w14:paraId="51F8D79B">
            <w:pPr>
              <w:rPr>
                <w:rFonts w:hint="eastAsia" w:ascii="宋体" w:hAnsi="宋体" w:eastAsia="宋体" w:cs="宋体"/>
                <w:color w:val="auto"/>
                <w:highlight w:val="none"/>
              </w:rPr>
            </w:pPr>
          </w:p>
        </w:tc>
        <w:tc>
          <w:tcPr>
            <w:tcW w:w="925" w:type="dxa"/>
            <w:noWrap w:val="0"/>
            <w:vAlign w:val="center"/>
          </w:tcPr>
          <w:p w14:paraId="609E43C1">
            <w:pPr>
              <w:rPr>
                <w:rFonts w:hint="eastAsia" w:ascii="宋体" w:hAnsi="宋体" w:eastAsia="宋体" w:cs="宋体"/>
                <w:color w:val="auto"/>
                <w:highlight w:val="none"/>
              </w:rPr>
            </w:pPr>
          </w:p>
        </w:tc>
        <w:tc>
          <w:tcPr>
            <w:tcW w:w="925" w:type="dxa"/>
            <w:noWrap w:val="0"/>
            <w:vAlign w:val="center"/>
          </w:tcPr>
          <w:p w14:paraId="1EADDA0C">
            <w:pPr>
              <w:rPr>
                <w:rFonts w:hint="eastAsia" w:ascii="宋体" w:hAnsi="宋体" w:eastAsia="宋体" w:cs="宋体"/>
                <w:color w:val="auto"/>
                <w:highlight w:val="none"/>
              </w:rPr>
            </w:pPr>
          </w:p>
        </w:tc>
      </w:tr>
      <w:tr w14:paraId="099F6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533" w:type="dxa"/>
            <w:noWrap w:val="0"/>
            <w:vAlign w:val="center"/>
          </w:tcPr>
          <w:p w14:paraId="524E24A5">
            <w:pPr>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13</w:t>
            </w:r>
          </w:p>
        </w:tc>
        <w:tc>
          <w:tcPr>
            <w:tcW w:w="3084" w:type="dxa"/>
            <w:shd w:val="clear" w:color="auto" w:fill="auto"/>
            <w:noWrap w:val="0"/>
            <w:vAlign w:val="center"/>
          </w:tcPr>
          <w:p w14:paraId="137B5902">
            <w:pPr>
              <w:jc w:val="left"/>
              <w:rPr>
                <w:rFonts w:hint="eastAsia" w:ascii="Times New Roman" w:hAnsi="Times New Roman" w:cs="Times New Roman" w:eastAsiaTheme="minorEastAsia"/>
                <w:color w:val="auto"/>
                <w:kern w:val="2"/>
                <w:sz w:val="21"/>
                <w:szCs w:val="21"/>
                <w:highlight w:val="none"/>
                <w:lang w:val="en-US" w:eastAsia="zh-CN" w:bidi="ar-SA"/>
              </w:rPr>
            </w:pPr>
            <w:r>
              <w:rPr>
                <w:rFonts w:hint="eastAsia"/>
                <w:color w:val="auto"/>
                <w:highlight w:val="none"/>
              </w:rPr>
              <w:t>按采购文件规定的数额和办法交纳</w:t>
            </w:r>
            <w:r>
              <w:rPr>
                <w:rFonts w:hint="eastAsia"/>
                <w:color w:val="auto"/>
                <w:highlight w:val="none"/>
                <w:lang w:val="en-US" w:eastAsia="zh-CN"/>
              </w:rPr>
              <w:t>投标</w:t>
            </w:r>
            <w:r>
              <w:rPr>
                <w:rFonts w:hint="eastAsia"/>
                <w:color w:val="auto"/>
                <w:highlight w:val="none"/>
              </w:rPr>
              <w:t>保证金</w:t>
            </w:r>
          </w:p>
        </w:tc>
        <w:tc>
          <w:tcPr>
            <w:tcW w:w="3182" w:type="dxa"/>
            <w:shd w:val="clear" w:color="auto" w:fill="auto"/>
            <w:noWrap w:val="0"/>
            <w:vAlign w:val="center"/>
          </w:tcPr>
          <w:p w14:paraId="2D319CD5">
            <w:pPr>
              <w:jc w:val="left"/>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highlight w:val="none"/>
                <w:lang w:val="en-US" w:eastAsia="zh-CN"/>
              </w:rPr>
              <w:t>提供投标</w:t>
            </w:r>
            <w:r>
              <w:rPr>
                <w:rFonts w:hint="eastAsia" w:ascii="Times New Roman" w:hAnsi="Times New Roman" w:cs="Times New Roman"/>
                <w:color w:val="auto"/>
                <w:highlight w:val="none"/>
              </w:rPr>
              <w:t>保</w:t>
            </w:r>
            <w:r>
              <w:rPr>
                <w:rFonts w:hint="eastAsia" w:cs="Times New Roman"/>
                <w:color w:val="auto"/>
                <w:highlight w:val="none"/>
                <w:lang w:val="en-US" w:eastAsia="zh-CN"/>
              </w:rPr>
              <w:t>证</w:t>
            </w:r>
            <w:r>
              <w:rPr>
                <w:rFonts w:hint="eastAsia" w:ascii="Times New Roman" w:hAnsi="Times New Roman" w:cs="Times New Roman"/>
                <w:color w:val="auto"/>
                <w:highlight w:val="none"/>
              </w:rPr>
              <w:t>金缴纳凭证复印件</w:t>
            </w:r>
            <w:r>
              <w:rPr>
                <w:rFonts w:hint="eastAsia" w:cs="Times New Roman"/>
                <w:color w:val="auto"/>
                <w:highlight w:val="none"/>
                <w:lang w:val="en-US" w:eastAsia="zh-CN"/>
              </w:rPr>
              <w:t>并编入投标文件中</w:t>
            </w:r>
          </w:p>
        </w:tc>
        <w:tc>
          <w:tcPr>
            <w:tcW w:w="999" w:type="dxa"/>
            <w:noWrap w:val="0"/>
            <w:vAlign w:val="center"/>
          </w:tcPr>
          <w:p w14:paraId="01184A0A">
            <w:pPr>
              <w:rPr>
                <w:rFonts w:hint="eastAsia" w:ascii="宋体" w:hAnsi="宋体" w:eastAsia="宋体" w:cs="宋体"/>
                <w:color w:val="auto"/>
                <w:highlight w:val="none"/>
              </w:rPr>
            </w:pPr>
          </w:p>
        </w:tc>
        <w:tc>
          <w:tcPr>
            <w:tcW w:w="925" w:type="dxa"/>
            <w:noWrap w:val="0"/>
            <w:vAlign w:val="center"/>
          </w:tcPr>
          <w:p w14:paraId="1BC2BBD7">
            <w:pPr>
              <w:rPr>
                <w:rFonts w:hint="eastAsia" w:ascii="宋体" w:hAnsi="宋体" w:eastAsia="宋体" w:cs="宋体"/>
                <w:color w:val="auto"/>
                <w:highlight w:val="none"/>
              </w:rPr>
            </w:pPr>
          </w:p>
        </w:tc>
        <w:tc>
          <w:tcPr>
            <w:tcW w:w="925" w:type="dxa"/>
            <w:noWrap w:val="0"/>
            <w:vAlign w:val="center"/>
          </w:tcPr>
          <w:p w14:paraId="0B04DF25">
            <w:pPr>
              <w:rPr>
                <w:rFonts w:hint="eastAsia" w:ascii="宋体" w:hAnsi="宋体" w:eastAsia="宋体" w:cs="宋体"/>
                <w:color w:val="auto"/>
                <w:highlight w:val="none"/>
              </w:rPr>
            </w:pPr>
          </w:p>
        </w:tc>
      </w:tr>
      <w:tr w14:paraId="083F2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6799" w:type="dxa"/>
            <w:gridSpan w:val="3"/>
            <w:noWrap w:val="0"/>
            <w:vAlign w:val="center"/>
          </w:tcPr>
          <w:p w14:paraId="60A5B2EA">
            <w:pPr>
              <w:jc w:val="center"/>
              <w:rPr>
                <w:rFonts w:hint="eastAsia" w:ascii="宋体" w:hAnsi="宋体" w:eastAsia="宋体" w:cs="宋体"/>
                <w:color w:val="auto"/>
                <w:highlight w:val="none"/>
              </w:rPr>
            </w:pPr>
            <w:r>
              <w:rPr>
                <w:rFonts w:hint="eastAsia" w:ascii="宋体" w:hAnsi="宋体" w:eastAsia="宋体" w:cs="宋体"/>
                <w:color w:val="auto"/>
                <w:highlight w:val="none"/>
              </w:rPr>
              <w:t>资格审查结论</w:t>
            </w:r>
          </w:p>
        </w:tc>
        <w:tc>
          <w:tcPr>
            <w:tcW w:w="999" w:type="dxa"/>
            <w:noWrap w:val="0"/>
            <w:vAlign w:val="center"/>
          </w:tcPr>
          <w:p w14:paraId="5D05B9DE">
            <w:pPr>
              <w:rPr>
                <w:rFonts w:hint="eastAsia" w:ascii="宋体" w:hAnsi="宋体" w:eastAsia="宋体" w:cs="宋体"/>
                <w:color w:val="auto"/>
                <w:highlight w:val="none"/>
              </w:rPr>
            </w:pPr>
          </w:p>
        </w:tc>
        <w:tc>
          <w:tcPr>
            <w:tcW w:w="925" w:type="dxa"/>
            <w:noWrap w:val="0"/>
            <w:vAlign w:val="center"/>
          </w:tcPr>
          <w:p w14:paraId="63D6E5B7">
            <w:pPr>
              <w:rPr>
                <w:rFonts w:hint="eastAsia" w:ascii="宋体" w:hAnsi="宋体" w:eastAsia="宋体" w:cs="宋体"/>
                <w:color w:val="auto"/>
                <w:highlight w:val="none"/>
              </w:rPr>
            </w:pPr>
          </w:p>
        </w:tc>
        <w:tc>
          <w:tcPr>
            <w:tcW w:w="925" w:type="dxa"/>
            <w:noWrap w:val="0"/>
            <w:vAlign w:val="center"/>
          </w:tcPr>
          <w:p w14:paraId="004E0CBA">
            <w:pPr>
              <w:rPr>
                <w:rFonts w:hint="eastAsia" w:ascii="宋体" w:hAnsi="宋体" w:eastAsia="宋体" w:cs="宋体"/>
                <w:color w:val="auto"/>
                <w:highlight w:val="none"/>
              </w:rPr>
            </w:pPr>
          </w:p>
        </w:tc>
      </w:tr>
    </w:tbl>
    <w:p w14:paraId="74DD70D5">
      <w:pPr>
        <w:spacing w:line="360" w:lineRule="auto"/>
        <w:ind w:right="272"/>
        <w:rPr>
          <w:rFonts w:hint="eastAsia" w:ascii="宋体" w:hAnsi="宋体" w:eastAsia="宋体" w:cs="宋体"/>
          <w:b/>
          <w:bCs/>
          <w:color w:val="auto"/>
          <w:kern w:val="0"/>
          <w:sz w:val="24"/>
          <w:highlight w:val="none"/>
        </w:rPr>
      </w:pPr>
    </w:p>
    <w:p w14:paraId="5A02BD4C">
      <w:pPr>
        <w:pStyle w:val="38"/>
        <w:spacing w:line="360" w:lineRule="auto"/>
        <w:ind w:left="223" w:right="272" w:firstLine="0" w:firstLineChars="0"/>
        <w:rPr>
          <w:rFonts w:hint="eastAsia" w:ascii="宋体" w:hAnsi="宋体" w:eastAsia="宋体" w:cs="宋体"/>
          <w:color w:val="auto"/>
          <w:sz w:val="28"/>
          <w:szCs w:val="28"/>
          <w:highlight w:val="none"/>
        </w:rPr>
      </w:pPr>
      <w:r>
        <w:rPr>
          <w:rFonts w:hint="eastAsia" w:ascii="宋体" w:hAnsi="宋体" w:eastAsia="宋体" w:cs="宋体"/>
          <w:b/>
          <w:bCs/>
          <w:color w:val="auto"/>
          <w:kern w:val="0"/>
          <w:sz w:val="24"/>
          <w:highlight w:val="none"/>
        </w:rPr>
        <w:t>3.2符合性检查</w:t>
      </w:r>
    </w:p>
    <w:tbl>
      <w:tblPr>
        <w:tblStyle w:val="25"/>
        <w:tblW w:w="5000"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1"/>
        <w:gridCol w:w="2973"/>
        <w:gridCol w:w="1253"/>
        <w:gridCol w:w="1681"/>
        <w:gridCol w:w="2706"/>
      </w:tblGrid>
      <w:tr w14:paraId="5D774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561F31F0">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00" w:type="dxa"/>
            <w:noWrap w:val="0"/>
            <w:vAlign w:val="center"/>
          </w:tcPr>
          <w:p w14:paraId="7EE42431">
            <w:pPr>
              <w:pStyle w:val="87"/>
              <w:spacing w:before="38"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1262" w:type="dxa"/>
            <w:noWrap w:val="0"/>
            <w:vAlign w:val="center"/>
          </w:tcPr>
          <w:p w14:paraId="5C27E624">
            <w:pPr>
              <w:pStyle w:val="87"/>
              <w:spacing w:before="38" w:line="360" w:lineRule="auto"/>
              <w:ind w:right="311"/>
              <w:jc w:val="center"/>
              <w:rPr>
                <w:rFonts w:hint="eastAsia" w:ascii="宋体" w:hAnsi="宋体" w:eastAsia="宋体" w:cs="宋体"/>
                <w:color w:val="auto"/>
                <w:highlight w:val="none"/>
              </w:rPr>
            </w:pPr>
            <w:r>
              <w:rPr>
                <w:rFonts w:hint="eastAsia" w:ascii="宋体" w:hAnsi="宋体" w:eastAsia="宋体" w:cs="宋体"/>
                <w:color w:val="auto"/>
                <w:highlight w:val="none"/>
              </w:rPr>
              <w:t>合格</w:t>
            </w:r>
          </w:p>
        </w:tc>
        <w:tc>
          <w:tcPr>
            <w:tcW w:w="1695" w:type="dxa"/>
            <w:noWrap w:val="0"/>
            <w:vAlign w:val="center"/>
          </w:tcPr>
          <w:p w14:paraId="39C7A00E">
            <w:pPr>
              <w:pStyle w:val="87"/>
              <w:spacing w:before="38"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不合格</w:t>
            </w:r>
          </w:p>
        </w:tc>
        <w:tc>
          <w:tcPr>
            <w:tcW w:w="2730" w:type="dxa"/>
            <w:noWrap w:val="0"/>
            <w:vAlign w:val="center"/>
          </w:tcPr>
          <w:p w14:paraId="126069E3">
            <w:pPr>
              <w:pStyle w:val="87"/>
              <w:spacing w:before="38"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不合格理由</w:t>
            </w:r>
          </w:p>
        </w:tc>
      </w:tr>
      <w:tr w14:paraId="638ADC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36A05FC3">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000" w:type="dxa"/>
            <w:noWrap w:val="0"/>
            <w:vAlign w:val="center"/>
          </w:tcPr>
          <w:p w14:paraId="1C94CE24">
            <w:pPr>
              <w:pStyle w:val="87"/>
              <w:spacing w:before="38" w:line="360" w:lineRule="auto"/>
              <w:ind w:right="326"/>
              <w:jc w:val="center"/>
              <w:rPr>
                <w:rFonts w:hint="eastAsia" w:ascii="宋体" w:hAnsi="宋体" w:eastAsia="宋体" w:cs="宋体"/>
                <w:color w:val="auto"/>
                <w:highlight w:val="none"/>
              </w:rPr>
            </w:pPr>
            <w:r>
              <w:rPr>
                <w:rFonts w:hint="eastAsia" w:ascii="宋体" w:hAnsi="宋体" w:eastAsia="宋体" w:cs="宋体"/>
                <w:color w:val="auto"/>
                <w:highlight w:val="none"/>
              </w:rPr>
              <w:t>响应文件的有效性</w:t>
            </w:r>
          </w:p>
        </w:tc>
        <w:tc>
          <w:tcPr>
            <w:tcW w:w="1262" w:type="dxa"/>
            <w:noWrap w:val="0"/>
            <w:vAlign w:val="center"/>
          </w:tcPr>
          <w:p w14:paraId="4690A164">
            <w:pPr>
              <w:pStyle w:val="87"/>
              <w:spacing w:before="38" w:line="360" w:lineRule="auto"/>
              <w:ind w:right="311"/>
              <w:jc w:val="center"/>
              <w:rPr>
                <w:rFonts w:hint="eastAsia" w:ascii="宋体" w:hAnsi="宋体" w:eastAsia="宋体" w:cs="宋体"/>
                <w:color w:val="auto"/>
                <w:highlight w:val="none"/>
              </w:rPr>
            </w:pPr>
          </w:p>
        </w:tc>
        <w:tc>
          <w:tcPr>
            <w:tcW w:w="1695" w:type="dxa"/>
            <w:noWrap w:val="0"/>
            <w:vAlign w:val="center"/>
          </w:tcPr>
          <w:p w14:paraId="55CF348F">
            <w:pPr>
              <w:pStyle w:val="87"/>
              <w:spacing w:before="38" w:line="360" w:lineRule="auto"/>
              <w:ind w:left="420"/>
              <w:jc w:val="center"/>
              <w:rPr>
                <w:rFonts w:hint="eastAsia" w:ascii="宋体" w:hAnsi="宋体" w:eastAsia="宋体" w:cs="宋体"/>
                <w:color w:val="auto"/>
                <w:highlight w:val="none"/>
              </w:rPr>
            </w:pPr>
          </w:p>
        </w:tc>
        <w:tc>
          <w:tcPr>
            <w:tcW w:w="2730" w:type="dxa"/>
            <w:noWrap w:val="0"/>
            <w:vAlign w:val="center"/>
          </w:tcPr>
          <w:p w14:paraId="1978511C">
            <w:pPr>
              <w:pStyle w:val="87"/>
              <w:spacing w:before="38" w:line="360" w:lineRule="auto"/>
              <w:ind w:left="420"/>
              <w:jc w:val="center"/>
              <w:rPr>
                <w:rFonts w:hint="eastAsia" w:ascii="宋体" w:hAnsi="宋体" w:eastAsia="宋体" w:cs="宋体"/>
                <w:color w:val="auto"/>
                <w:highlight w:val="none"/>
              </w:rPr>
            </w:pPr>
          </w:p>
        </w:tc>
      </w:tr>
      <w:tr w14:paraId="5C331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1048" w:type="dxa"/>
            <w:noWrap w:val="0"/>
            <w:vAlign w:val="center"/>
          </w:tcPr>
          <w:p w14:paraId="392C0AA2">
            <w:pPr>
              <w:pStyle w:val="87"/>
              <w:spacing w:before="33"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000" w:type="dxa"/>
            <w:noWrap w:val="0"/>
            <w:vAlign w:val="center"/>
          </w:tcPr>
          <w:p w14:paraId="111E03C4">
            <w:pPr>
              <w:pStyle w:val="87"/>
              <w:spacing w:before="33" w:line="360" w:lineRule="auto"/>
              <w:ind w:right="326"/>
              <w:jc w:val="center"/>
              <w:rPr>
                <w:rFonts w:hint="eastAsia" w:ascii="宋体" w:hAnsi="宋体" w:eastAsia="宋体" w:cs="宋体"/>
                <w:color w:val="auto"/>
                <w:highlight w:val="none"/>
              </w:rPr>
            </w:pPr>
            <w:r>
              <w:rPr>
                <w:rFonts w:hint="eastAsia" w:ascii="宋体" w:hAnsi="宋体" w:eastAsia="宋体" w:cs="宋体"/>
                <w:color w:val="auto"/>
                <w:highlight w:val="none"/>
              </w:rPr>
              <w:t>响应文件的完整性</w:t>
            </w:r>
          </w:p>
        </w:tc>
        <w:tc>
          <w:tcPr>
            <w:tcW w:w="1262" w:type="dxa"/>
            <w:noWrap w:val="0"/>
            <w:vAlign w:val="center"/>
          </w:tcPr>
          <w:p w14:paraId="081CDE1B">
            <w:pPr>
              <w:pStyle w:val="87"/>
              <w:spacing w:before="33" w:line="360" w:lineRule="auto"/>
              <w:ind w:right="311"/>
              <w:jc w:val="center"/>
              <w:rPr>
                <w:rFonts w:hint="eastAsia" w:ascii="宋体" w:hAnsi="宋体" w:eastAsia="宋体" w:cs="宋体"/>
                <w:color w:val="auto"/>
                <w:highlight w:val="none"/>
              </w:rPr>
            </w:pPr>
          </w:p>
        </w:tc>
        <w:tc>
          <w:tcPr>
            <w:tcW w:w="1695" w:type="dxa"/>
            <w:noWrap w:val="0"/>
            <w:vAlign w:val="center"/>
          </w:tcPr>
          <w:p w14:paraId="17AF41C4">
            <w:pPr>
              <w:pStyle w:val="87"/>
              <w:spacing w:before="33" w:line="360" w:lineRule="auto"/>
              <w:ind w:left="420"/>
              <w:jc w:val="center"/>
              <w:rPr>
                <w:rFonts w:hint="eastAsia" w:ascii="宋体" w:hAnsi="宋体" w:eastAsia="宋体" w:cs="宋体"/>
                <w:color w:val="auto"/>
                <w:highlight w:val="none"/>
              </w:rPr>
            </w:pPr>
          </w:p>
        </w:tc>
        <w:tc>
          <w:tcPr>
            <w:tcW w:w="2730" w:type="dxa"/>
            <w:noWrap w:val="0"/>
            <w:vAlign w:val="center"/>
          </w:tcPr>
          <w:p w14:paraId="2F0DC760">
            <w:pPr>
              <w:pStyle w:val="87"/>
              <w:spacing w:before="33" w:line="360" w:lineRule="auto"/>
              <w:ind w:left="420"/>
              <w:jc w:val="center"/>
              <w:rPr>
                <w:rFonts w:hint="eastAsia" w:ascii="宋体" w:hAnsi="宋体" w:eastAsia="宋体" w:cs="宋体"/>
                <w:color w:val="auto"/>
                <w:highlight w:val="none"/>
              </w:rPr>
            </w:pPr>
          </w:p>
        </w:tc>
      </w:tr>
      <w:tr w14:paraId="1D59D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041EC240">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000" w:type="dxa"/>
            <w:noWrap w:val="0"/>
            <w:vAlign w:val="center"/>
          </w:tcPr>
          <w:p w14:paraId="612EE274">
            <w:pPr>
              <w:pStyle w:val="87"/>
              <w:spacing w:before="38" w:line="360" w:lineRule="auto"/>
              <w:ind w:right="326"/>
              <w:jc w:val="center"/>
              <w:rPr>
                <w:rFonts w:hint="eastAsia" w:ascii="宋体" w:hAnsi="宋体" w:eastAsia="宋体" w:cs="宋体"/>
                <w:color w:val="auto"/>
                <w:highlight w:val="none"/>
              </w:rPr>
            </w:pPr>
            <w:r>
              <w:rPr>
                <w:rFonts w:hint="eastAsia" w:ascii="宋体" w:hAnsi="宋体" w:eastAsia="宋体" w:cs="宋体"/>
                <w:color w:val="auto"/>
                <w:highlight w:val="none"/>
              </w:rPr>
              <w:t>对采购文件的响应程度</w:t>
            </w:r>
          </w:p>
        </w:tc>
        <w:tc>
          <w:tcPr>
            <w:tcW w:w="1262" w:type="dxa"/>
            <w:noWrap w:val="0"/>
            <w:vAlign w:val="center"/>
          </w:tcPr>
          <w:p w14:paraId="5A804248">
            <w:pPr>
              <w:pStyle w:val="87"/>
              <w:spacing w:before="38" w:line="360" w:lineRule="auto"/>
              <w:ind w:right="311"/>
              <w:jc w:val="center"/>
              <w:rPr>
                <w:rFonts w:hint="eastAsia" w:ascii="宋体" w:hAnsi="宋体" w:eastAsia="宋体" w:cs="宋体"/>
                <w:color w:val="auto"/>
                <w:highlight w:val="none"/>
              </w:rPr>
            </w:pPr>
          </w:p>
        </w:tc>
        <w:tc>
          <w:tcPr>
            <w:tcW w:w="1695" w:type="dxa"/>
            <w:noWrap w:val="0"/>
            <w:vAlign w:val="center"/>
          </w:tcPr>
          <w:p w14:paraId="2EDEE00C">
            <w:pPr>
              <w:pStyle w:val="87"/>
              <w:spacing w:before="38" w:line="360" w:lineRule="auto"/>
              <w:ind w:left="420"/>
              <w:jc w:val="center"/>
              <w:rPr>
                <w:rFonts w:hint="eastAsia" w:ascii="宋体" w:hAnsi="宋体" w:eastAsia="宋体" w:cs="宋体"/>
                <w:color w:val="auto"/>
                <w:highlight w:val="none"/>
              </w:rPr>
            </w:pPr>
          </w:p>
        </w:tc>
        <w:tc>
          <w:tcPr>
            <w:tcW w:w="2730" w:type="dxa"/>
            <w:noWrap w:val="0"/>
            <w:vAlign w:val="center"/>
          </w:tcPr>
          <w:p w14:paraId="0EEA1D2D">
            <w:pPr>
              <w:pStyle w:val="87"/>
              <w:spacing w:before="38" w:line="360" w:lineRule="auto"/>
              <w:ind w:left="420"/>
              <w:jc w:val="center"/>
              <w:rPr>
                <w:rFonts w:hint="eastAsia" w:ascii="宋体" w:hAnsi="宋体" w:eastAsia="宋体" w:cs="宋体"/>
                <w:color w:val="auto"/>
                <w:highlight w:val="none"/>
              </w:rPr>
            </w:pPr>
          </w:p>
        </w:tc>
      </w:tr>
      <w:tr w14:paraId="4B75A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6936E16B">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4</w:t>
            </w:r>
          </w:p>
        </w:tc>
        <w:tc>
          <w:tcPr>
            <w:tcW w:w="3000" w:type="dxa"/>
            <w:noWrap w:val="0"/>
            <w:vAlign w:val="center"/>
          </w:tcPr>
          <w:p w14:paraId="16F0E187">
            <w:pPr>
              <w:pStyle w:val="87"/>
              <w:spacing w:before="38" w:line="360" w:lineRule="auto"/>
              <w:ind w:right="326"/>
              <w:jc w:val="center"/>
              <w:rPr>
                <w:rFonts w:hint="eastAsia" w:ascii="宋体" w:hAnsi="宋体" w:eastAsia="宋体" w:cs="宋体"/>
                <w:color w:val="auto"/>
                <w:highlight w:val="none"/>
                <w:lang w:eastAsia="zh-CN"/>
              </w:rPr>
            </w:pPr>
            <w:r>
              <w:rPr>
                <w:rFonts w:hint="eastAsia" w:ascii="宋体" w:hAnsi="宋体" w:eastAsia="宋体" w:cs="宋体"/>
                <w:color w:val="auto"/>
                <w:highlight w:val="none"/>
              </w:rPr>
              <w:t>报价是否超过</w:t>
            </w:r>
            <w:r>
              <w:rPr>
                <w:rFonts w:hint="eastAsia" w:ascii="宋体" w:hAnsi="宋体" w:eastAsia="宋体" w:cs="宋体"/>
                <w:color w:val="auto"/>
                <w:highlight w:val="none"/>
                <w:lang w:eastAsia="zh-CN"/>
              </w:rPr>
              <w:t>最高限价</w:t>
            </w:r>
          </w:p>
        </w:tc>
        <w:tc>
          <w:tcPr>
            <w:tcW w:w="1262" w:type="dxa"/>
            <w:noWrap w:val="0"/>
            <w:vAlign w:val="center"/>
          </w:tcPr>
          <w:p w14:paraId="5596858E">
            <w:pPr>
              <w:pStyle w:val="87"/>
              <w:spacing w:before="38" w:line="360" w:lineRule="auto"/>
              <w:ind w:right="311"/>
              <w:jc w:val="center"/>
              <w:rPr>
                <w:rFonts w:hint="eastAsia" w:ascii="宋体" w:hAnsi="宋体" w:eastAsia="宋体" w:cs="宋体"/>
                <w:color w:val="auto"/>
                <w:highlight w:val="none"/>
              </w:rPr>
            </w:pPr>
          </w:p>
        </w:tc>
        <w:tc>
          <w:tcPr>
            <w:tcW w:w="1695" w:type="dxa"/>
            <w:noWrap w:val="0"/>
            <w:vAlign w:val="center"/>
          </w:tcPr>
          <w:p w14:paraId="6BC0A6A8">
            <w:pPr>
              <w:pStyle w:val="87"/>
              <w:spacing w:before="38" w:line="360" w:lineRule="auto"/>
              <w:ind w:left="420"/>
              <w:jc w:val="center"/>
              <w:rPr>
                <w:rFonts w:hint="eastAsia" w:ascii="宋体" w:hAnsi="宋体" w:eastAsia="宋体" w:cs="宋体"/>
                <w:color w:val="auto"/>
                <w:highlight w:val="none"/>
              </w:rPr>
            </w:pPr>
          </w:p>
        </w:tc>
        <w:tc>
          <w:tcPr>
            <w:tcW w:w="2730" w:type="dxa"/>
            <w:noWrap w:val="0"/>
            <w:vAlign w:val="center"/>
          </w:tcPr>
          <w:p w14:paraId="2F37EA58">
            <w:pPr>
              <w:pStyle w:val="87"/>
              <w:spacing w:before="38" w:line="360" w:lineRule="auto"/>
              <w:ind w:left="420"/>
              <w:jc w:val="center"/>
              <w:rPr>
                <w:rFonts w:hint="eastAsia" w:ascii="宋体" w:hAnsi="宋体" w:eastAsia="宋体" w:cs="宋体"/>
                <w:color w:val="auto"/>
                <w:highlight w:val="none"/>
              </w:rPr>
            </w:pPr>
          </w:p>
        </w:tc>
      </w:tr>
      <w:tr w14:paraId="52C2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1048" w:type="dxa"/>
            <w:noWrap w:val="0"/>
            <w:vAlign w:val="center"/>
          </w:tcPr>
          <w:p w14:paraId="58B7266F">
            <w:pPr>
              <w:pStyle w:val="87"/>
              <w:spacing w:before="43"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5</w:t>
            </w:r>
          </w:p>
        </w:tc>
        <w:tc>
          <w:tcPr>
            <w:tcW w:w="3000" w:type="dxa"/>
            <w:noWrap w:val="0"/>
            <w:vAlign w:val="center"/>
          </w:tcPr>
          <w:p w14:paraId="28CA4AF5">
            <w:pPr>
              <w:pStyle w:val="87"/>
              <w:spacing w:before="43"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投标人串通投标情形审查</w:t>
            </w:r>
          </w:p>
        </w:tc>
        <w:tc>
          <w:tcPr>
            <w:tcW w:w="1262" w:type="dxa"/>
            <w:noWrap w:val="0"/>
            <w:vAlign w:val="center"/>
          </w:tcPr>
          <w:p w14:paraId="609C7878">
            <w:pPr>
              <w:pStyle w:val="87"/>
              <w:spacing w:before="43" w:line="360" w:lineRule="auto"/>
              <w:ind w:right="311"/>
              <w:jc w:val="center"/>
              <w:rPr>
                <w:rFonts w:hint="eastAsia" w:ascii="宋体" w:hAnsi="宋体" w:eastAsia="宋体" w:cs="宋体"/>
                <w:color w:val="auto"/>
                <w:highlight w:val="none"/>
              </w:rPr>
            </w:pPr>
          </w:p>
        </w:tc>
        <w:tc>
          <w:tcPr>
            <w:tcW w:w="1695" w:type="dxa"/>
            <w:noWrap w:val="0"/>
            <w:vAlign w:val="center"/>
          </w:tcPr>
          <w:p w14:paraId="0A9861C4">
            <w:pPr>
              <w:pStyle w:val="87"/>
              <w:spacing w:before="43" w:line="360" w:lineRule="auto"/>
              <w:ind w:left="420"/>
              <w:jc w:val="center"/>
              <w:rPr>
                <w:rFonts w:hint="eastAsia" w:ascii="宋体" w:hAnsi="宋体" w:eastAsia="宋体" w:cs="宋体"/>
                <w:color w:val="auto"/>
                <w:highlight w:val="none"/>
              </w:rPr>
            </w:pPr>
          </w:p>
        </w:tc>
        <w:tc>
          <w:tcPr>
            <w:tcW w:w="2730" w:type="dxa"/>
            <w:noWrap w:val="0"/>
            <w:vAlign w:val="center"/>
          </w:tcPr>
          <w:p w14:paraId="49E058CE">
            <w:pPr>
              <w:pStyle w:val="87"/>
              <w:spacing w:before="43" w:line="360" w:lineRule="auto"/>
              <w:ind w:left="420"/>
              <w:jc w:val="center"/>
              <w:rPr>
                <w:rFonts w:hint="eastAsia" w:ascii="宋体" w:hAnsi="宋体" w:eastAsia="宋体" w:cs="宋体"/>
                <w:color w:val="auto"/>
                <w:highlight w:val="none"/>
              </w:rPr>
            </w:pPr>
          </w:p>
        </w:tc>
      </w:tr>
      <w:tr w14:paraId="1698C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1FE62A16">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6</w:t>
            </w:r>
          </w:p>
        </w:tc>
        <w:tc>
          <w:tcPr>
            <w:tcW w:w="3000" w:type="dxa"/>
            <w:noWrap w:val="0"/>
            <w:vAlign w:val="center"/>
          </w:tcPr>
          <w:p w14:paraId="0B1CEE1D">
            <w:pPr>
              <w:pStyle w:val="87"/>
              <w:spacing w:before="38" w:line="360" w:lineRule="auto"/>
              <w:ind w:right="326"/>
              <w:jc w:val="center"/>
              <w:rPr>
                <w:rFonts w:hint="eastAsia" w:ascii="宋体" w:hAnsi="宋体" w:eastAsia="宋体" w:cs="宋体"/>
                <w:color w:val="auto"/>
                <w:highlight w:val="none"/>
              </w:rPr>
            </w:pPr>
            <w:r>
              <w:rPr>
                <w:rFonts w:hint="eastAsia" w:ascii="宋体" w:hAnsi="宋体" w:eastAsia="宋体" w:cs="宋体"/>
                <w:color w:val="auto"/>
                <w:highlight w:val="none"/>
              </w:rPr>
              <w:t>投标单位廉政承诺书</w:t>
            </w:r>
          </w:p>
        </w:tc>
        <w:tc>
          <w:tcPr>
            <w:tcW w:w="1262" w:type="dxa"/>
            <w:noWrap w:val="0"/>
            <w:vAlign w:val="center"/>
          </w:tcPr>
          <w:p w14:paraId="2E79BBA8">
            <w:pPr>
              <w:pStyle w:val="87"/>
              <w:spacing w:before="38" w:line="360" w:lineRule="auto"/>
              <w:ind w:right="311"/>
              <w:jc w:val="center"/>
              <w:rPr>
                <w:rFonts w:hint="eastAsia" w:ascii="宋体" w:hAnsi="宋体" w:eastAsia="宋体" w:cs="宋体"/>
                <w:color w:val="auto"/>
                <w:highlight w:val="none"/>
              </w:rPr>
            </w:pPr>
          </w:p>
        </w:tc>
        <w:tc>
          <w:tcPr>
            <w:tcW w:w="1695" w:type="dxa"/>
            <w:noWrap w:val="0"/>
            <w:vAlign w:val="center"/>
          </w:tcPr>
          <w:p w14:paraId="73AF9A54">
            <w:pPr>
              <w:pStyle w:val="87"/>
              <w:spacing w:before="38" w:line="360" w:lineRule="auto"/>
              <w:ind w:left="420"/>
              <w:jc w:val="center"/>
              <w:rPr>
                <w:rFonts w:hint="eastAsia" w:ascii="宋体" w:hAnsi="宋体" w:eastAsia="宋体" w:cs="宋体"/>
                <w:color w:val="auto"/>
                <w:highlight w:val="none"/>
              </w:rPr>
            </w:pPr>
          </w:p>
        </w:tc>
        <w:tc>
          <w:tcPr>
            <w:tcW w:w="2730" w:type="dxa"/>
            <w:noWrap w:val="0"/>
            <w:vAlign w:val="center"/>
          </w:tcPr>
          <w:p w14:paraId="2B6FC0D2">
            <w:pPr>
              <w:pStyle w:val="87"/>
              <w:spacing w:before="38" w:line="360" w:lineRule="auto"/>
              <w:ind w:left="420"/>
              <w:jc w:val="center"/>
              <w:rPr>
                <w:rFonts w:hint="eastAsia" w:ascii="宋体" w:hAnsi="宋体" w:eastAsia="宋体" w:cs="宋体"/>
                <w:color w:val="auto"/>
                <w:highlight w:val="none"/>
              </w:rPr>
            </w:pPr>
          </w:p>
        </w:tc>
      </w:tr>
      <w:tr w14:paraId="146BBC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noWrap w:val="0"/>
            <w:vAlign w:val="center"/>
          </w:tcPr>
          <w:p w14:paraId="61623ED3">
            <w:pPr>
              <w:pStyle w:val="87"/>
              <w:spacing w:before="38" w:line="360" w:lineRule="auto"/>
              <w:ind w:left="420" w:right="66"/>
              <w:jc w:val="center"/>
              <w:rPr>
                <w:rFonts w:hint="eastAsia" w:ascii="宋体" w:hAnsi="宋体" w:eastAsia="宋体" w:cs="宋体"/>
                <w:color w:val="auto"/>
                <w:highlight w:val="none"/>
              </w:rPr>
            </w:pPr>
            <w:r>
              <w:rPr>
                <w:rFonts w:hint="eastAsia" w:ascii="宋体" w:hAnsi="宋体" w:eastAsia="宋体" w:cs="宋体"/>
                <w:color w:val="auto"/>
                <w:highlight w:val="none"/>
              </w:rPr>
              <w:t>7</w:t>
            </w:r>
          </w:p>
        </w:tc>
        <w:tc>
          <w:tcPr>
            <w:tcW w:w="3000" w:type="dxa"/>
            <w:noWrap w:val="0"/>
            <w:vAlign w:val="center"/>
          </w:tcPr>
          <w:p w14:paraId="5564D701">
            <w:pPr>
              <w:pStyle w:val="87"/>
              <w:spacing w:before="38" w:line="360" w:lineRule="auto"/>
              <w:ind w:right="446"/>
              <w:jc w:val="center"/>
              <w:rPr>
                <w:rFonts w:hint="eastAsia" w:ascii="宋体" w:hAnsi="宋体" w:eastAsia="宋体" w:cs="宋体"/>
                <w:color w:val="auto"/>
                <w:highlight w:val="none"/>
              </w:rPr>
            </w:pPr>
            <w:r>
              <w:rPr>
                <w:rFonts w:hint="eastAsia" w:ascii="宋体" w:hAnsi="宋体" w:eastAsia="宋体" w:cs="宋体"/>
                <w:color w:val="auto"/>
                <w:highlight w:val="none"/>
              </w:rPr>
              <w:t>其它实质性偏差</w:t>
            </w:r>
          </w:p>
        </w:tc>
        <w:tc>
          <w:tcPr>
            <w:tcW w:w="1262" w:type="dxa"/>
            <w:noWrap w:val="0"/>
            <w:vAlign w:val="center"/>
          </w:tcPr>
          <w:p w14:paraId="57EF4B87">
            <w:pPr>
              <w:pStyle w:val="87"/>
              <w:spacing w:before="38" w:line="360" w:lineRule="auto"/>
              <w:ind w:right="311"/>
              <w:jc w:val="center"/>
              <w:rPr>
                <w:rFonts w:hint="eastAsia" w:ascii="宋体" w:hAnsi="宋体" w:eastAsia="宋体" w:cs="宋体"/>
                <w:color w:val="auto"/>
                <w:highlight w:val="none"/>
              </w:rPr>
            </w:pPr>
          </w:p>
        </w:tc>
        <w:tc>
          <w:tcPr>
            <w:tcW w:w="1695" w:type="dxa"/>
            <w:noWrap w:val="0"/>
            <w:vAlign w:val="center"/>
          </w:tcPr>
          <w:p w14:paraId="2A9D88EE">
            <w:pPr>
              <w:pStyle w:val="87"/>
              <w:spacing w:before="38" w:line="360" w:lineRule="auto"/>
              <w:ind w:left="420"/>
              <w:jc w:val="center"/>
              <w:rPr>
                <w:rFonts w:hint="eastAsia" w:ascii="宋体" w:hAnsi="宋体" w:eastAsia="宋体" w:cs="宋体"/>
                <w:color w:val="auto"/>
                <w:highlight w:val="none"/>
              </w:rPr>
            </w:pPr>
          </w:p>
        </w:tc>
        <w:tc>
          <w:tcPr>
            <w:tcW w:w="2730" w:type="dxa"/>
            <w:noWrap w:val="0"/>
            <w:vAlign w:val="center"/>
          </w:tcPr>
          <w:p w14:paraId="4D84B5B1">
            <w:pPr>
              <w:pStyle w:val="87"/>
              <w:spacing w:before="38" w:line="360" w:lineRule="auto"/>
              <w:ind w:left="420"/>
              <w:jc w:val="center"/>
              <w:rPr>
                <w:rFonts w:hint="eastAsia" w:ascii="宋体" w:hAnsi="宋体" w:eastAsia="宋体" w:cs="宋体"/>
                <w:color w:val="auto"/>
                <w:highlight w:val="none"/>
              </w:rPr>
            </w:pPr>
          </w:p>
        </w:tc>
      </w:tr>
    </w:tbl>
    <w:p w14:paraId="55F106B8">
      <w:pPr>
        <w:pStyle w:val="38"/>
        <w:rPr>
          <w:rFonts w:hint="eastAsia" w:ascii="宋体" w:hAnsi="宋体" w:eastAsia="宋体" w:cs="宋体"/>
          <w:color w:val="auto"/>
          <w:highlight w:val="none"/>
        </w:rPr>
      </w:pPr>
    </w:p>
    <w:p w14:paraId="75B6B7E1">
      <w:pPr>
        <w:pStyle w:val="38"/>
        <w:ind w:firstLine="0" w:firstLineChars="0"/>
        <w:rPr>
          <w:rFonts w:hint="eastAsia" w:ascii="宋体" w:hAnsi="宋体" w:eastAsia="宋体" w:cs="宋体"/>
          <w:color w:val="auto"/>
          <w:highlight w:val="none"/>
        </w:rPr>
      </w:pPr>
    </w:p>
    <w:p w14:paraId="6A3035AC">
      <w:pPr>
        <w:widowControl/>
        <w:jc w:val="left"/>
        <w:rPr>
          <w:rFonts w:hint="eastAsia" w:ascii="宋体" w:hAnsi="宋体" w:eastAsia="宋体" w:cs="宋体"/>
          <w:b/>
          <w:bCs/>
          <w:color w:val="auto"/>
          <w:kern w:val="0"/>
          <w:sz w:val="24"/>
          <w:highlight w:val="none"/>
        </w:rPr>
      </w:pPr>
      <w:r>
        <w:rPr>
          <w:rFonts w:hint="eastAsia" w:ascii="宋体" w:hAnsi="宋体" w:eastAsia="宋体" w:cs="宋体"/>
          <w:b/>
          <w:bCs/>
          <w:color w:val="auto"/>
          <w:kern w:val="0"/>
          <w:sz w:val="24"/>
          <w:highlight w:val="none"/>
        </w:rPr>
        <w:t>3.3评分标准</w:t>
      </w:r>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505"/>
        <w:gridCol w:w="1173"/>
        <w:gridCol w:w="731"/>
        <w:gridCol w:w="6717"/>
      </w:tblGrid>
      <w:tr w14:paraId="0724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728" w:type="dxa"/>
            <w:noWrap w:val="0"/>
            <w:vAlign w:val="center"/>
          </w:tcPr>
          <w:p w14:paraId="61299A17">
            <w:pPr>
              <w:pStyle w:val="73"/>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678" w:type="dxa"/>
            <w:gridSpan w:val="2"/>
            <w:noWrap w:val="0"/>
            <w:vAlign w:val="center"/>
          </w:tcPr>
          <w:p w14:paraId="56600A8A">
            <w:pPr>
              <w:pStyle w:val="73"/>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评分内容</w:t>
            </w:r>
          </w:p>
        </w:tc>
        <w:tc>
          <w:tcPr>
            <w:tcW w:w="731" w:type="dxa"/>
            <w:noWrap w:val="0"/>
            <w:vAlign w:val="center"/>
          </w:tcPr>
          <w:p w14:paraId="0D36EDB4">
            <w:pPr>
              <w:pStyle w:val="73"/>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6717" w:type="dxa"/>
            <w:noWrap w:val="0"/>
            <w:vAlign w:val="center"/>
          </w:tcPr>
          <w:p w14:paraId="374DAD89">
            <w:pPr>
              <w:pStyle w:val="73"/>
              <w:spacing w:line="360" w:lineRule="auto"/>
              <w:ind w:firstLine="0" w:firstLine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评分标准</w:t>
            </w:r>
          </w:p>
        </w:tc>
      </w:tr>
      <w:tr w14:paraId="0A86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6" w:hRule="atLeast"/>
          <w:jc w:val="center"/>
        </w:trPr>
        <w:tc>
          <w:tcPr>
            <w:tcW w:w="728" w:type="dxa"/>
            <w:noWrap w:val="0"/>
            <w:vAlign w:val="center"/>
          </w:tcPr>
          <w:p w14:paraId="4AA7D2AB">
            <w:pPr>
              <w:pStyle w:val="73"/>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678" w:type="dxa"/>
            <w:gridSpan w:val="2"/>
            <w:noWrap w:val="0"/>
            <w:vAlign w:val="center"/>
          </w:tcPr>
          <w:p w14:paraId="4FBBB42B">
            <w:pPr>
              <w:pStyle w:val="73"/>
              <w:spacing w:line="360" w:lineRule="auto"/>
              <w:ind w:firstLine="0" w:firstLineChars="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价格</w:t>
            </w:r>
            <w:r>
              <w:rPr>
                <w:rFonts w:hint="eastAsia" w:ascii="宋体" w:hAnsi="宋体" w:eastAsia="宋体" w:cs="宋体"/>
                <w:color w:val="auto"/>
                <w:sz w:val="24"/>
                <w:szCs w:val="24"/>
                <w:highlight w:val="none"/>
                <w:lang w:eastAsia="zh-CN"/>
              </w:rPr>
              <w:t>分</w:t>
            </w:r>
          </w:p>
        </w:tc>
        <w:tc>
          <w:tcPr>
            <w:tcW w:w="731" w:type="dxa"/>
            <w:noWrap w:val="0"/>
            <w:vAlign w:val="center"/>
          </w:tcPr>
          <w:p w14:paraId="0D09EF15">
            <w:pPr>
              <w:pStyle w:val="73"/>
              <w:spacing w:line="360" w:lineRule="auto"/>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6717" w:type="dxa"/>
            <w:noWrap w:val="0"/>
            <w:vAlign w:val="center"/>
          </w:tcPr>
          <w:p w14:paraId="3BC8B0D3">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1．价格分统一采用低价优先法计算即满足招标文件要求且投标价格最低的有效投标报价（即除低于成本报价以外的所有报价）为评标基准价，其价格分为满分。</w:t>
            </w:r>
          </w:p>
          <w:p w14:paraId="32F9AE8D">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2．其他投标人的价格分统一按照以下公式计算：</w:t>
            </w:r>
          </w:p>
          <w:p w14:paraId="3B17C4B0">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投标报价得分=（评标基准价/投标报价）×10</w:t>
            </w:r>
          </w:p>
        </w:tc>
      </w:tr>
      <w:tr w14:paraId="0DBDC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4" w:hRule="atLeast"/>
          <w:jc w:val="center"/>
        </w:trPr>
        <w:tc>
          <w:tcPr>
            <w:tcW w:w="728" w:type="dxa"/>
            <w:noWrap w:val="0"/>
            <w:vAlign w:val="center"/>
          </w:tcPr>
          <w:p w14:paraId="4EBB8B09">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p>
        </w:tc>
        <w:tc>
          <w:tcPr>
            <w:tcW w:w="505" w:type="dxa"/>
            <w:vMerge w:val="restart"/>
            <w:noWrap w:val="0"/>
            <w:vAlign w:val="center"/>
          </w:tcPr>
          <w:p w14:paraId="3C0FB9A0">
            <w:pPr>
              <w:topLinePun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商务部分</w:t>
            </w:r>
          </w:p>
        </w:tc>
        <w:tc>
          <w:tcPr>
            <w:tcW w:w="1173" w:type="dxa"/>
            <w:shd w:val="clear" w:color="auto" w:fill="auto"/>
            <w:noWrap w:val="0"/>
            <w:vAlign w:val="center"/>
          </w:tcPr>
          <w:p w14:paraId="4FE39834">
            <w:pPr>
              <w:topLinePun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企业业绩</w:t>
            </w:r>
          </w:p>
        </w:tc>
        <w:tc>
          <w:tcPr>
            <w:tcW w:w="731" w:type="dxa"/>
            <w:noWrap w:val="0"/>
            <w:vAlign w:val="center"/>
          </w:tcPr>
          <w:p w14:paraId="4252AEC1">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p>
        </w:tc>
        <w:tc>
          <w:tcPr>
            <w:tcW w:w="6717" w:type="dxa"/>
            <w:noWrap w:val="0"/>
            <w:vAlign w:val="top"/>
          </w:tcPr>
          <w:p w14:paraId="6E1408E1">
            <w:pPr>
              <w:pStyle w:val="73"/>
              <w:spacing w:line="360" w:lineRule="auto"/>
              <w:ind w:left="1" w:firstLine="0" w:firstLineChars="0"/>
              <w:rPr>
                <w:rFonts w:hint="eastAsia" w:ascii="宋体" w:hAnsi="宋体" w:eastAsia="宋体" w:cs="宋体"/>
                <w:color w:val="auto"/>
                <w:sz w:val="24"/>
                <w:szCs w:val="24"/>
                <w:highlight w:val="none"/>
              </w:rPr>
            </w:pPr>
            <w:bookmarkStart w:id="6" w:name="_Hlk79687607"/>
            <w:r>
              <w:rPr>
                <w:rFonts w:hint="eastAsia" w:ascii="宋体" w:hAnsi="宋体" w:eastAsia="宋体" w:cs="宋体"/>
                <w:color w:val="auto"/>
                <w:sz w:val="24"/>
                <w:szCs w:val="24"/>
                <w:highlight w:val="none"/>
                <w:lang w:val="en-US" w:eastAsia="zh-CN"/>
              </w:rPr>
              <w:t>供应商自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月1日（含）以来，承担过</w:t>
            </w:r>
            <w:r>
              <w:rPr>
                <w:rFonts w:hint="eastAsia" w:ascii="宋体" w:hAnsi="宋体" w:eastAsia="宋体" w:cs="宋体"/>
                <w:color w:val="auto"/>
                <w:sz w:val="24"/>
                <w:szCs w:val="24"/>
                <w:highlight w:val="none"/>
                <w:lang w:eastAsia="zh-CN"/>
              </w:rPr>
              <w:t>类似</w:t>
            </w:r>
            <w:r>
              <w:rPr>
                <w:rFonts w:hint="eastAsia" w:ascii="宋体" w:hAnsi="宋体" w:eastAsia="宋体" w:cs="宋体"/>
                <w:color w:val="auto"/>
                <w:sz w:val="24"/>
                <w:szCs w:val="24"/>
                <w:highlight w:val="none"/>
                <w:lang w:val="en-US" w:eastAsia="zh-CN"/>
              </w:rPr>
              <w:t>实验室设计业绩的得</w:t>
            </w:r>
            <w:r>
              <w:rPr>
                <w:rFonts w:hint="eastAsia" w:asci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分/个，满分</w:t>
            </w:r>
            <w:r>
              <w:rPr>
                <w:rFonts w:hint="eastAsia" w:asci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分。（须提供设计合同及中标（成交）通知书复印件加盖</w:t>
            </w:r>
            <w:r>
              <w:rPr>
                <w:rFonts w:hint="eastAsia" w:ascii="宋体" w:hAnsi="宋体" w:eastAsia="宋体" w:cs="宋体"/>
                <w:color w:val="auto"/>
                <w:sz w:val="24"/>
                <w:szCs w:val="24"/>
                <w:highlight w:val="none"/>
                <w:lang w:eastAsia="zh-CN"/>
              </w:rPr>
              <w:t>投标供应商公章</w:t>
            </w:r>
            <w:r>
              <w:rPr>
                <w:rFonts w:hint="eastAsia" w:ascii="宋体" w:hAnsi="宋体" w:eastAsia="宋体" w:cs="宋体"/>
                <w:color w:val="auto"/>
                <w:sz w:val="24"/>
                <w:szCs w:val="24"/>
                <w:highlight w:val="none"/>
              </w:rPr>
              <w:t>，直接发包项目可不提供中标通知书，但须提供加盖行业主管部门签章的直接发包登记表或发包人出具的加盖单位公章的直接发包证明；时间以合同签订时间为准。提供的证明材料必须能反映出相关数据和内容，否则一律视为未提供。</w:t>
            </w:r>
            <w:r>
              <w:rPr>
                <w:rFonts w:hint="eastAsia" w:ascii="宋体" w:hAnsi="宋体" w:eastAsia="宋体" w:cs="宋体"/>
                <w:color w:val="auto"/>
                <w:sz w:val="24"/>
                <w:szCs w:val="24"/>
                <w:highlight w:val="none"/>
                <w:lang w:val="en-US" w:eastAsia="zh-CN"/>
              </w:rPr>
              <w:t>企业业绩与项目负责人业绩不能兼得）</w:t>
            </w:r>
            <w:bookmarkEnd w:id="6"/>
          </w:p>
        </w:tc>
      </w:tr>
      <w:tr w14:paraId="7A402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728" w:type="dxa"/>
            <w:noWrap w:val="0"/>
            <w:vAlign w:val="center"/>
          </w:tcPr>
          <w:p w14:paraId="48093207">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w:t>
            </w:r>
          </w:p>
        </w:tc>
        <w:tc>
          <w:tcPr>
            <w:tcW w:w="505" w:type="dxa"/>
            <w:vMerge w:val="continue"/>
            <w:noWrap w:val="0"/>
            <w:vAlign w:val="center"/>
          </w:tcPr>
          <w:p w14:paraId="28FB78D8">
            <w:pPr>
              <w:topLinePunct/>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3C0592AB">
            <w:pPr>
              <w:topLinePun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项目负责人业绩</w:t>
            </w:r>
          </w:p>
        </w:tc>
        <w:tc>
          <w:tcPr>
            <w:tcW w:w="731" w:type="dxa"/>
            <w:noWrap w:val="0"/>
            <w:vAlign w:val="center"/>
          </w:tcPr>
          <w:p w14:paraId="7B5BDC64">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w:t>
            </w:r>
          </w:p>
        </w:tc>
        <w:tc>
          <w:tcPr>
            <w:tcW w:w="6717" w:type="dxa"/>
            <w:noWrap w:val="0"/>
            <w:vAlign w:val="top"/>
          </w:tcPr>
          <w:p w14:paraId="511C4007">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供应商拟派</w:t>
            </w:r>
            <w:r>
              <w:rPr>
                <w:rFonts w:hint="eastAsia" w:ascii="宋体" w:hAnsi="宋体" w:eastAsia="宋体" w:cs="宋体"/>
                <w:color w:val="auto"/>
                <w:sz w:val="24"/>
                <w:szCs w:val="24"/>
                <w:highlight w:val="none"/>
                <w:lang w:val="en-US" w:eastAsia="zh-CN"/>
              </w:rPr>
              <w:t>项目负责人自</w:t>
            </w:r>
            <w:r>
              <w:rPr>
                <w:rFonts w:hint="eastAsia" w:ascii="宋体" w:hAnsi="宋体" w:eastAsia="宋体" w:cs="宋体"/>
                <w:color w:val="auto"/>
                <w:sz w:val="24"/>
                <w:szCs w:val="24"/>
                <w:highlight w:val="none"/>
              </w:rPr>
              <w:t>20</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月1日（含）以来，承担过</w:t>
            </w:r>
            <w:r>
              <w:rPr>
                <w:rFonts w:hint="eastAsia" w:ascii="宋体" w:hAnsi="宋体" w:eastAsia="宋体" w:cs="宋体"/>
                <w:color w:val="auto"/>
                <w:sz w:val="24"/>
                <w:szCs w:val="24"/>
                <w:highlight w:val="none"/>
                <w:lang w:eastAsia="zh-CN"/>
              </w:rPr>
              <w:t>类似</w:t>
            </w:r>
            <w:r>
              <w:rPr>
                <w:rFonts w:hint="eastAsia" w:ascii="宋体" w:hAnsi="宋体" w:eastAsia="宋体" w:cs="宋体"/>
                <w:color w:val="auto"/>
                <w:sz w:val="24"/>
                <w:szCs w:val="24"/>
                <w:highlight w:val="none"/>
                <w:lang w:val="en-US" w:eastAsia="zh-CN"/>
              </w:rPr>
              <w:t>实验室设计业绩的得</w:t>
            </w:r>
            <w:r>
              <w:rPr>
                <w:rFonts w:hint="eastAsia" w:asci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分，满分</w:t>
            </w:r>
            <w:r>
              <w:rPr>
                <w:rFonts w:hint="eastAsia" w:asci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（须提供设计合同及中标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复印件加盖投标供应商公章</w:t>
            </w:r>
            <w:r>
              <w:rPr>
                <w:rFonts w:hint="eastAsia" w:ascii="宋体" w:hAnsi="宋体" w:eastAsia="宋体" w:cs="宋体"/>
                <w:color w:val="auto"/>
                <w:sz w:val="24"/>
                <w:szCs w:val="24"/>
                <w:highlight w:val="none"/>
              </w:rPr>
              <w:t>，直接发包项目可不提供中标通知书，但须提供加盖行业主管部门签章的直接发包登记表或发包人出具的加盖单位公章的直接发包证明；时间以合同签订时间为准。提供的证明材料必须能反映出相关数据和内容，否则一律视为未提供。企业业绩与项目负责人业绩不能兼得）</w:t>
            </w:r>
          </w:p>
        </w:tc>
      </w:tr>
      <w:tr w14:paraId="25D066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atLeast"/>
          <w:jc w:val="center"/>
        </w:trPr>
        <w:tc>
          <w:tcPr>
            <w:tcW w:w="728" w:type="dxa"/>
            <w:noWrap w:val="0"/>
            <w:vAlign w:val="center"/>
          </w:tcPr>
          <w:p w14:paraId="717FAD4E">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4</w:t>
            </w:r>
          </w:p>
        </w:tc>
        <w:tc>
          <w:tcPr>
            <w:tcW w:w="505" w:type="dxa"/>
            <w:vMerge w:val="continue"/>
            <w:noWrap w:val="0"/>
            <w:vAlign w:val="center"/>
          </w:tcPr>
          <w:p w14:paraId="488EDB6B">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4FD42A79">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项目负责人</w:t>
            </w:r>
          </w:p>
        </w:tc>
        <w:tc>
          <w:tcPr>
            <w:tcW w:w="731" w:type="dxa"/>
            <w:noWrap w:val="0"/>
            <w:vAlign w:val="center"/>
          </w:tcPr>
          <w:p w14:paraId="6B0BDECE">
            <w:pPr>
              <w:pStyle w:val="73"/>
              <w:spacing w:line="360" w:lineRule="auto"/>
              <w:ind w:left="1" w:firstLine="0" w:firstLineChars="0"/>
              <w:jc w:val="center"/>
              <w:rPr>
                <w:rFonts w:hint="eastAsia" w:ascii="宋体" w:hAnsi="宋体" w:eastAsia="宋体" w:cs="宋体"/>
                <w:color w:val="auto"/>
                <w:sz w:val="24"/>
                <w:szCs w:val="24"/>
                <w:highlight w:val="none"/>
                <w:lang w:eastAsia="zh-CN"/>
              </w:rPr>
            </w:pPr>
            <w:r>
              <w:rPr>
                <w:rFonts w:hint="eastAsia" w:ascii="宋体" w:eastAsia="宋体" w:cs="宋体"/>
                <w:color w:val="auto"/>
                <w:sz w:val="24"/>
                <w:szCs w:val="24"/>
                <w:highlight w:val="none"/>
                <w:lang w:val="en-US" w:eastAsia="zh-CN"/>
              </w:rPr>
              <w:t>2</w:t>
            </w:r>
          </w:p>
        </w:tc>
        <w:tc>
          <w:tcPr>
            <w:tcW w:w="6717" w:type="dxa"/>
            <w:noWrap w:val="0"/>
            <w:vAlign w:val="top"/>
          </w:tcPr>
          <w:p w14:paraId="2D71F1F0">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具有高级工程师及以上职称的得2分</w:t>
            </w:r>
            <w:r>
              <w:rPr>
                <w:rFonts w:hint="eastAsia" w:asci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具有工程建设类工程师职称的</w:t>
            </w:r>
            <w:r>
              <w:rPr>
                <w:rFonts w:hint="eastAsia" w:ascii="宋体" w:hAnsi="宋体" w:eastAsia="宋体" w:cs="宋体"/>
                <w:color w:val="auto"/>
                <w:sz w:val="24"/>
                <w:szCs w:val="24"/>
                <w:highlight w:val="none"/>
                <w:lang w:eastAsia="zh-CN"/>
              </w:rPr>
              <w:t>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提供职称证书</w:t>
            </w:r>
            <w:r>
              <w:rPr>
                <w:rFonts w:hint="eastAsia" w:ascii="宋体" w:hAnsi="宋体" w:eastAsia="宋体" w:cs="宋体"/>
                <w:color w:val="auto"/>
                <w:sz w:val="24"/>
                <w:szCs w:val="24"/>
                <w:highlight w:val="none"/>
                <w:lang w:eastAsia="zh-CN"/>
              </w:rPr>
              <w:t>复印件加盖投标供应商公章）</w:t>
            </w:r>
          </w:p>
        </w:tc>
      </w:tr>
      <w:tr w14:paraId="177F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9" w:hRule="atLeast"/>
          <w:jc w:val="center"/>
        </w:trPr>
        <w:tc>
          <w:tcPr>
            <w:tcW w:w="728" w:type="dxa"/>
            <w:noWrap w:val="0"/>
            <w:vAlign w:val="center"/>
          </w:tcPr>
          <w:p w14:paraId="5087599C">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5</w:t>
            </w:r>
          </w:p>
        </w:tc>
        <w:tc>
          <w:tcPr>
            <w:tcW w:w="505" w:type="dxa"/>
            <w:vMerge w:val="continue"/>
            <w:noWrap w:val="0"/>
            <w:vAlign w:val="center"/>
          </w:tcPr>
          <w:p w14:paraId="5E8FCDEC">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2925A989">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建筑专业人员1名</w:t>
            </w:r>
          </w:p>
        </w:tc>
        <w:tc>
          <w:tcPr>
            <w:tcW w:w="731" w:type="dxa"/>
            <w:noWrap w:val="0"/>
            <w:vAlign w:val="center"/>
          </w:tcPr>
          <w:p w14:paraId="322EC002">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6717" w:type="dxa"/>
            <w:noWrap w:val="0"/>
            <w:vAlign w:val="top"/>
          </w:tcPr>
          <w:p w14:paraId="001DBDF3">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具有一级注册建筑师证书的得2分；同时具有高级工程师及以上职称的加2分，具有工程师职称的加1分。</w:t>
            </w:r>
            <w:r>
              <w:rPr>
                <w:rFonts w:hint="eastAsia" w:ascii="宋体" w:hAnsi="宋体" w:eastAsia="宋体" w:cs="宋体"/>
                <w:color w:val="auto"/>
                <w:sz w:val="24"/>
                <w:szCs w:val="24"/>
                <w:highlight w:val="none"/>
              </w:rPr>
              <w:t>（提供注册证书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职称证书</w:t>
            </w:r>
            <w:r>
              <w:rPr>
                <w:rFonts w:hint="eastAsia" w:ascii="宋体" w:hAnsi="宋体" w:eastAsia="宋体" w:cs="宋体"/>
                <w:color w:val="auto"/>
                <w:sz w:val="24"/>
                <w:szCs w:val="24"/>
                <w:highlight w:val="none"/>
                <w:lang w:eastAsia="zh-CN"/>
              </w:rPr>
              <w:t>复印件加盖投标供应商公章）</w:t>
            </w:r>
          </w:p>
        </w:tc>
      </w:tr>
      <w:tr w14:paraId="4514B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28" w:type="dxa"/>
            <w:noWrap w:val="0"/>
            <w:vAlign w:val="center"/>
          </w:tcPr>
          <w:p w14:paraId="0965B9DA">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6</w:t>
            </w:r>
          </w:p>
        </w:tc>
        <w:tc>
          <w:tcPr>
            <w:tcW w:w="505" w:type="dxa"/>
            <w:vMerge w:val="continue"/>
            <w:noWrap w:val="0"/>
            <w:vAlign w:val="center"/>
          </w:tcPr>
          <w:p w14:paraId="62531600">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684EEDF1">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结构专业人员1名</w:t>
            </w:r>
          </w:p>
        </w:tc>
        <w:tc>
          <w:tcPr>
            <w:tcW w:w="731" w:type="dxa"/>
            <w:noWrap w:val="0"/>
            <w:vAlign w:val="center"/>
          </w:tcPr>
          <w:p w14:paraId="5CC1388C">
            <w:pPr>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4</w:t>
            </w:r>
          </w:p>
        </w:tc>
        <w:tc>
          <w:tcPr>
            <w:tcW w:w="6717" w:type="dxa"/>
            <w:noWrap w:val="0"/>
            <w:vAlign w:val="top"/>
          </w:tcPr>
          <w:p w14:paraId="3E3FEFD8">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具有一级注册结构工程师证书的得2分；同时具有高级工程师及以上职称的加2分，具有工程师职称的加1分。（提供注册证书、职称证书复印件加盖投标供应商公章）</w:t>
            </w:r>
          </w:p>
        </w:tc>
      </w:tr>
      <w:tr w14:paraId="07B32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28" w:type="dxa"/>
            <w:noWrap w:val="0"/>
            <w:vAlign w:val="center"/>
          </w:tcPr>
          <w:p w14:paraId="5F1D5955">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7</w:t>
            </w:r>
          </w:p>
        </w:tc>
        <w:tc>
          <w:tcPr>
            <w:tcW w:w="505" w:type="dxa"/>
            <w:vMerge w:val="continue"/>
            <w:noWrap w:val="0"/>
            <w:vAlign w:val="center"/>
          </w:tcPr>
          <w:p w14:paraId="28D630B8">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0961DD08">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电气专业人员1名</w:t>
            </w:r>
          </w:p>
        </w:tc>
        <w:tc>
          <w:tcPr>
            <w:tcW w:w="731" w:type="dxa"/>
            <w:noWrap w:val="0"/>
            <w:vAlign w:val="center"/>
          </w:tcPr>
          <w:p w14:paraId="4D8E7C77">
            <w:pPr>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4</w:t>
            </w:r>
          </w:p>
        </w:tc>
        <w:tc>
          <w:tcPr>
            <w:tcW w:w="6717" w:type="dxa"/>
            <w:noWrap w:val="0"/>
            <w:vAlign w:val="top"/>
          </w:tcPr>
          <w:p w14:paraId="54F54EA8">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具备注册电气工程师（供配电）证书的得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同时具有高级工程师及以上职称的加2分，具有工程师职称的加1分。</w:t>
            </w:r>
            <w:r>
              <w:rPr>
                <w:rFonts w:hint="eastAsia" w:ascii="宋体" w:hAnsi="宋体" w:eastAsia="宋体" w:cs="宋体"/>
                <w:color w:val="auto"/>
                <w:sz w:val="24"/>
                <w:szCs w:val="24"/>
                <w:highlight w:val="none"/>
              </w:rPr>
              <w:t>（提供注册证书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职称证书</w:t>
            </w:r>
            <w:r>
              <w:rPr>
                <w:rFonts w:hint="eastAsia" w:ascii="宋体" w:hAnsi="宋体" w:eastAsia="宋体" w:cs="宋体"/>
                <w:color w:val="auto"/>
                <w:sz w:val="24"/>
                <w:szCs w:val="24"/>
                <w:highlight w:val="none"/>
                <w:lang w:eastAsia="zh-CN"/>
              </w:rPr>
              <w:t>复印件加盖投标供应商公章）</w:t>
            </w:r>
          </w:p>
        </w:tc>
      </w:tr>
      <w:tr w14:paraId="05D09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0" w:hRule="atLeast"/>
          <w:jc w:val="center"/>
        </w:trPr>
        <w:tc>
          <w:tcPr>
            <w:tcW w:w="728" w:type="dxa"/>
            <w:noWrap w:val="0"/>
            <w:vAlign w:val="center"/>
          </w:tcPr>
          <w:p w14:paraId="5610C191">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8</w:t>
            </w:r>
          </w:p>
        </w:tc>
        <w:tc>
          <w:tcPr>
            <w:tcW w:w="505" w:type="dxa"/>
            <w:vMerge w:val="continue"/>
            <w:noWrap w:val="0"/>
            <w:vAlign w:val="center"/>
          </w:tcPr>
          <w:p w14:paraId="7A757CDE">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06BC1AD8">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给排水专业人员1名</w:t>
            </w:r>
          </w:p>
        </w:tc>
        <w:tc>
          <w:tcPr>
            <w:tcW w:w="731" w:type="dxa"/>
            <w:noWrap w:val="0"/>
            <w:vAlign w:val="center"/>
          </w:tcPr>
          <w:p w14:paraId="0452E934">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4</w:t>
            </w:r>
          </w:p>
        </w:tc>
        <w:tc>
          <w:tcPr>
            <w:tcW w:w="6717" w:type="dxa"/>
            <w:noWrap w:val="0"/>
            <w:vAlign w:val="center"/>
          </w:tcPr>
          <w:p w14:paraId="27640E59">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具有注册公用设备工程师（给水排水）证书的得2分；同时具有高级工程师及以上职称的加2分，具有工程师职称的加1分。（提供注册证书、职称证书复印件加盖投标供应商公章）</w:t>
            </w:r>
          </w:p>
        </w:tc>
      </w:tr>
      <w:tr w14:paraId="35CE7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28" w:type="dxa"/>
            <w:noWrap w:val="0"/>
            <w:vAlign w:val="center"/>
          </w:tcPr>
          <w:p w14:paraId="61DF40F0">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9</w:t>
            </w:r>
          </w:p>
        </w:tc>
        <w:tc>
          <w:tcPr>
            <w:tcW w:w="505" w:type="dxa"/>
            <w:vMerge w:val="continue"/>
            <w:noWrap w:val="0"/>
            <w:vAlign w:val="center"/>
          </w:tcPr>
          <w:p w14:paraId="22E9CEC0">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39CA90E3">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暖通专业人员1名</w:t>
            </w:r>
          </w:p>
        </w:tc>
        <w:tc>
          <w:tcPr>
            <w:tcW w:w="731" w:type="dxa"/>
            <w:noWrap w:val="0"/>
            <w:vAlign w:val="center"/>
          </w:tcPr>
          <w:p w14:paraId="49B68E9E">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4</w:t>
            </w:r>
          </w:p>
        </w:tc>
        <w:tc>
          <w:tcPr>
            <w:tcW w:w="6717" w:type="dxa"/>
            <w:noWrap w:val="0"/>
            <w:vAlign w:val="top"/>
          </w:tcPr>
          <w:p w14:paraId="39ACABFE">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具有注册公用设备工程师（暖通空调）证书的得2分;同时具有高级工程师及以上职称的加2分，具有工程师职称的加1分。</w:t>
            </w:r>
            <w:r>
              <w:rPr>
                <w:rFonts w:hint="eastAsia" w:ascii="宋体" w:hAnsi="宋体" w:eastAsia="宋体" w:cs="宋体"/>
                <w:color w:val="auto"/>
                <w:sz w:val="24"/>
                <w:szCs w:val="24"/>
                <w:highlight w:val="none"/>
                <w:lang w:eastAsia="zh-CN"/>
              </w:rPr>
              <w:t>（提供注册证书、职称证书复印件加盖投标供应商公章）</w:t>
            </w:r>
          </w:p>
        </w:tc>
      </w:tr>
      <w:tr w14:paraId="0C1F0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28" w:type="dxa"/>
            <w:noWrap w:val="0"/>
            <w:vAlign w:val="center"/>
          </w:tcPr>
          <w:p w14:paraId="7BED2DA9">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10</w:t>
            </w:r>
          </w:p>
        </w:tc>
        <w:tc>
          <w:tcPr>
            <w:tcW w:w="505" w:type="dxa"/>
            <w:vMerge w:val="continue"/>
            <w:noWrap w:val="0"/>
            <w:vAlign w:val="center"/>
          </w:tcPr>
          <w:p w14:paraId="4E16B7A6">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5C7EBA2C">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室内设计专业人员1名</w:t>
            </w:r>
          </w:p>
        </w:tc>
        <w:tc>
          <w:tcPr>
            <w:tcW w:w="731" w:type="dxa"/>
            <w:noWrap w:val="0"/>
            <w:vAlign w:val="center"/>
          </w:tcPr>
          <w:p w14:paraId="0B623A12">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717" w:type="dxa"/>
            <w:noWrap w:val="0"/>
            <w:vAlign w:val="top"/>
          </w:tcPr>
          <w:p w14:paraId="019C16D2">
            <w:pPr>
              <w:pStyle w:val="73"/>
              <w:spacing w:line="360" w:lineRule="auto"/>
              <w:ind w:left="1" w:firstLine="0" w:firstLine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具有高级工程师及以上职称的得2分，具有工程师职称的加1分。</w:t>
            </w:r>
            <w:r>
              <w:rPr>
                <w:rFonts w:hint="eastAsia" w:ascii="宋体" w:hAnsi="宋体" w:eastAsia="宋体" w:cs="宋体"/>
                <w:color w:val="auto"/>
                <w:sz w:val="24"/>
                <w:szCs w:val="24"/>
                <w:highlight w:val="none"/>
                <w:lang w:eastAsia="zh-CN"/>
              </w:rPr>
              <w:t>（提供职称证书复印件加盖投标供应商公章，专业以职称证书上注明的专业为准，职称证书无法体现专业的，以毕业证书为准。）</w:t>
            </w:r>
          </w:p>
        </w:tc>
      </w:tr>
      <w:tr w14:paraId="35150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jc w:val="center"/>
        </w:trPr>
        <w:tc>
          <w:tcPr>
            <w:tcW w:w="728" w:type="dxa"/>
            <w:noWrap w:val="0"/>
            <w:vAlign w:val="center"/>
          </w:tcPr>
          <w:p w14:paraId="324F8D89">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11</w:t>
            </w:r>
          </w:p>
        </w:tc>
        <w:tc>
          <w:tcPr>
            <w:tcW w:w="505" w:type="dxa"/>
            <w:vMerge w:val="continue"/>
            <w:noWrap w:val="0"/>
            <w:vAlign w:val="center"/>
          </w:tcPr>
          <w:p w14:paraId="5C9C02DF">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479091A1">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造价人员1名</w:t>
            </w:r>
          </w:p>
        </w:tc>
        <w:tc>
          <w:tcPr>
            <w:tcW w:w="731" w:type="dxa"/>
            <w:noWrap w:val="0"/>
            <w:vAlign w:val="center"/>
          </w:tcPr>
          <w:p w14:paraId="2657D02C">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4</w:t>
            </w:r>
          </w:p>
        </w:tc>
        <w:tc>
          <w:tcPr>
            <w:tcW w:w="6717" w:type="dxa"/>
            <w:noWrap w:val="0"/>
            <w:vAlign w:val="top"/>
          </w:tcPr>
          <w:p w14:paraId="6EE8E632">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具有一级注册造价工程师（旧版为国家注册造价工程师）证书的得2分；同时具有高级工程师及以上职称的加2分，具有工程师职称的加1分。</w:t>
            </w:r>
            <w:r>
              <w:rPr>
                <w:rFonts w:hint="eastAsia" w:ascii="宋体" w:hAnsi="宋体" w:eastAsia="宋体" w:cs="宋体"/>
                <w:color w:val="auto"/>
                <w:sz w:val="24"/>
                <w:szCs w:val="24"/>
                <w:highlight w:val="none"/>
              </w:rPr>
              <w:t>（提供注册证书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职称证书</w:t>
            </w:r>
            <w:r>
              <w:rPr>
                <w:rFonts w:hint="eastAsia" w:ascii="宋体" w:hAnsi="宋体" w:eastAsia="宋体" w:cs="宋体"/>
                <w:color w:val="auto"/>
                <w:sz w:val="24"/>
                <w:szCs w:val="24"/>
                <w:highlight w:val="none"/>
                <w:lang w:eastAsia="zh-CN"/>
              </w:rPr>
              <w:t>复印件加盖投标供应商公章）</w:t>
            </w:r>
          </w:p>
        </w:tc>
      </w:tr>
      <w:tr w14:paraId="1C1E0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28" w:type="dxa"/>
            <w:noWrap w:val="0"/>
            <w:vAlign w:val="center"/>
          </w:tcPr>
          <w:p w14:paraId="59C003BA">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12</w:t>
            </w:r>
          </w:p>
        </w:tc>
        <w:tc>
          <w:tcPr>
            <w:tcW w:w="505" w:type="dxa"/>
            <w:vMerge w:val="continue"/>
            <w:noWrap w:val="0"/>
            <w:vAlign w:val="center"/>
          </w:tcPr>
          <w:p w14:paraId="325AAAE5">
            <w:pPr>
              <w:pStyle w:val="73"/>
              <w:spacing w:line="360" w:lineRule="auto"/>
              <w:ind w:left="1" w:firstLine="0" w:firstLineChars="0"/>
              <w:rPr>
                <w:rFonts w:hint="eastAsia" w:ascii="宋体" w:hAnsi="宋体" w:eastAsia="宋体" w:cs="宋体"/>
                <w:color w:val="auto"/>
                <w:sz w:val="24"/>
                <w:szCs w:val="24"/>
                <w:highlight w:val="none"/>
              </w:rPr>
            </w:pPr>
          </w:p>
        </w:tc>
        <w:tc>
          <w:tcPr>
            <w:tcW w:w="1173" w:type="dxa"/>
            <w:shd w:val="clear" w:color="auto" w:fill="auto"/>
            <w:noWrap w:val="0"/>
            <w:vAlign w:val="center"/>
          </w:tcPr>
          <w:p w14:paraId="3C56C14C">
            <w:pPr>
              <w:pStyle w:val="73"/>
              <w:spacing w:line="360" w:lineRule="auto"/>
              <w:ind w:left="1" w:leftChars="0" w:firstLine="0" w:firstLineChars="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人员驻场服务</w:t>
            </w:r>
          </w:p>
        </w:tc>
        <w:tc>
          <w:tcPr>
            <w:tcW w:w="731" w:type="dxa"/>
            <w:noWrap w:val="0"/>
            <w:vAlign w:val="center"/>
          </w:tcPr>
          <w:p w14:paraId="0DAE794A">
            <w:pPr>
              <w:pStyle w:val="73"/>
              <w:spacing w:line="360" w:lineRule="auto"/>
              <w:ind w:left="1" w:firstLine="0" w:firstLineChars="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6717" w:type="dxa"/>
            <w:noWrap w:val="0"/>
            <w:vAlign w:val="top"/>
          </w:tcPr>
          <w:p w14:paraId="6E68A661">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投标人承诺拟派一名具有工程师及以上职称人员在设计合同签订之日开始至工程竣工验收合格之日止常驻现场进行设计沟通对接及完成发包人安排的事项，每天不低于8小时，每周不低于5天的得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分。(提供加盖投标人公章和指定驻场人员签字的承诺书</w:t>
            </w:r>
            <w:r>
              <w:rPr>
                <w:rFonts w:hint="eastAsia" w:ascii="宋体" w:hAnsi="宋体" w:eastAsia="宋体" w:cs="宋体"/>
                <w:color w:val="auto"/>
                <w:sz w:val="24"/>
                <w:szCs w:val="24"/>
                <w:highlight w:val="none"/>
                <w:lang w:eastAsia="zh-CN"/>
              </w:rPr>
              <w:t>加盖投标供应商公章</w:t>
            </w:r>
            <w:r>
              <w:rPr>
                <w:rFonts w:hint="eastAsia" w:ascii="宋体" w:hAnsi="宋体" w:eastAsia="宋体" w:cs="宋体"/>
                <w:color w:val="auto"/>
                <w:sz w:val="24"/>
                <w:szCs w:val="24"/>
                <w:highlight w:val="none"/>
              </w:rPr>
              <w:t>)。</w:t>
            </w:r>
          </w:p>
        </w:tc>
      </w:tr>
      <w:tr w14:paraId="47247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jc w:val="center"/>
        </w:trPr>
        <w:tc>
          <w:tcPr>
            <w:tcW w:w="728" w:type="dxa"/>
            <w:noWrap w:val="0"/>
            <w:vAlign w:val="center"/>
          </w:tcPr>
          <w:p w14:paraId="00E2BA73">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13</w:t>
            </w:r>
          </w:p>
        </w:tc>
        <w:tc>
          <w:tcPr>
            <w:tcW w:w="505" w:type="dxa"/>
            <w:vMerge w:val="restart"/>
            <w:noWrap w:val="0"/>
            <w:vAlign w:val="center"/>
          </w:tcPr>
          <w:p w14:paraId="70DD9475">
            <w:pPr>
              <w:spacing w:beforeLines="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技术部分</w:t>
            </w:r>
          </w:p>
        </w:tc>
        <w:tc>
          <w:tcPr>
            <w:tcW w:w="1173" w:type="dxa"/>
            <w:shd w:val="clear" w:color="auto" w:fill="auto"/>
            <w:noWrap w:val="0"/>
            <w:vAlign w:val="center"/>
          </w:tcPr>
          <w:p w14:paraId="237E5C6C">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总体设计思路与理念</w:t>
            </w:r>
          </w:p>
        </w:tc>
        <w:tc>
          <w:tcPr>
            <w:tcW w:w="731" w:type="dxa"/>
            <w:noWrap w:val="0"/>
            <w:vAlign w:val="center"/>
          </w:tcPr>
          <w:p w14:paraId="4BA032C9">
            <w:pPr>
              <w:spacing w:beforeLines="5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6717" w:type="dxa"/>
            <w:noWrap w:val="0"/>
            <w:vAlign w:val="center"/>
          </w:tcPr>
          <w:p w14:paraId="732A624C">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项目实施总体方案</w:t>
            </w:r>
            <w:r>
              <w:rPr>
                <w:rFonts w:hint="eastAsia" w:ascii="宋体" w:hAnsi="宋体" w:eastAsia="宋体" w:cs="宋体"/>
                <w:color w:val="auto"/>
                <w:sz w:val="24"/>
                <w:szCs w:val="24"/>
                <w:highlight w:val="none"/>
                <w:lang w:eastAsia="zh-CN"/>
              </w:rPr>
              <w:t>（包括但不限于：</w:t>
            </w:r>
            <w:r>
              <w:rPr>
                <w:rFonts w:hint="eastAsia" w:ascii="宋体" w:hAnsi="宋体" w:eastAsia="宋体" w:cs="宋体"/>
                <w:color w:val="auto"/>
                <w:sz w:val="24"/>
                <w:szCs w:val="24"/>
                <w:highlight w:val="none"/>
              </w:rPr>
              <w:t>项目总体设计思路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设计理念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本项目周边自然条件、沿线及现状基本情况、规划概况、空间环境等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的清晰性、全面性、前瞻性、合理性、科学性、可行性及针对性等方面进行综合评分：</w:t>
            </w:r>
          </w:p>
          <w:p w14:paraId="0AE69870">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方案表述非常清晰、非常全面、非常科学合理，前瞻性、可行性及针对性非常强，得</w:t>
            </w:r>
            <w:r>
              <w:rPr>
                <w:rFonts w:hint="eastAsia" w:asci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分；</w:t>
            </w:r>
          </w:p>
          <w:p w14:paraId="5349477E">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方案表述较清晰、较全面、较科学合理，前瞻性、可行性及针对性较强，得</w:t>
            </w:r>
            <w:r>
              <w:rPr>
                <w:rFonts w:hint="eastAsia" w:asci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分；</w:t>
            </w:r>
          </w:p>
          <w:p w14:paraId="79B975FC">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方案表述一般，满足项目基本需求，得</w:t>
            </w:r>
            <w:r>
              <w:rPr>
                <w:rFonts w:hint="eastAsia" w:asci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14:paraId="53BD06BC">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方案表述较差、仅从单一方面进行表述</w:t>
            </w:r>
            <w:r>
              <w:rPr>
                <w:rFonts w:hint="eastAsia" w:ascii="宋体" w:eastAsia="宋体" w:cs="宋体"/>
                <w:color w:val="auto"/>
                <w:sz w:val="24"/>
                <w:szCs w:val="24"/>
                <w:highlight w:val="none"/>
                <w:lang w:eastAsia="zh-CN"/>
              </w:rPr>
              <w:t>，</w:t>
            </w:r>
            <w:r>
              <w:rPr>
                <w:rFonts w:hint="eastAsia" w:ascii="宋体" w:hAnsi="宋体" w:eastAsia="宋体" w:cs="宋体"/>
                <w:color w:val="auto"/>
                <w:sz w:val="24"/>
                <w:szCs w:val="24"/>
                <w:highlight w:val="none"/>
              </w:rPr>
              <w:t>得</w:t>
            </w:r>
            <w:r>
              <w:rPr>
                <w:rFonts w:hint="eastAsia" w:asci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5D35B4D3">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未提供者不得分。</w:t>
            </w:r>
          </w:p>
        </w:tc>
      </w:tr>
      <w:tr w14:paraId="0789C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jc w:val="center"/>
        </w:trPr>
        <w:tc>
          <w:tcPr>
            <w:tcW w:w="728" w:type="dxa"/>
            <w:noWrap w:val="0"/>
            <w:vAlign w:val="center"/>
          </w:tcPr>
          <w:p w14:paraId="4A285F9F">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14</w:t>
            </w:r>
          </w:p>
        </w:tc>
        <w:tc>
          <w:tcPr>
            <w:tcW w:w="505" w:type="dxa"/>
            <w:vMerge w:val="continue"/>
            <w:noWrap w:val="0"/>
            <w:vAlign w:val="center"/>
          </w:tcPr>
          <w:p w14:paraId="14C633DF">
            <w:pPr>
              <w:spacing w:beforeLines="50"/>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4E709628">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eastAsia="zh-CN"/>
              </w:rPr>
              <w:t>方案设计</w:t>
            </w:r>
          </w:p>
        </w:tc>
        <w:tc>
          <w:tcPr>
            <w:tcW w:w="731" w:type="dxa"/>
            <w:noWrap w:val="0"/>
            <w:vAlign w:val="center"/>
          </w:tcPr>
          <w:p w14:paraId="6A5A7441">
            <w:pPr>
              <w:spacing w:beforeLines="5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p>
        </w:tc>
        <w:tc>
          <w:tcPr>
            <w:tcW w:w="6717" w:type="dxa"/>
            <w:noWrap w:val="0"/>
            <w:vAlign w:val="center"/>
          </w:tcPr>
          <w:p w14:paraId="7487ACD6">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eastAsia="zh-CN"/>
              </w:rPr>
              <w:t>方案设计（包括但不限于：</w:t>
            </w:r>
            <w:r>
              <w:rPr>
                <w:rFonts w:hint="eastAsia" w:ascii="宋体" w:hAnsi="宋体" w:eastAsia="宋体" w:cs="宋体"/>
                <w:color w:val="auto"/>
                <w:sz w:val="24"/>
                <w:szCs w:val="24"/>
                <w:highlight w:val="none"/>
              </w:rPr>
              <w:t>平面布局</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、功能设置</w:t>
            </w:r>
            <w:r>
              <w:rPr>
                <w:rFonts w:hint="eastAsia" w:ascii="宋体" w:hAnsi="宋体" w:eastAsia="宋体" w:cs="宋体"/>
                <w:color w:val="auto"/>
                <w:sz w:val="24"/>
                <w:szCs w:val="24"/>
                <w:highlight w:val="none"/>
                <w:lang w:eastAsia="zh-CN"/>
              </w:rPr>
              <w:t>方案</w:t>
            </w:r>
            <w:r>
              <w:rPr>
                <w:rFonts w:hint="eastAsia" w:ascii="宋体" w:hAnsi="宋体" w:eastAsia="宋体" w:cs="宋体"/>
                <w:color w:val="auto"/>
                <w:sz w:val="24"/>
                <w:szCs w:val="24"/>
                <w:highlight w:val="none"/>
              </w:rPr>
              <w:t>、各专业衔接方案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各功能分区是否明确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各专业方案可行、各项内容完整合理并满足设计任务书要求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造价估算与成本控制与限额设计方案措施等方面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进行综合评分：</w:t>
            </w:r>
          </w:p>
          <w:p w14:paraId="338EBB66">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方案表述非常清晰、非常全面、非常科学合理，前瞻性、可行性及针对性非常强，得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14:paraId="3ADD2F0D">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方案表述较清晰、较全面、较科学合理，前瞻性、可行性及针对性较强，得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4CBA4488">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方案表述一般，满足项目基本需求，得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67DE9F88">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方案表述较差、仅从单一方面进行表述或未提供者不得分。</w:t>
            </w:r>
          </w:p>
        </w:tc>
      </w:tr>
      <w:tr w14:paraId="5318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28" w:type="dxa"/>
            <w:noWrap w:val="0"/>
            <w:vAlign w:val="center"/>
          </w:tcPr>
          <w:p w14:paraId="5AE0186F">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15</w:t>
            </w:r>
          </w:p>
        </w:tc>
        <w:tc>
          <w:tcPr>
            <w:tcW w:w="505" w:type="dxa"/>
            <w:vMerge w:val="continue"/>
            <w:noWrap w:val="0"/>
            <w:vAlign w:val="center"/>
          </w:tcPr>
          <w:p w14:paraId="28DD1A9A">
            <w:pPr>
              <w:spacing w:beforeLines="50"/>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22F67BBE">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进度计划和进度保证措施</w:t>
            </w:r>
          </w:p>
        </w:tc>
        <w:tc>
          <w:tcPr>
            <w:tcW w:w="731" w:type="dxa"/>
            <w:noWrap w:val="0"/>
            <w:vAlign w:val="center"/>
          </w:tcPr>
          <w:p w14:paraId="7AA95A7A">
            <w:pPr>
              <w:spacing w:beforeLines="5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6717" w:type="dxa"/>
            <w:noWrap w:val="0"/>
            <w:vAlign w:val="center"/>
          </w:tcPr>
          <w:p w14:paraId="1B3B1D95">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进度计划和进度保证措施方案的清晰性、完整性、合理性及可行性等方面进行综合评分：</w:t>
            </w:r>
          </w:p>
          <w:p w14:paraId="78600BAB">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方案表述非常清晰、非常全面、非常科学合理，前瞻性、可行性及针对性非常强，得</w:t>
            </w:r>
            <w:r>
              <w:rPr>
                <w:rFonts w:hint="eastAsia" w:asci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26702157">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方案表述较清晰、较全面、较科学合理，前瞻性、可行性及针对性较强，得</w:t>
            </w:r>
            <w:r>
              <w:rPr>
                <w:rFonts w:hint="eastAsia" w:asci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441A7615">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方案表述一般，满足项目基本需求，得</w:t>
            </w:r>
            <w:r>
              <w:rPr>
                <w:rFonts w:hint="eastAsia" w:asci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58FD815D">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方案表述较差、仅从单一方面进行表述或未提供者不得分。</w:t>
            </w:r>
          </w:p>
        </w:tc>
      </w:tr>
      <w:tr w14:paraId="4E44C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728" w:type="dxa"/>
            <w:noWrap w:val="0"/>
            <w:vAlign w:val="center"/>
          </w:tcPr>
          <w:p w14:paraId="25211D37">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16</w:t>
            </w:r>
          </w:p>
        </w:tc>
        <w:tc>
          <w:tcPr>
            <w:tcW w:w="505" w:type="dxa"/>
            <w:vMerge w:val="continue"/>
            <w:noWrap w:val="0"/>
            <w:vAlign w:val="center"/>
          </w:tcPr>
          <w:p w14:paraId="3B9D504F">
            <w:pPr>
              <w:spacing w:beforeLines="50"/>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11927B74">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质量保证措施</w:t>
            </w:r>
          </w:p>
        </w:tc>
        <w:tc>
          <w:tcPr>
            <w:tcW w:w="731" w:type="dxa"/>
            <w:noWrap w:val="0"/>
            <w:vAlign w:val="center"/>
          </w:tcPr>
          <w:p w14:paraId="4E5E6FFC">
            <w:pPr>
              <w:spacing w:beforeLines="50"/>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7</w:t>
            </w:r>
          </w:p>
        </w:tc>
        <w:tc>
          <w:tcPr>
            <w:tcW w:w="6717" w:type="dxa"/>
            <w:noWrap w:val="0"/>
            <w:vAlign w:val="center"/>
          </w:tcPr>
          <w:p w14:paraId="69DB268A">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质量保证措施方案，包括但不限于质量控制措施、质量保证体系的科学性、合理性、全面性、可行性、有效性及采用新技术、新工艺的可靠性等方面进行综合评分：</w:t>
            </w:r>
          </w:p>
          <w:p w14:paraId="0A154F05">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方案表述非常清晰、非常全面、非常科学合理，前瞻性、可行性及针对性非常强，得</w:t>
            </w:r>
            <w:r>
              <w:rPr>
                <w:rFonts w:hint="eastAsia" w:asci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1C75172E">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方案表述较清晰、较全面、较科学合理，前瞻性、可行性及针对性较强，得</w:t>
            </w:r>
            <w:r>
              <w:rPr>
                <w:rFonts w:hint="eastAsia" w:asci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65DABADB">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方案表述一般，满足项目基本需求，得</w:t>
            </w:r>
            <w:r>
              <w:rPr>
                <w:rFonts w:hint="eastAsia" w:asci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6E7B0E77">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方案表述较差、仅从单一方面进行表述或未提供者不得分。</w:t>
            </w:r>
          </w:p>
        </w:tc>
      </w:tr>
      <w:tr w14:paraId="06903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28" w:type="dxa"/>
            <w:noWrap w:val="0"/>
            <w:vAlign w:val="center"/>
          </w:tcPr>
          <w:p w14:paraId="7F514B6A">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7</w:t>
            </w:r>
          </w:p>
        </w:tc>
        <w:tc>
          <w:tcPr>
            <w:tcW w:w="505" w:type="dxa"/>
            <w:vMerge w:val="continue"/>
            <w:noWrap w:val="0"/>
            <w:vAlign w:val="center"/>
          </w:tcPr>
          <w:p w14:paraId="38799298">
            <w:pPr>
              <w:spacing w:beforeLines="50"/>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725EF422">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项目的难点分析及解决方案</w:t>
            </w:r>
          </w:p>
        </w:tc>
        <w:tc>
          <w:tcPr>
            <w:tcW w:w="731" w:type="dxa"/>
            <w:noWrap w:val="0"/>
            <w:vAlign w:val="center"/>
          </w:tcPr>
          <w:p w14:paraId="01CC96E6">
            <w:pPr>
              <w:spacing w:beforeLines="5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6717" w:type="dxa"/>
            <w:noWrap w:val="0"/>
            <w:vAlign w:val="center"/>
          </w:tcPr>
          <w:p w14:paraId="4AF62B31">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针对</w:t>
            </w:r>
            <w:r>
              <w:rPr>
                <w:rFonts w:hint="eastAsia" w:ascii="宋体" w:hAnsi="宋体" w:eastAsia="宋体" w:cs="宋体"/>
                <w:color w:val="auto"/>
                <w:sz w:val="24"/>
                <w:szCs w:val="24"/>
                <w:highlight w:val="none"/>
                <w:lang w:val="en-US" w:eastAsia="zh-CN"/>
              </w:rPr>
              <w:t>实验室改造相关内容，包括但不限于通排风、电力增容、工艺设计等</w:t>
            </w:r>
            <w:r>
              <w:rPr>
                <w:rFonts w:hint="eastAsia" w:ascii="宋体" w:hAnsi="宋体" w:eastAsia="宋体" w:cs="宋体"/>
                <w:color w:val="auto"/>
                <w:sz w:val="24"/>
                <w:szCs w:val="24"/>
                <w:highlight w:val="none"/>
              </w:rPr>
              <w:t>关键技术的重点、难点的分析及针对性合理化建议（措施）的科学性、可行性、全面性及有效性等方面进行综合评分：</w:t>
            </w:r>
          </w:p>
          <w:p w14:paraId="129B64C0">
            <w:pPr>
              <w:pStyle w:val="73"/>
              <w:spacing w:line="360" w:lineRule="auto"/>
              <w:ind w:left="1"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方案表述非常清晰、非常全面、非常科学合理，前瞻性、可行性及针对性非常强，得</w:t>
            </w:r>
            <w:r>
              <w:rPr>
                <w:rFonts w:hint="eastAsia" w:asci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lang w:val="en-US" w:eastAsia="zh-CN"/>
              </w:rPr>
              <w:t>分；</w:t>
            </w:r>
          </w:p>
          <w:p w14:paraId="03C0A0D1">
            <w:pPr>
              <w:pStyle w:val="73"/>
              <w:spacing w:line="360" w:lineRule="auto"/>
              <w:ind w:left="1"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方案表述较清晰、较全面、较科学合理，前瞻性、可行性及针对性较强，得</w:t>
            </w:r>
            <w:r>
              <w:rPr>
                <w:rFonts w:hint="eastAsia" w:asci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lang w:val="en-US" w:eastAsia="zh-CN"/>
              </w:rPr>
              <w:t>分；</w:t>
            </w:r>
          </w:p>
          <w:p w14:paraId="26FA754C">
            <w:pPr>
              <w:pStyle w:val="73"/>
              <w:spacing w:line="360" w:lineRule="auto"/>
              <w:ind w:left="1"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方案表述一般，满足项目基本需求，得</w:t>
            </w:r>
            <w:r>
              <w:rPr>
                <w:rFonts w:hint="eastAsia" w:asci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分；</w:t>
            </w:r>
          </w:p>
          <w:p w14:paraId="4915F0ED">
            <w:pPr>
              <w:pStyle w:val="73"/>
              <w:spacing w:line="360" w:lineRule="auto"/>
              <w:ind w:left="1"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方案表述较差、仅从单一方面进行表述</w:t>
            </w:r>
            <w:r>
              <w:rPr>
                <w:rFonts w:hint="eastAsia" w:asci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得</w:t>
            </w:r>
            <w:r>
              <w:rPr>
                <w:rFonts w:hint="eastAsia" w:asci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p>
          <w:p w14:paraId="27A3BB7C">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未提供者不得分。</w:t>
            </w:r>
          </w:p>
        </w:tc>
      </w:tr>
      <w:tr w14:paraId="41222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28" w:type="dxa"/>
            <w:noWrap w:val="0"/>
            <w:vAlign w:val="center"/>
          </w:tcPr>
          <w:p w14:paraId="6B20A9CB">
            <w:pPr>
              <w:spacing w:line="360" w:lineRule="auto"/>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18</w:t>
            </w:r>
          </w:p>
        </w:tc>
        <w:tc>
          <w:tcPr>
            <w:tcW w:w="505" w:type="dxa"/>
            <w:vMerge w:val="continue"/>
            <w:noWrap w:val="0"/>
            <w:vAlign w:val="center"/>
          </w:tcPr>
          <w:p w14:paraId="785FCC79">
            <w:pPr>
              <w:spacing w:beforeLines="50"/>
              <w:jc w:val="center"/>
              <w:rPr>
                <w:rFonts w:hint="eastAsia" w:ascii="宋体" w:hAnsi="宋体" w:eastAsia="宋体" w:cs="宋体"/>
                <w:color w:val="auto"/>
                <w:sz w:val="24"/>
                <w:szCs w:val="24"/>
                <w:highlight w:val="none"/>
              </w:rPr>
            </w:pPr>
          </w:p>
        </w:tc>
        <w:tc>
          <w:tcPr>
            <w:tcW w:w="1173" w:type="dxa"/>
            <w:shd w:val="clear" w:color="auto" w:fill="auto"/>
            <w:noWrap w:val="0"/>
            <w:vAlign w:val="center"/>
          </w:tcPr>
          <w:p w14:paraId="23EA29FF">
            <w:pPr>
              <w:spacing w:beforeLines="5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服务方案</w:t>
            </w:r>
          </w:p>
        </w:tc>
        <w:tc>
          <w:tcPr>
            <w:tcW w:w="731" w:type="dxa"/>
            <w:noWrap w:val="0"/>
            <w:vAlign w:val="center"/>
          </w:tcPr>
          <w:p w14:paraId="22130D6D">
            <w:pPr>
              <w:spacing w:beforeLines="50"/>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6717" w:type="dxa"/>
            <w:noWrap w:val="0"/>
            <w:vAlign w:val="center"/>
          </w:tcPr>
          <w:p w14:paraId="2D81A34F">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供应商提供的</w:t>
            </w:r>
            <w:r>
              <w:rPr>
                <w:rFonts w:hint="eastAsia" w:ascii="宋体" w:hAnsi="宋体" w:eastAsia="宋体" w:cs="宋体"/>
                <w:color w:val="auto"/>
                <w:sz w:val="24"/>
                <w:szCs w:val="24"/>
                <w:highlight w:val="none"/>
              </w:rPr>
              <w:t>针对本项目的服务方案，包括但不限于服务内容、响应速度、响应次数、响应时间、专业技术人员保障等方面进行综合评分：</w:t>
            </w:r>
          </w:p>
          <w:p w14:paraId="7DA423CE">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方案表述非常清晰、非常全面、非常科学合理，前瞻性、可行性及针对性非常强，得</w:t>
            </w:r>
            <w:r>
              <w:rPr>
                <w:rFonts w:hint="eastAsia" w:asci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6626430B">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方案表述较清晰、较全面、较科学合理，前瞻性、可行性及针对性较强，得</w:t>
            </w:r>
            <w:r>
              <w:rPr>
                <w:rFonts w:hint="eastAsia" w:asci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45849802">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方案表述一般，满足项目基本需求，得</w:t>
            </w:r>
            <w:r>
              <w:rPr>
                <w:rFonts w:hint="eastAsia" w:asci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548ECEF">
            <w:pPr>
              <w:pStyle w:val="73"/>
              <w:spacing w:line="360" w:lineRule="auto"/>
              <w:ind w:left="1"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方案表述较差、仅从单一方面进行表述或未提供者不得分。</w:t>
            </w:r>
          </w:p>
        </w:tc>
      </w:tr>
      <w:tr w14:paraId="00071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2406" w:type="dxa"/>
            <w:gridSpan w:val="3"/>
            <w:noWrap w:val="0"/>
            <w:vAlign w:val="center"/>
          </w:tcPr>
          <w:p w14:paraId="7E6FB75A">
            <w:pPr>
              <w:tabs>
                <w:tab w:val="left" w:pos="8610"/>
              </w:tabs>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7448" w:type="dxa"/>
            <w:gridSpan w:val="2"/>
            <w:noWrap w:val="0"/>
            <w:vAlign w:val="center"/>
          </w:tcPr>
          <w:p w14:paraId="1A5AF26F">
            <w:pPr>
              <w:pStyle w:val="73"/>
              <w:spacing w:line="360" w:lineRule="auto"/>
              <w:ind w:firstLine="0" w:firstLineChars="0"/>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100分</w:t>
            </w:r>
          </w:p>
        </w:tc>
      </w:tr>
    </w:tbl>
    <w:p w14:paraId="32A0031C">
      <w:pPr>
        <w:spacing w:line="320" w:lineRule="exact"/>
        <w:ind w:firstLine="361" w:firstLineChars="15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0ED7A69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1、中小企业划型标准按照《关于印发中小企业划型标准规定的通知（工信部联企业〔2011〕300号）》文的相关规定认定。</w:t>
      </w:r>
    </w:p>
    <w:p w14:paraId="59A65A58">
      <w:pPr>
        <w:spacing w:line="360" w:lineRule="auto"/>
        <w:ind w:left="-6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根据“关于印发《政府采购促进中小企业发展管理办法》的通知”（财库〔2020〕46号）的规定，对于专门面向中小企业或小型、微型企业的项目，只面向中小企业或小型、微型企业采购。对于非专门面向中小企业的项目，小微企业的价格扣除：</w:t>
      </w:r>
    </w:p>
    <w:p w14:paraId="66955F42">
      <w:pPr>
        <w:numPr>
          <w:ilvl w:val="0"/>
          <w:numId w:val="1"/>
        </w:num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对于非专门面向中小企业的采购项目，给予小微企业报价10%的价格扣除，用扣除后的价格参与评审。</w:t>
      </w:r>
    </w:p>
    <w:p w14:paraId="184978F2">
      <w:pPr>
        <w:numPr>
          <w:ilvl w:val="0"/>
          <w:numId w:val="1"/>
        </w:numPr>
        <w:spacing w:line="360" w:lineRule="auto"/>
        <w:ind w:firstLine="42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于非专门面向中小企业的货物采购项目，供应商（无论为大型企业、中型企业或小微企业）提供的货物均为小微企业制造的货物，即可享受上述价格评审优惠政策，除此之外的情形，不享受小微企业价格评审优惠政策。</w:t>
      </w:r>
    </w:p>
    <w:p w14:paraId="530C31B7">
      <w:pPr>
        <w:spacing w:line="360" w:lineRule="auto"/>
        <w:ind w:left="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2、监狱和戒毒企业的价格扣除</w:t>
      </w:r>
    </w:p>
    <w:p w14:paraId="293BF8B6">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（1）本项目对监狱和戒毒企业（简称监狱企业）视同小型、微型企业，给予10%的价格扣除，用扣除后的价格参与评审。</w:t>
      </w:r>
    </w:p>
    <w:p w14:paraId="1B20B542">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（2）监狱企业需提供由省级以上监狱管理局、戒毒管理局（含新疆生产建设兵团）出具的属于监狱企业的证明文件。</w:t>
      </w:r>
    </w:p>
    <w:p w14:paraId="71C8C5A4">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（3）监狱企业标准请参照《关于政府采购支持监狱企业发展有关问题的通知》（财库〔2014〕68号）。</w:t>
      </w:r>
    </w:p>
    <w:p w14:paraId="45AAF0C3">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3、残疾人福利性单位的价格扣除</w:t>
      </w:r>
    </w:p>
    <w:p w14:paraId="482F08D5">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（1）本项目对残疾人福利性单位视同小型、微型企业，给予10%的价格扣除，用扣除后的价格参与评审。</w:t>
      </w:r>
    </w:p>
    <w:p w14:paraId="0D198E68">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（2）残疾人福利单位需按照招标文件的要求提供《残疾人福利性单位声明函》。</w:t>
      </w:r>
    </w:p>
    <w:p w14:paraId="37E741B9">
      <w:pPr>
        <w:spacing w:line="360"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（3）残疾人福利单位标准请参照《关于促进残疾人就业政府采购政策的通知》（财库〔2017〕141号）。</w:t>
      </w:r>
    </w:p>
    <w:p w14:paraId="5A14283E">
      <w:pPr>
        <w:spacing w:line="360" w:lineRule="auto"/>
        <w:ind w:firstLine="600" w:firstLineChars="2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4、监狱企业、残疾人福利单位属于小型、微型企业的，不重复享受政策。</w:t>
      </w:r>
    </w:p>
    <w:p w14:paraId="4AD3BD35">
      <w:pPr>
        <w:spacing w:line="360" w:lineRule="auto"/>
        <w:ind w:firstLine="600" w:firstLineChars="25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5、评标委员会不保证有效报价最低的供应商中标。评分标准中所含的主观分部分由各评委独立评分，计分时将全部评委评分直接进行算术平均，小数点后保留2位，最终评标结果保留两位小数。</w:t>
      </w:r>
    </w:p>
    <w:p w14:paraId="606826BA">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6、若供应商提供虚假材料，一经查实没收投标保证金。</w:t>
      </w:r>
    </w:p>
    <w:p w14:paraId="214F4261">
      <w:pPr>
        <w:pStyle w:val="38"/>
        <w:keepNext w:val="0"/>
        <w:keepLines w:val="0"/>
        <w:pageBreakBefore w:val="0"/>
        <w:kinsoku/>
        <w:wordWrap/>
        <w:overflowPunct/>
        <w:topLinePunct w:val="0"/>
        <w:autoSpaceDE/>
        <w:autoSpaceDN/>
        <w:bidi w:val="0"/>
        <w:adjustRightInd/>
        <w:snapToGrid/>
        <w:ind w:firstLine="420" w:firstLineChars="200"/>
        <w:textAlignment w:val="auto"/>
        <w:rPr>
          <w:rFonts w:hint="eastAsia" w:ascii="宋体" w:hAnsi="宋体" w:eastAsia="宋体" w:cs="宋体"/>
          <w:color w:val="auto"/>
          <w:highlight w:val="none"/>
        </w:rPr>
        <w:sectPr>
          <w:footerReference r:id="rId6" w:type="default"/>
          <w:pgSz w:w="11906" w:h="16838"/>
          <w:pgMar w:top="1440" w:right="1134" w:bottom="1440" w:left="1134" w:header="851" w:footer="992" w:gutter="0"/>
          <w:pgNumType w:fmt="decimal"/>
          <w:cols w:space="425" w:num="1"/>
          <w:docGrid w:type="lines" w:linePitch="312" w:charSpace="0"/>
        </w:sectPr>
      </w:pPr>
    </w:p>
    <w:p w14:paraId="1FEF448A">
      <w:pPr>
        <w:pStyle w:val="38"/>
        <w:rPr>
          <w:rFonts w:hint="eastAsia" w:ascii="宋体" w:hAnsi="宋体" w:eastAsia="宋体" w:cs="宋体"/>
          <w:color w:val="auto"/>
          <w:highlight w:val="none"/>
        </w:rPr>
      </w:pPr>
    </w:p>
    <w:p w14:paraId="3317045E">
      <w:pPr>
        <w:numPr>
          <w:ilvl w:val="0"/>
          <w:numId w:val="2"/>
        </w:numPr>
        <w:jc w:val="center"/>
        <w:outlineLvl w:val="0"/>
        <w:rPr>
          <w:rFonts w:hint="eastAsia" w:ascii="宋体" w:hAnsi="宋体" w:eastAsia="宋体" w:cs="宋体"/>
          <w:color w:val="auto"/>
          <w:sz w:val="36"/>
          <w:szCs w:val="36"/>
          <w:highlight w:val="none"/>
          <w:lang w:val="zh-CN"/>
        </w:rPr>
      </w:pPr>
      <w:bookmarkStart w:id="7" w:name="_Toc12188"/>
      <w:r>
        <w:rPr>
          <w:rFonts w:hint="eastAsia" w:ascii="宋体" w:hAnsi="宋体" w:eastAsia="宋体" w:cs="宋体"/>
          <w:color w:val="auto"/>
          <w:sz w:val="36"/>
          <w:szCs w:val="36"/>
          <w:highlight w:val="none"/>
          <w:lang w:val="zh-CN"/>
        </w:rPr>
        <w:t>招标项目内容及要求</w:t>
      </w:r>
      <w:bookmarkEnd w:id="7"/>
    </w:p>
    <w:p w14:paraId="4D785286">
      <w:pPr>
        <w:spacing w:line="360" w:lineRule="auto"/>
        <w:ind w:firstLine="422" w:firstLineChars="200"/>
        <w:jc w:val="left"/>
        <w:rPr>
          <w:rFonts w:ascii="宋体" w:hAnsi="宋体" w:eastAsia="宋体"/>
          <w:b/>
          <w:color w:val="auto"/>
          <w:sz w:val="21"/>
          <w:szCs w:val="21"/>
          <w:highlight w:val="none"/>
        </w:rPr>
      </w:pPr>
      <w:bookmarkStart w:id="8" w:name="OLE_LINK45"/>
      <w:bookmarkStart w:id="9" w:name="_Toc27737"/>
      <w:r>
        <w:rPr>
          <w:rFonts w:hint="eastAsia" w:ascii="宋体" w:hAnsi="宋体" w:eastAsia="宋体" w:cs="宋体"/>
          <w:b/>
          <w:color w:val="auto"/>
          <w:szCs w:val="21"/>
          <w:highlight w:val="none"/>
        </w:rPr>
        <w:t>★</w:t>
      </w:r>
      <w:r>
        <w:rPr>
          <w:rFonts w:hint="eastAsia" w:ascii="宋体" w:hAnsi="宋体" w:eastAsia="宋体" w:cs="微软雅黑"/>
          <w:b/>
          <w:color w:val="auto"/>
          <w:sz w:val="21"/>
          <w:szCs w:val="21"/>
          <w:highlight w:val="none"/>
        </w:rPr>
        <w:t>一、招标范围</w:t>
      </w:r>
    </w:p>
    <w:p w14:paraId="121F4A1A">
      <w:pPr>
        <w:numPr>
          <w:ilvl w:val="0"/>
          <w:numId w:val="3"/>
        </w:numPr>
        <w:spacing w:line="360" w:lineRule="auto"/>
        <w:ind w:firstLine="420" w:firstLineChars="200"/>
        <w:jc w:val="left"/>
        <w:rPr>
          <w:rFonts w:hint="eastAsia" w:ascii="宋体" w:hAnsi="宋体" w:eastAsia="宋体" w:cs="微软雅黑"/>
          <w:color w:val="auto"/>
          <w:sz w:val="21"/>
          <w:szCs w:val="21"/>
          <w:highlight w:val="none"/>
          <w:lang w:val="en-US" w:eastAsia="zh-CN"/>
        </w:rPr>
      </w:pPr>
      <w:r>
        <w:rPr>
          <w:rFonts w:hint="eastAsia" w:ascii="宋体" w:hAnsi="宋体" w:eastAsia="宋体" w:cs="微软雅黑"/>
          <w:color w:val="auto"/>
          <w:sz w:val="21"/>
          <w:szCs w:val="21"/>
          <w:highlight w:val="none"/>
          <w:lang w:val="en-US" w:eastAsia="zh-CN"/>
        </w:rPr>
        <w:t>中国药科大学玄武门校区图书馆改造设计项目，</w:t>
      </w:r>
      <w:r>
        <w:rPr>
          <w:rFonts w:hint="eastAsia" w:ascii="宋体" w:hAnsi="宋体" w:eastAsia="宋体" w:cs="宋体"/>
          <w:color w:val="auto"/>
          <w:sz w:val="21"/>
          <w:szCs w:val="21"/>
          <w:highlight w:val="none"/>
          <w:lang w:val="en-US" w:eastAsia="zh-CN"/>
        </w:rPr>
        <w:t>将图书馆改造为实验室，</w:t>
      </w:r>
      <w:r>
        <w:rPr>
          <w:rFonts w:hint="eastAsia" w:ascii="宋体" w:hAnsi="宋体" w:eastAsia="宋体" w:cs="微软雅黑"/>
          <w:color w:val="auto"/>
          <w:sz w:val="21"/>
          <w:szCs w:val="21"/>
          <w:highlight w:val="none"/>
          <w:lang w:val="en-US" w:eastAsia="zh-CN"/>
        </w:rPr>
        <w:t>总改造面积约6500平方米，工程费约1500万元，包含但不限于方案设计、初步设计、初步设计概算编制、施工图设计、主要材料及设备技术参数的审核、配合施工图审查、承担设计相关的专家评审、设计风险管控、设计答疑、勘察及施工配合(含专项深化设计图)等各项工作。全过程设计包括：各阶段招标配合和施工现场配合服务，施工期间派驻现场设计代表、提供设计交底、解决施工中设计技术问题、设计修改、变更、相关专题报告、各项验收等服务工作。包括但不限于给建筑、结构、给排水、电气、消防、暖通、弱电、智能化、变配电、装饰装修、结构补强、实验室工艺设计，具体详见项目需求。</w:t>
      </w:r>
    </w:p>
    <w:p w14:paraId="7AC9ED49">
      <w:pPr>
        <w:spacing w:line="360" w:lineRule="auto"/>
        <w:ind w:firstLine="210" w:firstLineChars="100"/>
        <w:jc w:val="left"/>
        <w:rPr>
          <w:rFonts w:hint="eastAsia" w:ascii="宋体" w:hAnsi="宋体" w:eastAsia="宋体" w:cs="宋体"/>
          <w:i w:val="0"/>
          <w:iCs w:val="0"/>
          <w:caps w:val="0"/>
          <w:color w:val="auto"/>
          <w:spacing w:val="0"/>
          <w:sz w:val="21"/>
          <w:szCs w:val="21"/>
          <w:highlight w:val="none"/>
        </w:rPr>
      </w:pPr>
      <w:r>
        <w:rPr>
          <w:rFonts w:hint="eastAsia" w:ascii="宋体" w:hAnsi="宋体" w:eastAsia="宋体" w:cs="宋体"/>
          <w:i w:val="0"/>
          <w:iCs w:val="0"/>
          <w:caps w:val="0"/>
          <w:color w:val="auto"/>
          <w:spacing w:val="0"/>
          <w:sz w:val="21"/>
          <w:szCs w:val="21"/>
          <w:highlight w:val="none"/>
          <w:lang w:val="en-US" w:eastAsia="zh-CN"/>
        </w:rPr>
        <w:t>2.</w:t>
      </w:r>
      <w:r>
        <w:rPr>
          <w:rFonts w:hint="eastAsia" w:ascii="宋体" w:hAnsi="宋体" w:eastAsia="宋体" w:cs="宋体"/>
          <w:i w:val="0"/>
          <w:iCs w:val="0"/>
          <w:caps w:val="0"/>
          <w:color w:val="auto"/>
          <w:spacing w:val="0"/>
          <w:sz w:val="21"/>
          <w:szCs w:val="21"/>
          <w:highlight w:val="none"/>
        </w:rPr>
        <w:t>建设地点：中国药科大学</w:t>
      </w:r>
      <w:r>
        <w:rPr>
          <w:rFonts w:hint="eastAsia" w:ascii="宋体" w:hAnsi="宋体" w:eastAsia="宋体" w:cs="宋体"/>
          <w:i w:val="0"/>
          <w:iCs w:val="0"/>
          <w:caps w:val="0"/>
          <w:color w:val="auto"/>
          <w:spacing w:val="0"/>
          <w:sz w:val="21"/>
          <w:szCs w:val="21"/>
          <w:highlight w:val="none"/>
          <w:lang w:eastAsia="zh-CN"/>
        </w:rPr>
        <w:t>玄武门</w:t>
      </w:r>
      <w:r>
        <w:rPr>
          <w:rFonts w:hint="eastAsia" w:ascii="宋体" w:hAnsi="宋体" w:eastAsia="宋体" w:cs="宋体"/>
          <w:i w:val="0"/>
          <w:iCs w:val="0"/>
          <w:caps w:val="0"/>
          <w:color w:val="auto"/>
          <w:spacing w:val="0"/>
          <w:sz w:val="21"/>
          <w:szCs w:val="21"/>
          <w:highlight w:val="none"/>
        </w:rPr>
        <w:t>校区</w:t>
      </w:r>
    </w:p>
    <w:p w14:paraId="29A353D3">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宋体"/>
          <w:b/>
          <w:color w:val="auto"/>
          <w:szCs w:val="21"/>
          <w:highlight w:val="none"/>
        </w:rPr>
        <w:t>★</w:t>
      </w:r>
      <w:r>
        <w:rPr>
          <w:rFonts w:hint="eastAsia" w:ascii="宋体" w:hAnsi="宋体" w:eastAsia="宋体" w:cs="微软雅黑"/>
          <w:b/>
          <w:color w:val="auto"/>
          <w:sz w:val="21"/>
          <w:szCs w:val="21"/>
          <w:highlight w:val="none"/>
        </w:rPr>
        <w:t>二、设计要求</w:t>
      </w:r>
    </w:p>
    <w:p w14:paraId="5EE41F85">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一）中标人提交的投标文件应符合中华人民共和国《工程建设标准强制性条文》的有关规定，以及现行工程技术标准和设计规范等相关文件要求，并应通过招标人及相关部门的审查。中标人提交的初步设计概算、修正概算必要时应符合中华人民共和国的有关要求，并应通过招标人及行业主管部门的审查。</w:t>
      </w:r>
    </w:p>
    <w:p w14:paraId="57BD77CF">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（二）根据具体工程要求，除招标人提出的方案之外，中标人也可经过调查研究，通过方案比选和技术经济分析，提出更为合理的方案。但应符合本项目有关强制性要求。</w:t>
      </w:r>
    </w:p>
    <w:p w14:paraId="62829913">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（三）为确保工程质量，招标人认为需要进行技术设计，中标人应根据具体工程无条件编制技术投标文件及相应修正概算，且不另行计列编制费用。</w:t>
      </w:r>
    </w:p>
    <w:p w14:paraId="1EADD7BB">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（四）中标人应按具体项目要求提交设计时间安排、设计图纸、工程设计概算、参考资料、补充技术规范等。</w:t>
      </w:r>
    </w:p>
    <w:p w14:paraId="1AFE44DA">
      <w:pPr>
        <w:spacing w:line="360" w:lineRule="auto"/>
        <w:ind w:firstLine="420" w:firstLineChars="200"/>
        <w:jc w:val="left"/>
        <w:rPr>
          <w:rFonts w:hint="eastAsia" w:ascii="宋体" w:hAnsi="宋体" w:eastAsia="宋体" w:cs="微软雅黑"/>
          <w:color w:val="auto"/>
          <w:sz w:val="21"/>
          <w:szCs w:val="21"/>
          <w:highlight w:val="none"/>
        </w:rPr>
      </w:pPr>
      <w:r>
        <w:rPr>
          <w:rFonts w:hint="eastAsia" w:ascii="宋体" w:hAnsi="宋体" w:eastAsia="宋体" w:cs="微软雅黑"/>
          <w:color w:val="auto"/>
          <w:sz w:val="21"/>
          <w:szCs w:val="21"/>
          <w:highlight w:val="none"/>
        </w:rPr>
        <w:t>（五）在施工过程中，中标人应根据施工需要，按本招标文件规定派本项目设计人员负责解决各种与设计有关的问题并参加工程例会，包括修改完善设计和局部变更设计。</w:t>
      </w:r>
    </w:p>
    <w:p w14:paraId="0D0964F3">
      <w:pPr>
        <w:spacing w:line="360" w:lineRule="auto"/>
        <w:ind w:firstLine="420" w:firstLineChars="200"/>
        <w:jc w:val="left"/>
        <w:rPr>
          <w:rFonts w:hint="eastAsia" w:ascii="宋体" w:hAnsi="宋体" w:eastAsia="宋体" w:cs="微软雅黑"/>
          <w:color w:val="auto"/>
          <w:sz w:val="21"/>
          <w:szCs w:val="21"/>
          <w:highlight w:val="none"/>
          <w:lang w:eastAsia="zh-CN"/>
        </w:rPr>
        <w:sectPr>
          <w:headerReference r:id="rId7" w:type="default"/>
          <w:footerReference r:id="rId8" w:type="default"/>
          <w:pgSz w:w="11906" w:h="16838"/>
          <w:pgMar w:top="1440" w:right="1134" w:bottom="1440" w:left="1134" w:header="851" w:footer="992" w:gutter="0"/>
          <w:pgNumType w:fmt="decimal"/>
          <w:cols w:space="720" w:num="1"/>
          <w:docGrid w:type="lines" w:linePitch="312" w:charSpace="0"/>
        </w:sectPr>
      </w:pPr>
      <w:r>
        <w:rPr>
          <w:rFonts w:hint="eastAsia" w:ascii="宋体" w:hAnsi="宋体" w:eastAsia="宋体" w:cs="微软雅黑"/>
          <w:color w:val="auto"/>
          <w:sz w:val="21"/>
          <w:szCs w:val="21"/>
          <w:highlight w:val="none"/>
          <w:lang w:eastAsia="zh-CN"/>
        </w:rPr>
        <w:t>（六）图书馆图纸(见附件)，改造后各楼层功能及内容规划等详见下表：</w:t>
      </w:r>
    </w:p>
    <w:tbl>
      <w:tblPr>
        <w:tblStyle w:val="25"/>
        <w:tblW w:w="140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1637"/>
        <w:gridCol w:w="2822"/>
        <w:gridCol w:w="4460"/>
        <w:gridCol w:w="5119"/>
      </w:tblGrid>
      <w:tr w14:paraId="63D6A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4472C4"/>
            <w:tcMar>
              <w:top w:w="72" w:type="dxa"/>
              <w:left w:w="144" w:type="dxa"/>
              <w:bottom w:w="72" w:type="dxa"/>
              <w:right w:w="144" w:type="dxa"/>
            </w:tcMar>
            <w:vAlign w:val="top"/>
          </w:tcPr>
          <w:p w14:paraId="27421208">
            <w:pPr>
              <w:pStyle w:val="21"/>
              <w:keepNext w:val="0"/>
              <w:keepLines w:val="0"/>
              <w:widowControl/>
              <w:suppressLineNumbers w:val="0"/>
              <w:kinsoku/>
              <w:wordWrap/>
              <w:overflowPunct/>
              <w:jc w:val="left"/>
              <w:rPr>
                <w:color w:val="auto"/>
                <w:highlight w:val="none"/>
              </w:rPr>
            </w:pPr>
            <w:r>
              <w:rPr>
                <w:b/>
                <w:bCs/>
                <w:color w:val="auto"/>
                <w:sz w:val="36"/>
                <w:szCs w:val="36"/>
                <w:highlight w:val="none"/>
              </w:rPr>
              <w:t>楼层</w:t>
            </w:r>
          </w:p>
        </w:tc>
        <w:tc>
          <w:tcPr>
            <w:tcW w:w="2822" w:type="dxa"/>
            <w:tcBorders>
              <w:top w:val="single" w:color="FFFFFF" w:sz="6" w:space="0"/>
              <w:left w:val="single" w:color="FFFFFF" w:sz="6" w:space="0"/>
              <w:bottom w:val="single" w:color="FFFFFF" w:sz="18" w:space="0"/>
              <w:right w:val="single" w:color="FFFFFF" w:sz="6" w:space="0"/>
            </w:tcBorders>
            <w:shd w:val="clear" w:color="auto" w:fill="4472C4"/>
            <w:tcMar>
              <w:top w:w="72" w:type="dxa"/>
              <w:left w:w="144" w:type="dxa"/>
              <w:bottom w:w="72" w:type="dxa"/>
              <w:right w:w="144" w:type="dxa"/>
            </w:tcMar>
            <w:vAlign w:val="top"/>
          </w:tcPr>
          <w:p w14:paraId="06F8177B">
            <w:pPr>
              <w:pStyle w:val="21"/>
              <w:keepNext w:val="0"/>
              <w:keepLines w:val="0"/>
              <w:widowControl/>
              <w:suppressLineNumbers w:val="0"/>
              <w:kinsoku/>
              <w:wordWrap/>
              <w:overflowPunct/>
              <w:jc w:val="left"/>
              <w:rPr>
                <w:color w:val="auto"/>
                <w:highlight w:val="none"/>
              </w:rPr>
            </w:pPr>
            <w:r>
              <w:rPr>
                <w:b/>
                <w:bCs/>
                <w:color w:val="auto"/>
                <w:sz w:val="36"/>
                <w:szCs w:val="36"/>
                <w:highlight w:val="none"/>
              </w:rPr>
              <w:t>名称</w:t>
            </w:r>
          </w:p>
        </w:tc>
        <w:tc>
          <w:tcPr>
            <w:tcW w:w="4460" w:type="dxa"/>
            <w:tcBorders>
              <w:top w:val="single" w:color="FFFFFF" w:sz="6" w:space="0"/>
              <w:left w:val="single" w:color="FFFFFF" w:sz="6" w:space="0"/>
              <w:bottom w:val="single" w:color="FFFFFF" w:sz="18" w:space="0"/>
              <w:right w:val="single" w:color="FFFFFF" w:sz="6" w:space="0"/>
            </w:tcBorders>
            <w:shd w:val="clear" w:color="auto" w:fill="4472C4"/>
            <w:tcMar>
              <w:top w:w="72" w:type="dxa"/>
              <w:left w:w="144" w:type="dxa"/>
              <w:bottom w:w="72" w:type="dxa"/>
              <w:right w:w="144" w:type="dxa"/>
            </w:tcMar>
            <w:vAlign w:val="top"/>
          </w:tcPr>
          <w:p w14:paraId="44890F9E">
            <w:pPr>
              <w:pStyle w:val="21"/>
              <w:keepNext w:val="0"/>
              <w:keepLines w:val="0"/>
              <w:widowControl/>
              <w:suppressLineNumbers w:val="0"/>
              <w:kinsoku/>
              <w:wordWrap/>
              <w:overflowPunct/>
              <w:jc w:val="left"/>
              <w:rPr>
                <w:color w:val="auto"/>
                <w:highlight w:val="none"/>
              </w:rPr>
            </w:pPr>
            <w:r>
              <w:rPr>
                <w:b/>
                <w:bCs/>
                <w:color w:val="auto"/>
                <w:sz w:val="36"/>
                <w:szCs w:val="36"/>
                <w:highlight w:val="none"/>
              </w:rPr>
              <w:t>功能及内容规划</w:t>
            </w:r>
          </w:p>
        </w:tc>
        <w:tc>
          <w:tcPr>
            <w:tcW w:w="5119" w:type="dxa"/>
            <w:tcBorders>
              <w:top w:val="single" w:color="FFFFFF" w:sz="6" w:space="0"/>
              <w:left w:val="single" w:color="FFFFFF" w:sz="6" w:space="0"/>
              <w:bottom w:val="single" w:color="FFFFFF" w:sz="18" w:space="0"/>
              <w:right w:val="single" w:color="FFFFFF" w:sz="6" w:space="0"/>
            </w:tcBorders>
            <w:shd w:val="clear" w:color="auto" w:fill="4472C4"/>
            <w:tcMar>
              <w:top w:w="72" w:type="dxa"/>
              <w:left w:w="144" w:type="dxa"/>
              <w:bottom w:w="72" w:type="dxa"/>
              <w:right w:w="144" w:type="dxa"/>
            </w:tcMar>
            <w:vAlign w:val="top"/>
          </w:tcPr>
          <w:p w14:paraId="4B2D35D2">
            <w:pPr>
              <w:pStyle w:val="21"/>
              <w:keepNext w:val="0"/>
              <w:keepLines w:val="0"/>
              <w:widowControl/>
              <w:suppressLineNumbers w:val="0"/>
              <w:kinsoku/>
              <w:wordWrap/>
              <w:overflowPunct/>
              <w:jc w:val="left"/>
              <w:rPr>
                <w:color w:val="auto"/>
                <w:highlight w:val="none"/>
              </w:rPr>
            </w:pPr>
            <w:r>
              <w:rPr>
                <w:b/>
                <w:bCs/>
                <w:color w:val="auto"/>
                <w:sz w:val="36"/>
                <w:szCs w:val="36"/>
                <w:highlight w:val="none"/>
              </w:rPr>
              <w:t>备注</w:t>
            </w:r>
          </w:p>
        </w:tc>
      </w:tr>
      <w:tr w14:paraId="7A0BC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5CC18555">
            <w:pPr>
              <w:pStyle w:val="21"/>
              <w:keepNext w:val="0"/>
              <w:keepLines w:val="0"/>
              <w:widowControl/>
              <w:suppressLineNumbers w:val="0"/>
              <w:kinsoku/>
              <w:wordWrap/>
              <w:overflowPunct/>
              <w:jc w:val="left"/>
              <w:rPr>
                <w:color w:val="auto"/>
                <w:highlight w:val="none"/>
              </w:rPr>
            </w:pPr>
            <w:r>
              <w:rPr>
                <w:color w:val="auto"/>
                <w:sz w:val="36"/>
                <w:szCs w:val="36"/>
                <w:highlight w:val="none"/>
              </w:rPr>
              <w:t>B1</w:t>
            </w:r>
          </w:p>
        </w:tc>
        <w:tc>
          <w:tcPr>
            <w:tcW w:w="2822"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65C13801">
            <w:pPr>
              <w:pStyle w:val="21"/>
              <w:keepNext w:val="0"/>
              <w:keepLines w:val="0"/>
              <w:widowControl/>
              <w:suppressLineNumbers w:val="0"/>
              <w:kinsoku/>
              <w:wordWrap/>
              <w:overflowPunct/>
              <w:jc w:val="left"/>
              <w:rPr>
                <w:color w:val="auto"/>
                <w:highlight w:val="none"/>
              </w:rPr>
            </w:pPr>
            <w:r>
              <w:rPr>
                <w:color w:val="auto"/>
                <w:sz w:val="36"/>
                <w:szCs w:val="36"/>
                <w:highlight w:val="none"/>
              </w:rPr>
              <w:t>生物样本库（样品处理区）</w:t>
            </w:r>
          </w:p>
        </w:tc>
        <w:tc>
          <w:tcPr>
            <w:tcW w:w="4460"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184412A0">
            <w:pPr>
              <w:pStyle w:val="21"/>
              <w:keepNext w:val="0"/>
              <w:keepLines w:val="0"/>
              <w:widowControl/>
              <w:suppressLineNumbers w:val="0"/>
              <w:kinsoku/>
              <w:wordWrap/>
              <w:overflowPunct/>
              <w:jc w:val="left"/>
              <w:rPr>
                <w:color w:val="auto"/>
                <w:highlight w:val="none"/>
              </w:rPr>
            </w:pPr>
            <w:r>
              <w:rPr>
                <w:color w:val="auto"/>
                <w:sz w:val="36"/>
                <w:szCs w:val="36"/>
                <w:highlight w:val="none"/>
              </w:rPr>
              <w:t>样本传递交接区、前处理间、质控间、更衣室</w:t>
            </w:r>
          </w:p>
        </w:tc>
        <w:tc>
          <w:tcPr>
            <w:tcW w:w="5119"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76DAB3AD">
            <w:pPr>
              <w:pStyle w:val="21"/>
              <w:keepNext w:val="0"/>
              <w:keepLines w:val="0"/>
              <w:widowControl/>
              <w:suppressLineNumbers w:val="0"/>
              <w:kinsoku/>
              <w:wordWrap/>
              <w:overflowPunct/>
              <w:jc w:val="left"/>
              <w:rPr>
                <w:color w:val="auto"/>
                <w:highlight w:val="none"/>
              </w:rPr>
            </w:pPr>
            <w:r>
              <w:rPr>
                <w:color w:val="auto"/>
                <w:sz w:val="36"/>
                <w:szCs w:val="36"/>
                <w:highlight w:val="none"/>
              </w:rPr>
              <w:t>样本处理交接动线</w:t>
            </w:r>
          </w:p>
        </w:tc>
      </w:tr>
      <w:tr w14:paraId="119A0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775EA5B8">
            <w:pPr>
              <w:pStyle w:val="21"/>
              <w:keepNext w:val="0"/>
              <w:keepLines w:val="0"/>
              <w:widowControl/>
              <w:suppressLineNumbers w:val="0"/>
              <w:kinsoku/>
              <w:wordWrap/>
              <w:overflowPunct/>
              <w:jc w:val="left"/>
              <w:rPr>
                <w:color w:val="auto"/>
                <w:highlight w:val="none"/>
              </w:rPr>
            </w:pPr>
            <w:r>
              <w:rPr>
                <w:color w:val="auto"/>
                <w:sz w:val="36"/>
                <w:szCs w:val="36"/>
                <w:highlight w:val="none"/>
              </w:rPr>
              <w:t>一层</w:t>
            </w:r>
          </w:p>
        </w:tc>
        <w:tc>
          <w:tcPr>
            <w:tcW w:w="2822"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3E3D6F14">
            <w:pPr>
              <w:pStyle w:val="21"/>
              <w:keepNext w:val="0"/>
              <w:keepLines w:val="0"/>
              <w:widowControl/>
              <w:suppressLineNumbers w:val="0"/>
              <w:kinsoku/>
              <w:wordWrap/>
              <w:overflowPunct/>
              <w:jc w:val="left"/>
              <w:rPr>
                <w:color w:val="auto"/>
                <w:highlight w:val="none"/>
              </w:rPr>
            </w:pPr>
            <w:r>
              <w:rPr>
                <w:color w:val="auto"/>
                <w:sz w:val="36"/>
                <w:szCs w:val="36"/>
                <w:highlight w:val="none"/>
              </w:rPr>
              <w:t>可信数据空间+生物样本冷库</w:t>
            </w:r>
          </w:p>
        </w:tc>
        <w:tc>
          <w:tcPr>
            <w:tcW w:w="4460"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15216823">
            <w:pPr>
              <w:pStyle w:val="21"/>
              <w:keepNext w:val="0"/>
              <w:keepLines w:val="0"/>
              <w:widowControl/>
              <w:suppressLineNumbers w:val="0"/>
              <w:kinsoku/>
              <w:wordWrap/>
              <w:overflowPunct/>
              <w:jc w:val="left"/>
              <w:rPr>
                <w:color w:val="auto"/>
                <w:highlight w:val="none"/>
              </w:rPr>
            </w:pPr>
            <w:r>
              <w:rPr>
                <w:color w:val="auto"/>
                <w:sz w:val="36"/>
                <w:szCs w:val="36"/>
                <w:highlight w:val="none"/>
              </w:rPr>
              <w:t>展示中心、数据存储中心、样本存储区（自动化低温、液氮系统）</w:t>
            </w:r>
          </w:p>
        </w:tc>
        <w:tc>
          <w:tcPr>
            <w:tcW w:w="5119"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107A02A4">
            <w:pPr>
              <w:pStyle w:val="21"/>
              <w:keepNext w:val="0"/>
              <w:keepLines w:val="0"/>
              <w:widowControl/>
              <w:suppressLineNumbers w:val="0"/>
              <w:kinsoku/>
              <w:wordWrap/>
              <w:overflowPunct/>
              <w:jc w:val="left"/>
              <w:rPr>
                <w:color w:val="auto"/>
                <w:highlight w:val="none"/>
              </w:rPr>
            </w:pPr>
            <w:r>
              <w:rPr>
                <w:color w:val="auto"/>
                <w:sz w:val="36"/>
                <w:szCs w:val="36"/>
                <w:highlight w:val="none"/>
              </w:rPr>
              <w:t>储存设备电路、通风、液氮塔、管道及安全管理</w:t>
            </w:r>
          </w:p>
        </w:tc>
      </w:tr>
      <w:tr w14:paraId="0AA29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0B6B5C04">
            <w:pPr>
              <w:pStyle w:val="21"/>
              <w:keepNext w:val="0"/>
              <w:keepLines w:val="0"/>
              <w:widowControl/>
              <w:suppressLineNumbers w:val="0"/>
              <w:kinsoku/>
              <w:wordWrap/>
              <w:overflowPunct/>
              <w:jc w:val="left"/>
              <w:rPr>
                <w:color w:val="auto"/>
                <w:highlight w:val="none"/>
              </w:rPr>
            </w:pPr>
            <w:r>
              <w:rPr>
                <w:color w:val="auto"/>
                <w:sz w:val="36"/>
                <w:szCs w:val="36"/>
                <w:highlight w:val="none"/>
              </w:rPr>
              <w:t>二层</w:t>
            </w:r>
          </w:p>
        </w:tc>
        <w:tc>
          <w:tcPr>
            <w:tcW w:w="2822"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47D72E78">
            <w:pPr>
              <w:pStyle w:val="21"/>
              <w:keepNext w:val="0"/>
              <w:keepLines w:val="0"/>
              <w:widowControl/>
              <w:suppressLineNumbers w:val="0"/>
              <w:kinsoku/>
              <w:wordWrap/>
              <w:overflowPunct/>
              <w:jc w:val="left"/>
              <w:rPr>
                <w:color w:val="auto"/>
                <w:highlight w:val="none"/>
              </w:rPr>
            </w:pPr>
            <w:r>
              <w:rPr>
                <w:color w:val="auto"/>
                <w:sz w:val="36"/>
                <w:szCs w:val="36"/>
                <w:highlight w:val="none"/>
              </w:rPr>
              <w:t>多组学检测平台</w:t>
            </w:r>
          </w:p>
        </w:tc>
        <w:tc>
          <w:tcPr>
            <w:tcW w:w="4460"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6FC348C4">
            <w:pPr>
              <w:pStyle w:val="21"/>
              <w:keepNext w:val="0"/>
              <w:keepLines w:val="0"/>
              <w:widowControl/>
              <w:suppressLineNumbers w:val="0"/>
              <w:kinsoku/>
              <w:wordWrap/>
              <w:overflowPunct/>
              <w:jc w:val="left"/>
              <w:rPr>
                <w:color w:val="auto"/>
                <w:highlight w:val="none"/>
              </w:rPr>
            </w:pPr>
            <w:r>
              <w:rPr>
                <w:color w:val="auto"/>
                <w:sz w:val="36"/>
                <w:szCs w:val="36"/>
                <w:highlight w:val="none"/>
              </w:rPr>
              <w:t>组学数据采集区（质谱、成像暗室、超净间），生物样本检测室、常规分子生物学实验室</w:t>
            </w:r>
          </w:p>
        </w:tc>
        <w:tc>
          <w:tcPr>
            <w:tcW w:w="5119"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677687BE">
            <w:pPr>
              <w:pStyle w:val="21"/>
              <w:keepNext w:val="0"/>
              <w:keepLines w:val="0"/>
              <w:widowControl/>
              <w:suppressLineNumbers w:val="0"/>
              <w:kinsoku/>
              <w:wordWrap/>
              <w:overflowPunct/>
              <w:jc w:val="left"/>
              <w:rPr>
                <w:color w:val="auto"/>
                <w:highlight w:val="none"/>
              </w:rPr>
            </w:pPr>
            <w:r>
              <w:rPr>
                <w:color w:val="auto"/>
                <w:sz w:val="36"/>
                <w:szCs w:val="36"/>
                <w:highlight w:val="none"/>
              </w:rPr>
              <w:t>按照仪器洁净度及避光等特殊要求进行分区</w:t>
            </w:r>
          </w:p>
        </w:tc>
      </w:tr>
      <w:tr w14:paraId="29031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3F34D3DC">
            <w:pPr>
              <w:pStyle w:val="21"/>
              <w:keepNext w:val="0"/>
              <w:keepLines w:val="0"/>
              <w:widowControl/>
              <w:suppressLineNumbers w:val="0"/>
              <w:kinsoku/>
              <w:wordWrap/>
              <w:overflowPunct/>
              <w:jc w:val="left"/>
              <w:rPr>
                <w:color w:val="auto"/>
                <w:highlight w:val="none"/>
              </w:rPr>
            </w:pPr>
            <w:r>
              <w:rPr>
                <w:color w:val="auto"/>
                <w:sz w:val="36"/>
                <w:szCs w:val="36"/>
                <w:highlight w:val="none"/>
              </w:rPr>
              <w:t>三层</w:t>
            </w:r>
          </w:p>
        </w:tc>
        <w:tc>
          <w:tcPr>
            <w:tcW w:w="2822"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7517F429">
            <w:pPr>
              <w:pStyle w:val="21"/>
              <w:keepNext w:val="0"/>
              <w:keepLines w:val="0"/>
              <w:widowControl/>
              <w:suppressLineNumbers w:val="0"/>
              <w:kinsoku/>
              <w:wordWrap/>
              <w:overflowPunct/>
              <w:jc w:val="left"/>
              <w:rPr>
                <w:color w:val="auto"/>
                <w:highlight w:val="none"/>
              </w:rPr>
            </w:pPr>
            <w:r>
              <w:rPr>
                <w:color w:val="auto"/>
                <w:sz w:val="36"/>
                <w:szCs w:val="36"/>
                <w:highlight w:val="none"/>
              </w:rPr>
              <w:t>AI算法与数据处理区与办公区</w:t>
            </w:r>
          </w:p>
        </w:tc>
        <w:tc>
          <w:tcPr>
            <w:tcW w:w="4460"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62F2E522">
            <w:pPr>
              <w:pStyle w:val="21"/>
              <w:keepNext w:val="0"/>
              <w:keepLines w:val="0"/>
              <w:widowControl/>
              <w:suppressLineNumbers w:val="0"/>
              <w:kinsoku/>
              <w:wordWrap/>
              <w:overflowPunct/>
              <w:jc w:val="left"/>
              <w:rPr>
                <w:color w:val="auto"/>
                <w:highlight w:val="none"/>
              </w:rPr>
            </w:pPr>
            <w:r>
              <w:rPr>
                <w:color w:val="auto"/>
                <w:sz w:val="36"/>
                <w:szCs w:val="36"/>
                <w:highlight w:val="none"/>
              </w:rPr>
              <w:t>AI算法模型开发及数据处理（开放办公区）、PI办公室、会议室、休息区</w:t>
            </w:r>
          </w:p>
        </w:tc>
        <w:tc>
          <w:tcPr>
            <w:tcW w:w="5119"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43400264">
            <w:pPr>
              <w:pStyle w:val="21"/>
              <w:keepNext w:val="0"/>
              <w:keepLines w:val="0"/>
              <w:widowControl/>
              <w:suppressLineNumbers w:val="0"/>
              <w:kinsoku/>
              <w:wordWrap/>
              <w:overflowPunct/>
              <w:jc w:val="left"/>
              <w:rPr>
                <w:color w:val="auto"/>
                <w:highlight w:val="none"/>
              </w:rPr>
            </w:pPr>
          </w:p>
        </w:tc>
      </w:tr>
      <w:tr w14:paraId="6EF973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3DE78A88">
            <w:pPr>
              <w:pStyle w:val="21"/>
              <w:keepNext w:val="0"/>
              <w:keepLines w:val="0"/>
              <w:widowControl/>
              <w:suppressLineNumbers w:val="0"/>
              <w:kinsoku/>
              <w:wordWrap/>
              <w:overflowPunct/>
              <w:jc w:val="left"/>
              <w:rPr>
                <w:color w:val="auto"/>
                <w:highlight w:val="none"/>
              </w:rPr>
            </w:pPr>
            <w:r>
              <w:rPr>
                <w:color w:val="auto"/>
                <w:sz w:val="36"/>
                <w:szCs w:val="36"/>
                <w:highlight w:val="none"/>
              </w:rPr>
              <w:t>四层</w:t>
            </w:r>
          </w:p>
        </w:tc>
        <w:tc>
          <w:tcPr>
            <w:tcW w:w="2822"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62F53397">
            <w:pPr>
              <w:pStyle w:val="21"/>
              <w:keepNext w:val="0"/>
              <w:keepLines w:val="0"/>
              <w:widowControl/>
              <w:suppressLineNumbers w:val="0"/>
              <w:kinsoku/>
              <w:wordWrap/>
              <w:overflowPunct/>
              <w:jc w:val="left"/>
              <w:rPr>
                <w:color w:val="auto"/>
                <w:highlight w:val="none"/>
              </w:rPr>
            </w:pPr>
            <w:r>
              <w:rPr>
                <w:color w:val="auto"/>
                <w:sz w:val="36"/>
                <w:szCs w:val="36"/>
                <w:highlight w:val="none"/>
              </w:rPr>
              <w:t>类器官平台与P2实验室</w:t>
            </w:r>
          </w:p>
        </w:tc>
        <w:tc>
          <w:tcPr>
            <w:tcW w:w="4460"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6546D546">
            <w:pPr>
              <w:pStyle w:val="21"/>
              <w:keepNext w:val="0"/>
              <w:keepLines w:val="0"/>
              <w:widowControl/>
              <w:suppressLineNumbers w:val="0"/>
              <w:kinsoku/>
              <w:wordWrap/>
              <w:overflowPunct/>
              <w:jc w:val="left"/>
              <w:rPr>
                <w:color w:val="auto"/>
                <w:highlight w:val="none"/>
              </w:rPr>
            </w:pPr>
            <w:r>
              <w:rPr>
                <w:color w:val="auto"/>
                <w:sz w:val="36"/>
                <w:szCs w:val="36"/>
                <w:highlight w:val="none"/>
              </w:rPr>
              <w:t>类器官细胞房、</w:t>
            </w:r>
            <w:r>
              <w:rPr>
                <w:b/>
                <w:bCs/>
                <w:color w:val="auto"/>
                <w:sz w:val="36"/>
                <w:szCs w:val="36"/>
                <w:highlight w:val="none"/>
              </w:rPr>
              <w:t>P2负压细胞房及动物房（保密实验室）、风淋、更衣室</w:t>
            </w:r>
          </w:p>
        </w:tc>
        <w:tc>
          <w:tcPr>
            <w:tcW w:w="5119" w:type="dxa"/>
            <w:tcBorders>
              <w:top w:val="single" w:color="FFFFFF" w:sz="6" w:space="0"/>
              <w:left w:val="single" w:color="FFFFFF" w:sz="6" w:space="0"/>
              <w:bottom w:val="single" w:color="FFFFFF" w:sz="18" w:space="0"/>
              <w:right w:val="single" w:color="FFFFFF" w:sz="6" w:space="0"/>
            </w:tcBorders>
            <w:shd w:val="clear" w:color="auto" w:fill="CFD5EA"/>
            <w:tcMar>
              <w:top w:w="72" w:type="dxa"/>
              <w:left w:w="144" w:type="dxa"/>
              <w:bottom w:w="72" w:type="dxa"/>
              <w:right w:w="144" w:type="dxa"/>
            </w:tcMar>
            <w:vAlign w:val="top"/>
          </w:tcPr>
          <w:p w14:paraId="24AD5AF6">
            <w:pPr>
              <w:pStyle w:val="21"/>
              <w:keepNext w:val="0"/>
              <w:keepLines w:val="0"/>
              <w:widowControl/>
              <w:suppressLineNumbers w:val="0"/>
              <w:kinsoku/>
              <w:wordWrap/>
              <w:overflowPunct/>
              <w:jc w:val="left"/>
              <w:rPr>
                <w:color w:val="auto"/>
                <w:highlight w:val="none"/>
              </w:rPr>
            </w:pPr>
            <w:r>
              <w:rPr>
                <w:color w:val="auto"/>
                <w:sz w:val="36"/>
                <w:szCs w:val="36"/>
                <w:highlight w:val="none"/>
              </w:rPr>
              <w:t>细胞间和动物房的负压通风系统及保密实验室的单独动线</w:t>
            </w:r>
          </w:p>
        </w:tc>
      </w:tr>
      <w:tr w14:paraId="50D6B7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 w:hRule="atLeast"/>
        </w:trPr>
        <w:tc>
          <w:tcPr>
            <w:tcW w:w="1637"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5F45EC3A">
            <w:pPr>
              <w:pStyle w:val="21"/>
              <w:keepNext w:val="0"/>
              <w:keepLines w:val="0"/>
              <w:widowControl/>
              <w:suppressLineNumbers w:val="0"/>
              <w:kinsoku/>
              <w:wordWrap/>
              <w:overflowPunct/>
              <w:jc w:val="left"/>
              <w:rPr>
                <w:color w:val="auto"/>
                <w:highlight w:val="none"/>
              </w:rPr>
            </w:pPr>
            <w:r>
              <w:rPr>
                <w:color w:val="auto"/>
                <w:sz w:val="36"/>
                <w:szCs w:val="36"/>
                <w:highlight w:val="none"/>
              </w:rPr>
              <w:t>顶层</w:t>
            </w:r>
          </w:p>
        </w:tc>
        <w:tc>
          <w:tcPr>
            <w:tcW w:w="2822"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53F1FFC8">
            <w:pPr>
              <w:pStyle w:val="21"/>
              <w:keepNext w:val="0"/>
              <w:keepLines w:val="0"/>
              <w:widowControl/>
              <w:suppressLineNumbers w:val="0"/>
              <w:kinsoku/>
              <w:wordWrap/>
              <w:overflowPunct/>
              <w:jc w:val="left"/>
              <w:rPr>
                <w:color w:val="auto"/>
                <w:highlight w:val="none"/>
              </w:rPr>
            </w:pPr>
            <w:r>
              <w:rPr>
                <w:color w:val="auto"/>
                <w:sz w:val="36"/>
                <w:szCs w:val="36"/>
                <w:highlight w:val="none"/>
              </w:rPr>
              <w:t>开放交流讨论区</w:t>
            </w:r>
          </w:p>
        </w:tc>
        <w:tc>
          <w:tcPr>
            <w:tcW w:w="4460"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7225A78A">
            <w:pPr>
              <w:pStyle w:val="21"/>
              <w:keepNext w:val="0"/>
              <w:keepLines w:val="0"/>
              <w:widowControl/>
              <w:suppressLineNumbers w:val="0"/>
              <w:kinsoku/>
              <w:wordWrap/>
              <w:overflowPunct/>
              <w:jc w:val="left"/>
              <w:rPr>
                <w:color w:val="auto"/>
                <w:highlight w:val="none"/>
              </w:rPr>
            </w:pPr>
            <w:r>
              <w:rPr>
                <w:color w:val="auto"/>
                <w:sz w:val="36"/>
                <w:szCs w:val="36"/>
                <w:highlight w:val="none"/>
              </w:rPr>
              <w:t>开放讨论区</w:t>
            </w:r>
          </w:p>
        </w:tc>
        <w:tc>
          <w:tcPr>
            <w:tcW w:w="5119" w:type="dxa"/>
            <w:tcBorders>
              <w:top w:val="single" w:color="FFFFFF" w:sz="6" w:space="0"/>
              <w:left w:val="single" w:color="FFFFFF" w:sz="6" w:space="0"/>
              <w:bottom w:val="single" w:color="FFFFFF" w:sz="18" w:space="0"/>
              <w:right w:val="single" w:color="FFFFFF" w:sz="6" w:space="0"/>
            </w:tcBorders>
            <w:shd w:val="clear" w:color="auto" w:fill="E9EBF5"/>
            <w:tcMar>
              <w:top w:w="72" w:type="dxa"/>
              <w:left w:w="144" w:type="dxa"/>
              <w:bottom w:w="72" w:type="dxa"/>
              <w:right w:w="144" w:type="dxa"/>
            </w:tcMar>
            <w:vAlign w:val="top"/>
          </w:tcPr>
          <w:p w14:paraId="43FE5B70">
            <w:pPr>
              <w:pStyle w:val="21"/>
              <w:keepNext w:val="0"/>
              <w:keepLines w:val="0"/>
              <w:widowControl/>
              <w:suppressLineNumbers w:val="0"/>
              <w:kinsoku/>
              <w:wordWrap/>
              <w:overflowPunct/>
              <w:jc w:val="left"/>
              <w:rPr>
                <w:color w:val="auto"/>
                <w:highlight w:val="none"/>
              </w:rPr>
            </w:pPr>
          </w:p>
        </w:tc>
      </w:tr>
    </w:tbl>
    <w:p w14:paraId="0FFCFAD8">
      <w:pPr>
        <w:spacing w:line="360" w:lineRule="auto"/>
        <w:ind w:firstLine="420" w:firstLineChars="200"/>
        <w:jc w:val="left"/>
        <w:rPr>
          <w:rFonts w:hint="eastAsia" w:ascii="宋体" w:hAnsi="宋体" w:eastAsia="宋体" w:cs="微软雅黑"/>
          <w:color w:val="auto"/>
          <w:sz w:val="21"/>
          <w:szCs w:val="21"/>
          <w:highlight w:val="none"/>
          <w:lang w:eastAsia="zh-CN"/>
        </w:rPr>
        <w:sectPr>
          <w:pgSz w:w="16838" w:h="11906" w:orient="landscape"/>
          <w:pgMar w:top="1134" w:right="1440" w:bottom="1134" w:left="1440" w:header="851" w:footer="992" w:gutter="0"/>
          <w:pgNumType w:fmt="decimal"/>
          <w:cols w:space="720" w:num="1"/>
          <w:docGrid w:type="lines" w:linePitch="312" w:charSpace="0"/>
        </w:sectPr>
      </w:pPr>
    </w:p>
    <w:p w14:paraId="7FB0A141">
      <w:pPr>
        <w:spacing w:line="360" w:lineRule="auto"/>
        <w:ind w:firstLine="420" w:firstLineChars="200"/>
        <w:jc w:val="left"/>
        <w:rPr>
          <w:rFonts w:hint="eastAsia" w:ascii="宋体" w:hAnsi="宋体" w:eastAsia="宋体" w:cs="微软雅黑"/>
          <w:color w:val="auto"/>
          <w:sz w:val="21"/>
          <w:szCs w:val="21"/>
          <w:highlight w:val="none"/>
          <w:lang w:eastAsia="zh-CN"/>
        </w:rPr>
      </w:pPr>
    </w:p>
    <w:p w14:paraId="32EAA81C">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宋体"/>
          <w:b/>
          <w:color w:val="auto"/>
          <w:szCs w:val="21"/>
          <w:highlight w:val="none"/>
        </w:rPr>
        <w:t>★</w:t>
      </w:r>
      <w:r>
        <w:rPr>
          <w:rFonts w:hint="eastAsia" w:ascii="宋体" w:hAnsi="宋体" w:eastAsia="宋体" w:cs="微软雅黑"/>
          <w:b/>
          <w:color w:val="auto"/>
          <w:sz w:val="21"/>
          <w:szCs w:val="21"/>
          <w:highlight w:val="none"/>
        </w:rPr>
        <w:t>三、设计工作量</w:t>
      </w:r>
    </w:p>
    <w:p w14:paraId="72946BDB">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（一）初步成果；</w:t>
      </w:r>
    </w:p>
    <w:p w14:paraId="75831523">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（二）施工图设计；</w:t>
      </w:r>
    </w:p>
    <w:p w14:paraId="04726A9C">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（三）所有为初步成果、施工图设计所必需的专题研究；</w:t>
      </w:r>
    </w:p>
    <w:p w14:paraId="019417C2">
      <w:pPr>
        <w:spacing w:line="360" w:lineRule="auto"/>
        <w:ind w:firstLine="420" w:firstLineChars="200"/>
        <w:jc w:val="left"/>
        <w:rPr>
          <w:rFonts w:hint="eastAsia" w:ascii="宋体" w:hAnsi="宋体" w:eastAsia="宋体" w:cs="微软雅黑"/>
          <w:color w:val="auto"/>
          <w:sz w:val="21"/>
          <w:szCs w:val="21"/>
          <w:highlight w:val="none"/>
        </w:rPr>
      </w:pPr>
      <w:r>
        <w:rPr>
          <w:rFonts w:ascii="宋体" w:hAnsi="宋体" w:eastAsia="宋体" w:cs="微软雅黑"/>
          <w:color w:val="auto"/>
          <w:sz w:val="21"/>
          <w:szCs w:val="21"/>
          <w:highlight w:val="none"/>
        </w:rPr>
        <w:t>（四）</w:t>
      </w:r>
      <w:r>
        <w:rPr>
          <w:rFonts w:hint="eastAsia" w:ascii="宋体" w:hAnsi="宋体" w:eastAsia="宋体" w:cs="微软雅黑"/>
          <w:color w:val="auto"/>
          <w:sz w:val="21"/>
          <w:szCs w:val="21"/>
          <w:highlight w:val="none"/>
        </w:rPr>
        <w:t>成果文件：成果文件：方案设计文件</w:t>
      </w:r>
      <w:r>
        <w:rPr>
          <w:rFonts w:hint="eastAsia" w:ascii="宋体" w:hAnsi="宋体" w:eastAsia="宋体" w:cs="微软雅黑"/>
          <w:color w:val="auto"/>
          <w:sz w:val="21"/>
          <w:szCs w:val="21"/>
          <w:highlight w:val="none"/>
          <w:lang w:val="en-US" w:eastAsia="zh-CN"/>
        </w:rPr>
        <w:t>8</w:t>
      </w:r>
      <w:r>
        <w:rPr>
          <w:rFonts w:hint="eastAsia" w:ascii="宋体" w:hAnsi="宋体" w:eastAsia="宋体" w:cs="微软雅黑"/>
          <w:color w:val="auto"/>
          <w:sz w:val="21"/>
          <w:szCs w:val="21"/>
          <w:highlight w:val="none"/>
        </w:rPr>
        <w:t>套；初步设计文件（含概算）</w:t>
      </w:r>
      <w:r>
        <w:rPr>
          <w:rFonts w:hint="eastAsia" w:ascii="宋体" w:hAnsi="宋体" w:eastAsia="宋体" w:cs="微软雅黑"/>
          <w:color w:val="auto"/>
          <w:sz w:val="21"/>
          <w:szCs w:val="21"/>
          <w:highlight w:val="none"/>
          <w:lang w:val="en-US" w:eastAsia="zh-CN"/>
        </w:rPr>
        <w:t>8</w:t>
      </w:r>
      <w:r>
        <w:rPr>
          <w:rFonts w:hint="eastAsia" w:ascii="宋体" w:hAnsi="宋体" w:eastAsia="宋体" w:cs="微软雅黑"/>
          <w:color w:val="auto"/>
          <w:sz w:val="21"/>
          <w:szCs w:val="21"/>
          <w:highlight w:val="none"/>
        </w:rPr>
        <w:t>套；全套施工图纸</w:t>
      </w:r>
      <w:r>
        <w:rPr>
          <w:rFonts w:hint="eastAsia" w:ascii="宋体" w:hAnsi="宋体" w:eastAsia="宋体" w:cs="微软雅黑"/>
          <w:color w:val="auto"/>
          <w:sz w:val="21"/>
          <w:szCs w:val="21"/>
          <w:highlight w:val="none"/>
          <w:lang w:val="en-US" w:eastAsia="zh-CN"/>
        </w:rPr>
        <w:t>12</w:t>
      </w:r>
      <w:r>
        <w:rPr>
          <w:rFonts w:hint="eastAsia" w:ascii="宋体" w:hAnsi="宋体" w:eastAsia="宋体" w:cs="微软雅黑"/>
          <w:color w:val="auto"/>
          <w:sz w:val="21"/>
          <w:szCs w:val="21"/>
          <w:highlight w:val="none"/>
        </w:rPr>
        <w:t>套，同时提交全套设计文件电子文档，以U盘形式递交。</w:t>
      </w:r>
    </w:p>
    <w:p w14:paraId="0AA5A2AA">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（五）施工招标期间，协助招标人完成相关工作，参加工程例会；</w:t>
      </w:r>
    </w:p>
    <w:p w14:paraId="2369D025">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（六）施工期间</w:t>
      </w:r>
      <w:r>
        <w:rPr>
          <w:rFonts w:hint="eastAsia" w:ascii="宋体" w:hAnsi="宋体" w:eastAsia="宋体" w:cs="微软雅黑"/>
          <w:color w:val="auto"/>
          <w:sz w:val="21"/>
          <w:szCs w:val="21"/>
          <w:highlight w:val="none"/>
        </w:rPr>
        <w:t>，</w:t>
      </w:r>
      <w:r>
        <w:rPr>
          <w:rFonts w:ascii="宋体" w:hAnsi="宋体" w:eastAsia="宋体" w:cs="微软雅黑"/>
          <w:color w:val="auto"/>
          <w:sz w:val="21"/>
          <w:szCs w:val="21"/>
          <w:highlight w:val="none"/>
        </w:rPr>
        <w:t>设计人员按业主需要及时到现场协调解决相关事宜及提供变更设计等后续服务；</w:t>
      </w:r>
    </w:p>
    <w:p w14:paraId="6D391FDA">
      <w:pPr>
        <w:spacing w:line="360" w:lineRule="auto"/>
        <w:ind w:firstLine="420" w:firstLineChars="200"/>
        <w:jc w:val="left"/>
        <w:rPr>
          <w:rFonts w:ascii="宋体" w:hAnsi="宋体" w:eastAsia="宋体"/>
          <w:b/>
          <w:color w:val="auto"/>
          <w:sz w:val="21"/>
          <w:szCs w:val="21"/>
          <w:highlight w:val="none"/>
        </w:rPr>
      </w:pPr>
      <w:r>
        <w:rPr>
          <w:rFonts w:ascii="宋体" w:hAnsi="宋体" w:eastAsia="宋体" w:cs="微软雅黑"/>
          <w:color w:val="auto"/>
          <w:sz w:val="21"/>
          <w:szCs w:val="21"/>
          <w:highlight w:val="none"/>
        </w:rPr>
        <w:t>（七）配合施工单位编制、审查竣工图（包括提供设计图纸电子版）。</w:t>
      </w:r>
    </w:p>
    <w:p w14:paraId="5899631B">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宋体"/>
          <w:b/>
          <w:color w:val="auto"/>
          <w:szCs w:val="21"/>
          <w:highlight w:val="none"/>
        </w:rPr>
        <w:t>★</w:t>
      </w:r>
      <w:r>
        <w:rPr>
          <w:rFonts w:hint="eastAsia" w:ascii="宋体" w:hAnsi="宋体" w:eastAsia="宋体" w:cs="微软雅黑"/>
          <w:b/>
          <w:color w:val="auto"/>
          <w:sz w:val="21"/>
          <w:szCs w:val="21"/>
          <w:highlight w:val="none"/>
        </w:rPr>
        <w:t>四、工程设计技术标准与规范</w:t>
      </w:r>
    </w:p>
    <w:p w14:paraId="43A094C6">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一）本工程的施工图设计过程和成果必须符合国家有关工程建设标准强制性条文和建设部关于施工图设计方面现行标准、规范、规程和办法等，以及招标项目所在地关于房屋建筑工程施工图设计方面的设计规定。</w:t>
      </w:r>
    </w:p>
    <w:p w14:paraId="0F964FBD">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（二）设计人在设计工作中使用或参考上述标准、规范以外的技术标准、规范时，应征得发包人或发包人指定的代表人的同意。</w:t>
      </w:r>
    </w:p>
    <w:p w14:paraId="73C28E8C">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（三）设计人在设计中必须使用中华人民共和国《工程建设标准强制条文》规定的标准、规范。</w:t>
      </w:r>
    </w:p>
    <w:p w14:paraId="6D95C585">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宋体"/>
          <w:b/>
          <w:color w:val="auto"/>
          <w:szCs w:val="21"/>
          <w:highlight w:val="none"/>
        </w:rPr>
        <w:t>★</w:t>
      </w:r>
      <w:r>
        <w:rPr>
          <w:rFonts w:hint="eastAsia" w:ascii="宋体" w:hAnsi="宋体" w:eastAsia="宋体" w:cs="微软雅黑"/>
          <w:b/>
          <w:color w:val="auto"/>
          <w:sz w:val="21"/>
          <w:szCs w:val="21"/>
          <w:highlight w:val="none"/>
        </w:rPr>
        <w:t>五、商务要求</w:t>
      </w:r>
    </w:p>
    <w:p w14:paraId="57A92199">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微软雅黑"/>
          <w:b/>
          <w:color w:val="auto"/>
          <w:sz w:val="21"/>
          <w:szCs w:val="21"/>
          <w:highlight w:val="none"/>
        </w:rPr>
        <w:t>（一）报价要求</w:t>
      </w:r>
    </w:p>
    <w:p w14:paraId="3CA29578">
      <w:pPr>
        <w:spacing w:line="360" w:lineRule="auto"/>
        <w:ind w:firstLine="420" w:firstLineChars="200"/>
        <w:jc w:val="left"/>
        <w:rPr>
          <w:rFonts w:ascii="宋体" w:hAnsi="宋体" w:eastAsia="宋体"/>
          <w:color w:val="auto"/>
          <w:sz w:val="21"/>
          <w:szCs w:val="21"/>
          <w:highlight w:val="none"/>
        </w:rPr>
      </w:pPr>
      <w:r>
        <w:rPr>
          <w:rFonts w:ascii="宋体" w:hAnsi="宋体" w:eastAsia="宋体" w:cs="微软雅黑"/>
          <w:color w:val="auto"/>
          <w:sz w:val="21"/>
          <w:szCs w:val="21"/>
          <w:highlight w:val="none"/>
        </w:rPr>
        <w:t>报价应包含本次招标项目有关的所有费用，包括技术资料、支付给员工的工资和国家强制缴纳的各种社会保障资金，以及投标人认为需要的其他费用等。</w:t>
      </w:r>
    </w:p>
    <w:p w14:paraId="4BCEA4BB">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微软雅黑"/>
          <w:b/>
          <w:color w:val="auto"/>
          <w:sz w:val="21"/>
          <w:szCs w:val="21"/>
          <w:highlight w:val="none"/>
        </w:rPr>
        <w:t>（二）服务期限</w:t>
      </w:r>
    </w:p>
    <w:p w14:paraId="25FE862C">
      <w:pPr>
        <w:spacing w:line="360" w:lineRule="auto"/>
        <w:ind w:firstLine="420" w:firstLineChars="200"/>
        <w:rPr>
          <w:rFonts w:ascii="宋体" w:hAnsi="宋体" w:eastAsia="宋体" w:cs="微软雅黑"/>
          <w:color w:val="auto"/>
          <w:sz w:val="21"/>
          <w:szCs w:val="21"/>
          <w:highlight w:val="none"/>
        </w:rPr>
      </w:pPr>
      <w:r>
        <w:rPr>
          <w:rFonts w:hint="eastAsia" w:ascii="宋体" w:hAnsi="宋体" w:eastAsia="宋体" w:cs="Times New Roman"/>
          <w:color w:val="auto"/>
          <w:sz w:val="21"/>
          <w:szCs w:val="21"/>
          <w:highlight w:val="none"/>
          <w:lang w:val="en-US" w:eastAsia="zh-CN"/>
        </w:rPr>
        <w:t>1.</w:t>
      </w:r>
      <w:r>
        <w:rPr>
          <w:rFonts w:hint="eastAsia" w:ascii="宋体" w:hAnsi="宋体" w:eastAsia="宋体" w:cs="Times New Roman"/>
          <w:color w:val="auto"/>
          <w:sz w:val="21"/>
          <w:szCs w:val="21"/>
          <w:highlight w:val="none"/>
        </w:rPr>
        <w:t>合同履行期限：</w:t>
      </w:r>
      <w:r>
        <w:rPr>
          <w:rFonts w:hint="eastAsia" w:ascii="宋体" w:hAnsi="宋体" w:cs="微软雅黑"/>
          <w:color w:val="auto"/>
          <w:sz w:val="21"/>
          <w:szCs w:val="21"/>
          <w:highlight w:val="none"/>
          <w:lang w:val="en-US" w:eastAsia="zh-CN"/>
        </w:rPr>
        <w:t>60</w:t>
      </w:r>
      <w:r>
        <w:rPr>
          <w:rFonts w:ascii="宋体" w:hAnsi="宋体" w:eastAsia="宋体" w:cs="微软雅黑"/>
          <w:color w:val="auto"/>
          <w:sz w:val="21"/>
          <w:szCs w:val="21"/>
          <w:highlight w:val="none"/>
        </w:rPr>
        <w:t>日历天，按合同约定完成设计工作。设计服务期的其他要求</w:t>
      </w:r>
      <w:r>
        <w:rPr>
          <w:rFonts w:hint="eastAsia" w:ascii="宋体" w:hAnsi="宋体" w:eastAsia="宋体" w:cs="微软雅黑"/>
          <w:color w:val="auto"/>
          <w:sz w:val="21"/>
          <w:szCs w:val="21"/>
          <w:highlight w:val="none"/>
        </w:rPr>
        <w:t>：</w:t>
      </w:r>
      <w:r>
        <w:rPr>
          <w:rFonts w:ascii="宋体" w:hAnsi="宋体" w:eastAsia="宋体" w:cs="微软雅黑"/>
          <w:color w:val="auto"/>
          <w:sz w:val="21"/>
          <w:szCs w:val="21"/>
          <w:highlight w:val="none"/>
        </w:rPr>
        <w:t>自设计合同生效之日起至竣工验收合格。</w:t>
      </w:r>
    </w:p>
    <w:p w14:paraId="7E446B01">
      <w:pPr>
        <w:spacing w:line="360" w:lineRule="auto"/>
        <w:ind w:firstLine="420" w:firstLineChars="200"/>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en-US" w:eastAsia="zh-CN"/>
        </w:rPr>
        <w:t>2.设计提交成果，需求确定后15日历天内提交方案设计文件，方案确定后15日历天内提交初步设计文件（含概算），初步设计文件确定后30日历天内提交全套施工图纸。</w:t>
      </w:r>
    </w:p>
    <w:p w14:paraId="71972333">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微软雅黑"/>
          <w:b/>
          <w:color w:val="auto"/>
          <w:sz w:val="21"/>
          <w:szCs w:val="21"/>
          <w:highlight w:val="none"/>
        </w:rPr>
        <w:t>（三）服务地点</w:t>
      </w:r>
    </w:p>
    <w:p w14:paraId="5B4AD229">
      <w:pPr>
        <w:spacing w:line="360" w:lineRule="auto"/>
        <w:ind w:firstLine="420" w:firstLineChars="200"/>
        <w:jc w:val="left"/>
        <w:rPr>
          <w:rFonts w:ascii="宋体" w:hAnsi="宋体" w:eastAsia="宋体"/>
          <w:color w:val="auto"/>
          <w:sz w:val="21"/>
          <w:szCs w:val="21"/>
          <w:highlight w:val="none"/>
        </w:rPr>
      </w:pPr>
      <w:r>
        <w:rPr>
          <w:rFonts w:hint="eastAsia" w:ascii="宋体" w:hAnsi="宋体" w:eastAsia="宋体" w:cs="微软雅黑"/>
          <w:color w:val="auto"/>
          <w:sz w:val="21"/>
          <w:szCs w:val="21"/>
          <w:highlight w:val="none"/>
        </w:rPr>
        <w:t>中国药科大学校内指定地点。</w:t>
      </w:r>
    </w:p>
    <w:p w14:paraId="5F7D1E46">
      <w:pPr>
        <w:spacing w:line="360" w:lineRule="auto"/>
        <w:ind w:firstLine="422" w:firstLineChars="200"/>
        <w:jc w:val="left"/>
        <w:rPr>
          <w:rFonts w:ascii="宋体" w:hAnsi="宋体" w:eastAsia="宋体"/>
          <w:b/>
          <w:color w:val="auto"/>
          <w:sz w:val="21"/>
          <w:szCs w:val="21"/>
          <w:highlight w:val="none"/>
        </w:rPr>
      </w:pPr>
      <w:r>
        <w:rPr>
          <w:rFonts w:hint="eastAsia" w:ascii="宋体" w:hAnsi="宋体" w:eastAsia="宋体" w:cs="微软雅黑"/>
          <w:b/>
          <w:color w:val="auto"/>
          <w:sz w:val="21"/>
          <w:szCs w:val="21"/>
          <w:highlight w:val="none"/>
        </w:rPr>
        <w:t>（四）付款方式</w:t>
      </w:r>
    </w:p>
    <w:bookmarkEnd w:id="8"/>
    <w:p w14:paraId="7DFAF5C0">
      <w:pPr>
        <w:pStyle w:val="91"/>
        <w:spacing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1、本合同生效后，发包人向设计人支付合同总价的</w:t>
      </w:r>
      <w:r>
        <w:rPr>
          <w:rFonts w:hint="eastAsia" w:ascii="宋体" w:hAnsi="宋体" w:eastAsia="宋体" w:cs="宋体"/>
          <w:b w:val="0"/>
          <w:bCs w:val="0"/>
          <w:color w:val="auto"/>
          <w:sz w:val="21"/>
          <w:szCs w:val="21"/>
          <w:highlight w:val="none"/>
          <w:u w:val="single"/>
        </w:rPr>
        <w:t xml:space="preserve"> 10 </w:t>
      </w:r>
      <w:r>
        <w:rPr>
          <w:rFonts w:hint="eastAsia" w:ascii="宋体" w:hAnsi="宋体" w:eastAsia="宋体" w:cs="宋体"/>
          <w:b w:val="0"/>
          <w:bCs w:val="0"/>
          <w:color w:val="auto"/>
          <w:sz w:val="21"/>
          <w:szCs w:val="21"/>
          <w:highlight w:val="none"/>
        </w:rPr>
        <w:t>%。</w:t>
      </w:r>
    </w:p>
    <w:p w14:paraId="121CAE4B">
      <w:pPr>
        <w:pStyle w:val="91"/>
        <w:spacing w:line="360" w:lineRule="auto"/>
        <w:ind w:firstLine="392" w:firstLineChars="187"/>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2、</w:t>
      </w:r>
      <w:r>
        <w:rPr>
          <w:rFonts w:hint="eastAsia" w:ascii="宋体" w:hAnsi="宋体" w:eastAsia="宋体" w:cs="宋体"/>
          <w:b w:val="0"/>
          <w:bCs w:val="0"/>
          <w:color w:val="auto"/>
          <w:sz w:val="21"/>
          <w:szCs w:val="21"/>
          <w:highlight w:val="none"/>
          <w:lang w:val="en-US" w:eastAsia="zh-CN"/>
        </w:rPr>
        <w:t>发包人确认方案设计文件后</w:t>
      </w:r>
      <w:r>
        <w:rPr>
          <w:rFonts w:hint="eastAsia" w:ascii="宋体" w:hAnsi="宋体" w:eastAsia="宋体" w:cs="宋体"/>
          <w:b w:val="0"/>
          <w:bCs w:val="0"/>
          <w:color w:val="auto"/>
          <w:sz w:val="21"/>
          <w:szCs w:val="21"/>
          <w:highlight w:val="none"/>
        </w:rPr>
        <w:t>，发包人向设计人支付合同总价的</w:t>
      </w:r>
      <w:r>
        <w:rPr>
          <w:rFonts w:hint="eastAsia" w:ascii="宋体" w:hAnsi="宋体" w:eastAsia="宋体" w:cs="宋体"/>
          <w:b w:val="0"/>
          <w:bCs w:val="0"/>
          <w:color w:val="auto"/>
          <w:sz w:val="21"/>
          <w:szCs w:val="21"/>
          <w:highlight w:val="none"/>
          <w:u w:val="single"/>
        </w:rPr>
        <w:t>30%</w:t>
      </w:r>
      <w:r>
        <w:rPr>
          <w:rFonts w:hint="eastAsia" w:ascii="宋体" w:hAnsi="宋体" w:eastAsia="宋体" w:cs="宋体"/>
          <w:b w:val="0"/>
          <w:bCs w:val="0"/>
          <w:color w:val="auto"/>
          <w:sz w:val="21"/>
          <w:szCs w:val="21"/>
          <w:highlight w:val="none"/>
        </w:rPr>
        <w:t>。</w:t>
      </w:r>
    </w:p>
    <w:p w14:paraId="3E3D67D2">
      <w:pPr>
        <w:pStyle w:val="91"/>
        <w:spacing w:line="360" w:lineRule="auto"/>
        <w:ind w:firstLine="392" w:firstLineChars="187"/>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3、本项目</w:t>
      </w:r>
      <w:r>
        <w:rPr>
          <w:rFonts w:hint="eastAsia" w:ascii="宋体" w:hAnsi="宋体" w:eastAsia="宋体" w:cs="宋体"/>
          <w:b w:val="0"/>
          <w:bCs w:val="0"/>
          <w:color w:val="auto"/>
          <w:sz w:val="21"/>
          <w:szCs w:val="21"/>
          <w:highlight w:val="none"/>
          <w:lang w:val="en-US" w:eastAsia="zh-CN"/>
        </w:rPr>
        <w:t>施工开工，</w:t>
      </w:r>
      <w:r>
        <w:rPr>
          <w:rFonts w:hint="eastAsia" w:ascii="宋体" w:hAnsi="宋体" w:eastAsia="宋体" w:cs="宋体"/>
          <w:b w:val="0"/>
          <w:bCs w:val="0"/>
          <w:color w:val="auto"/>
          <w:sz w:val="21"/>
          <w:szCs w:val="21"/>
          <w:highlight w:val="none"/>
        </w:rPr>
        <w:t>设计人</w:t>
      </w:r>
      <w:r>
        <w:rPr>
          <w:rFonts w:hint="eastAsia" w:ascii="宋体" w:hAnsi="宋体" w:eastAsia="宋体" w:cs="宋体"/>
          <w:b w:val="0"/>
          <w:bCs w:val="0"/>
          <w:color w:val="auto"/>
          <w:sz w:val="21"/>
          <w:szCs w:val="21"/>
          <w:highlight w:val="none"/>
          <w:lang w:val="en-US" w:eastAsia="zh-CN"/>
        </w:rPr>
        <w:t>提供全套的施工图纸后，发包人向设计人支付合同总价</w:t>
      </w:r>
      <w:r>
        <w:rPr>
          <w:rFonts w:hint="eastAsia" w:ascii="宋体" w:hAnsi="宋体" w:eastAsia="宋体" w:cs="宋体"/>
          <w:b w:val="0"/>
          <w:bCs w:val="0"/>
          <w:color w:val="auto"/>
          <w:sz w:val="21"/>
          <w:szCs w:val="21"/>
          <w:highlight w:val="none"/>
          <w:u w:val="single"/>
          <w:lang w:val="en-US" w:eastAsia="zh-CN"/>
        </w:rPr>
        <w:t>2</w:t>
      </w:r>
      <w:r>
        <w:rPr>
          <w:rFonts w:hint="eastAsia" w:ascii="宋体" w:hAnsi="宋体" w:eastAsia="宋体" w:cs="宋体"/>
          <w:b w:val="0"/>
          <w:bCs w:val="0"/>
          <w:color w:val="auto"/>
          <w:sz w:val="21"/>
          <w:szCs w:val="21"/>
          <w:highlight w:val="none"/>
          <w:u w:val="single"/>
        </w:rPr>
        <w:t>0%</w:t>
      </w:r>
      <w:r>
        <w:rPr>
          <w:rFonts w:hint="eastAsia" w:ascii="宋体" w:hAnsi="宋体" w:eastAsia="宋体" w:cs="宋体"/>
          <w:b w:val="0"/>
          <w:bCs w:val="0"/>
          <w:color w:val="auto"/>
          <w:sz w:val="21"/>
          <w:szCs w:val="21"/>
          <w:highlight w:val="none"/>
        </w:rPr>
        <w:t>。</w:t>
      </w:r>
    </w:p>
    <w:p w14:paraId="1995086C">
      <w:pPr>
        <w:pStyle w:val="6"/>
        <w:ind w:firstLine="420" w:firstLineChars="200"/>
        <w:jc w:val="left"/>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本项目竣工验收合格</w:t>
      </w:r>
      <w:r>
        <w:rPr>
          <w:rFonts w:hint="eastAsia" w:ascii="宋体" w:hAnsi="宋体" w:eastAsia="宋体" w:cs="宋体"/>
          <w:b w:val="0"/>
          <w:bCs w:val="0"/>
          <w:color w:val="auto"/>
          <w:sz w:val="21"/>
          <w:szCs w:val="21"/>
          <w:highlight w:val="none"/>
          <w:lang w:val="en-US" w:eastAsia="zh-CN"/>
        </w:rPr>
        <w:t>,设计人支付违约金后，发包人</w:t>
      </w:r>
      <w:r>
        <w:rPr>
          <w:rFonts w:hint="eastAsia" w:ascii="宋体" w:hAnsi="宋体" w:eastAsia="宋体" w:cs="宋体"/>
          <w:b w:val="0"/>
          <w:bCs w:val="0"/>
          <w:color w:val="auto"/>
          <w:sz w:val="21"/>
          <w:szCs w:val="21"/>
          <w:highlight w:val="none"/>
        </w:rPr>
        <w:t>支付尾款。</w:t>
      </w:r>
    </w:p>
    <w:p w14:paraId="36A10DEB">
      <w:pPr>
        <w:pStyle w:val="91"/>
        <w:spacing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发包人向设计人支付已完工作设计费的期限为</w:t>
      </w:r>
      <w:r>
        <w:rPr>
          <w:rFonts w:hint="eastAsia" w:ascii="宋体" w:hAnsi="宋体" w:eastAsia="宋体" w:cs="宋体"/>
          <w:b w:val="0"/>
          <w:bCs w:val="0"/>
          <w:color w:val="auto"/>
          <w:sz w:val="21"/>
          <w:szCs w:val="21"/>
          <w:highlight w:val="none"/>
          <w:u w:val="single"/>
        </w:rPr>
        <w:t xml:space="preserve">收到设计人提供的增值税发票后30  </w:t>
      </w:r>
      <w:r>
        <w:rPr>
          <w:rFonts w:hint="eastAsia" w:ascii="宋体" w:hAnsi="宋体" w:eastAsia="宋体" w:cs="宋体"/>
          <w:b w:val="0"/>
          <w:bCs w:val="0"/>
          <w:color w:val="auto"/>
          <w:sz w:val="21"/>
          <w:szCs w:val="21"/>
          <w:highlight w:val="none"/>
        </w:rPr>
        <w:t>天内。</w:t>
      </w:r>
    </w:p>
    <w:p w14:paraId="09F26589">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六、</w:t>
      </w:r>
      <w:r>
        <w:rPr>
          <w:rFonts w:hint="eastAsia" w:ascii="宋体" w:hAnsi="宋体" w:eastAsia="宋体" w:cs="宋体"/>
          <w:b/>
          <w:bCs/>
          <w:color w:val="auto"/>
          <w:szCs w:val="21"/>
          <w:highlight w:val="none"/>
        </w:rPr>
        <w:t>廉政承诺书</w:t>
      </w:r>
    </w:p>
    <w:p w14:paraId="6649B8B0">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投标单位须按“第六章 附件六 《投标单位廉政承诺书》”</w:t>
      </w:r>
      <w:r>
        <w:rPr>
          <w:rFonts w:hint="eastAsia" w:ascii="宋体" w:hAnsi="宋体" w:eastAsia="宋体" w:cs="宋体"/>
          <w:color w:val="auto"/>
          <w:szCs w:val="21"/>
          <w:highlight w:val="none"/>
          <w:lang w:val="en-US" w:eastAsia="zh-CN"/>
        </w:rPr>
        <w:t>格式提供承诺书。</w:t>
      </w:r>
      <w:r>
        <w:rPr>
          <w:rFonts w:hint="eastAsia" w:ascii="宋体" w:hAnsi="宋体" w:eastAsia="宋体" w:cs="宋体"/>
          <w:color w:val="auto"/>
          <w:szCs w:val="21"/>
          <w:highlight w:val="none"/>
        </w:rPr>
        <w:t xml:space="preserve">（如未按要求提供承诺书将引起投标文件无效）。 </w:t>
      </w:r>
    </w:p>
    <w:p w14:paraId="1D92313C">
      <w:pPr>
        <w:spacing w:line="360" w:lineRule="auto"/>
        <w:ind w:firstLine="422" w:firstLineChars="20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七</w:t>
      </w:r>
      <w:r>
        <w:rPr>
          <w:rFonts w:hint="eastAsia" w:ascii="宋体" w:hAnsi="宋体" w:eastAsia="宋体" w:cs="宋体"/>
          <w:b/>
          <w:bCs/>
          <w:color w:val="auto"/>
          <w:szCs w:val="21"/>
          <w:highlight w:val="none"/>
        </w:rPr>
        <w:t>、投标保证金</w:t>
      </w:r>
    </w:p>
    <w:p w14:paraId="39B36008">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投标保证金形式包括在银行支票、汇票、电汇、本票，投标保证金应当从供应商基本账户转出（依法必须招标项目应当从供应商基本账户转出）</w:t>
      </w:r>
    </w:p>
    <w:p w14:paraId="52013801">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投标保证金金额：人民币</w:t>
      </w:r>
      <w:r>
        <w:rPr>
          <w:rFonts w:hint="eastAsia" w:ascii="宋体" w:hAnsi="宋体" w:eastAsia="宋体" w:cs="宋体"/>
          <w:color w:val="auto"/>
          <w:kern w:val="0"/>
          <w:szCs w:val="21"/>
          <w:highlight w:val="none"/>
          <w:lang w:val="en-US" w:eastAsia="zh-CN"/>
        </w:rPr>
        <w:t>8000</w:t>
      </w:r>
      <w:r>
        <w:rPr>
          <w:rFonts w:hint="eastAsia" w:ascii="宋体" w:hAnsi="宋体" w:eastAsia="宋体" w:cs="宋体"/>
          <w:color w:val="auto"/>
          <w:kern w:val="0"/>
          <w:szCs w:val="21"/>
          <w:highlight w:val="none"/>
          <w:lang w:val="zh-CN"/>
        </w:rPr>
        <w:t>元（大写：</w:t>
      </w:r>
      <w:r>
        <w:rPr>
          <w:rFonts w:hint="eastAsia" w:ascii="宋体" w:hAnsi="宋体" w:eastAsia="宋体" w:cs="宋体"/>
          <w:color w:val="auto"/>
          <w:kern w:val="0"/>
          <w:szCs w:val="21"/>
          <w:highlight w:val="none"/>
          <w:lang w:val="en-US" w:eastAsia="zh-CN"/>
        </w:rPr>
        <w:t>捌仟</w:t>
      </w:r>
      <w:r>
        <w:rPr>
          <w:rFonts w:hint="eastAsia" w:ascii="宋体" w:hAnsi="宋体" w:eastAsia="宋体" w:cs="宋体"/>
          <w:color w:val="auto"/>
          <w:kern w:val="0"/>
          <w:szCs w:val="21"/>
          <w:highlight w:val="none"/>
          <w:lang w:val="zh-CN"/>
        </w:rPr>
        <w:t xml:space="preserve">圆整） </w:t>
      </w:r>
    </w:p>
    <w:p w14:paraId="3D5DF9A4">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投标保证金和服务费银行及账号： </w:t>
      </w:r>
    </w:p>
    <w:p w14:paraId="666972C2">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开户单位：南京苏宁工程咨询有限公司</w:t>
      </w:r>
    </w:p>
    <w:p w14:paraId="13863DB3">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开户银行：南京银行中山东路支行 </w:t>
      </w:r>
    </w:p>
    <w:p w14:paraId="58F98CCD">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 xml:space="preserve">账号：0168200000000605 </w:t>
      </w:r>
    </w:p>
    <w:p w14:paraId="615F48DA">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汇款时需备注：</w:t>
      </w:r>
      <w:r>
        <w:rPr>
          <w:rFonts w:hint="eastAsia" w:ascii="宋体" w:hAnsi="宋体" w:eastAsia="宋体" w:cs="宋体"/>
          <w:color w:val="auto"/>
          <w:kern w:val="0"/>
          <w:szCs w:val="21"/>
          <w:highlight w:val="none"/>
          <w:lang w:val="zh-CN" w:eastAsia="zh-CN"/>
        </w:rPr>
        <w:t>SNZX-20250705</w:t>
      </w:r>
      <w:r>
        <w:rPr>
          <w:rFonts w:hint="eastAsia" w:ascii="宋体" w:hAnsi="宋体" w:eastAsia="宋体" w:cs="宋体"/>
          <w:color w:val="auto"/>
          <w:kern w:val="0"/>
          <w:szCs w:val="21"/>
          <w:highlight w:val="none"/>
          <w:lang w:val="zh-CN"/>
        </w:rPr>
        <w:t xml:space="preserve"> 保证金</w:t>
      </w:r>
    </w:p>
    <w:p w14:paraId="2F2ADB4C">
      <w:pPr>
        <w:spacing w:line="360" w:lineRule="auto"/>
        <w:ind w:firstLine="493" w:firstLineChars="235"/>
        <w:rPr>
          <w:rFonts w:hint="eastAsia" w:ascii="宋体" w:hAnsi="宋体" w:eastAsia="宋体" w:cs="宋体"/>
          <w:color w:val="auto"/>
          <w:kern w:val="0"/>
          <w:szCs w:val="21"/>
          <w:highlight w:val="none"/>
          <w:lang w:val="zh-CN"/>
        </w:rPr>
      </w:pPr>
      <w:r>
        <w:rPr>
          <w:rFonts w:hint="eastAsia" w:ascii="宋体" w:hAnsi="宋体" w:eastAsia="宋体" w:cs="宋体"/>
          <w:color w:val="auto"/>
          <w:kern w:val="0"/>
          <w:szCs w:val="21"/>
          <w:highlight w:val="none"/>
          <w:lang w:val="zh-CN"/>
        </w:rPr>
        <w:t>投标保证金应在投标截止时间前递交到南京苏宁工程咨询有限公司，并将投标保证金缴纳凭证复印件编入投标文件中。</w:t>
      </w:r>
    </w:p>
    <w:p w14:paraId="6BA29236">
      <w:pPr>
        <w:jc w:val="center"/>
        <w:outlineLvl w:val="0"/>
        <w:rPr>
          <w:rFonts w:hint="eastAsia" w:ascii="宋体" w:hAnsi="宋体" w:eastAsia="宋体" w:cs="宋体"/>
          <w:color w:val="auto"/>
          <w:sz w:val="36"/>
          <w:szCs w:val="36"/>
          <w:highlight w:val="none"/>
          <w:lang w:val="zh-CN"/>
        </w:rPr>
        <w:sectPr>
          <w:pgSz w:w="11906" w:h="16838"/>
          <w:pgMar w:top="1440" w:right="1134" w:bottom="1440" w:left="1134" w:header="851" w:footer="992" w:gutter="0"/>
          <w:pgNumType w:fmt="decimal"/>
          <w:cols w:space="720" w:num="1"/>
          <w:docGrid w:type="lines" w:linePitch="312" w:charSpace="0"/>
        </w:sectPr>
      </w:pPr>
    </w:p>
    <w:p w14:paraId="680BFC7B">
      <w:pPr>
        <w:jc w:val="center"/>
        <w:outlineLvl w:val="0"/>
        <w:rPr>
          <w:rFonts w:hint="eastAsia" w:ascii="宋体" w:hAnsi="宋体" w:eastAsia="宋体" w:cs="宋体"/>
          <w:color w:val="auto"/>
          <w:sz w:val="36"/>
          <w:szCs w:val="36"/>
          <w:highlight w:val="none"/>
          <w:lang w:val="zh-CN"/>
        </w:rPr>
      </w:pPr>
      <w:r>
        <w:rPr>
          <w:rFonts w:hint="eastAsia" w:ascii="宋体" w:hAnsi="宋体" w:eastAsia="宋体" w:cs="宋体"/>
          <w:color w:val="auto"/>
          <w:sz w:val="36"/>
          <w:szCs w:val="36"/>
          <w:highlight w:val="none"/>
          <w:lang w:val="zh-CN"/>
        </w:rPr>
        <w:t>第五章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val="zh-CN"/>
        </w:rPr>
        <w:t>合同主要条款及格式</w:t>
      </w:r>
      <w:bookmarkEnd w:id="9"/>
    </w:p>
    <w:p w14:paraId="18B1F23B">
      <w:pPr>
        <w:pStyle w:val="38"/>
        <w:rPr>
          <w:rFonts w:hint="eastAsia" w:ascii="宋体" w:hAnsi="宋体" w:eastAsia="宋体" w:cs="宋体"/>
          <w:color w:val="auto"/>
          <w:highlight w:val="none"/>
        </w:rPr>
      </w:pPr>
    </w:p>
    <w:p w14:paraId="0469A824">
      <w:pPr>
        <w:pStyle w:val="86"/>
        <w:spacing w:line="360" w:lineRule="auto"/>
        <w:ind w:firstLine="0" w:firstLineChars="0"/>
        <w:rPr>
          <w:rFonts w:hint="eastAsia" w:ascii="宋体" w:hAnsi="宋体" w:eastAsia="宋体" w:cs="宋体"/>
          <w:color w:val="auto"/>
          <w:kern w:val="2"/>
          <w:sz w:val="21"/>
          <w:szCs w:val="21"/>
          <w:highlight w:val="none"/>
        </w:rPr>
      </w:pPr>
      <w:bookmarkStart w:id="10" w:name="_Hlt16619369"/>
      <w:bookmarkEnd w:id="10"/>
    </w:p>
    <w:p w14:paraId="52946AA7">
      <w:pPr>
        <w:spacing w:line="360" w:lineRule="auto"/>
        <w:ind w:left="4424" w:hanging="4424" w:hangingChars="790"/>
        <w:jc w:val="center"/>
        <w:rPr>
          <w:rFonts w:hint="eastAsia" w:ascii="宋体" w:hAnsi="宋体" w:eastAsia="宋体" w:cs="宋体"/>
          <w:bCs/>
          <w:color w:val="auto"/>
          <w:sz w:val="56"/>
          <w:szCs w:val="24"/>
          <w:highlight w:val="none"/>
        </w:rPr>
      </w:pPr>
      <w:r>
        <w:rPr>
          <w:rFonts w:hint="eastAsia" w:ascii="宋体" w:hAnsi="宋体" w:eastAsia="宋体" w:cs="宋体"/>
          <w:bCs/>
          <w:color w:val="auto"/>
          <w:sz w:val="56"/>
          <w:szCs w:val="24"/>
          <w:highlight w:val="none"/>
        </w:rPr>
        <w:t>建设工程设计合同</w:t>
      </w:r>
    </w:p>
    <w:p w14:paraId="6631BC0C">
      <w:pPr>
        <w:spacing w:line="360" w:lineRule="auto"/>
        <w:ind w:left="2221" w:hanging="2221" w:hangingChars="790"/>
        <w:rPr>
          <w:rFonts w:hint="eastAsia" w:ascii="宋体" w:hAnsi="宋体" w:eastAsia="宋体" w:cs="宋体"/>
          <w:b/>
          <w:bCs/>
          <w:color w:val="auto"/>
          <w:sz w:val="28"/>
          <w:szCs w:val="24"/>
          <w:highlight w:val="none"/>
        </w:rPr>
      </w:pPr>
    </w:p>
    <w:p w14:paraId="7B0083CE">
      <w:pPr>
        <w:spacing w:line="360" w:lineRule="auto"/>
        <w:ind w:left="2221" w:hanging="2221" w:hangingChars="790"/>
        <w:rPr>
          <w:rFonts w:hint="eastAsia" w:ascii="宋体" w:hAnsi="宋体" w:eastAsia="宋体" w:cs="宋体"/>
          <w:b/>
          <w:bCs/>
          <w:color w:val="auto"/>
          <w:sz w:val="28"/>
          <w:szCs w:val="24"/>
          <w:highlight w:val="none"/>
        </w:rPr>
      </w:pPr>
    </w:p>
    <w:p w14:paraId="7D4D1448">
      <w:pPr>
        <w:spacing w:line="360" w:lineRule="auto"/>
        <w:ind w:left="2221" w:hanging="2221" w:hangingChars="790"/>
        <w:rPr>
          <w:rFonts w:hint="eastAsia" w:ascii="宋体" w:hAnsi="宋体" w:eastAsia="宋体" w:cs="宋体"/>
          <w:b/>
          <w:bCs/>
          <w:color w:val="auto"/>
          <w:sz w:val="28"/>
          <w:szCs w:val="24"/>
          <w:highlight w:val="none"/>
        </w:rPr>
      </w:pPr>
    </w:p>
    <w:p w14:paraId="614EDFAB">
      <w:pPr>
        <w:numPr>
          <w:ilvl w:val="0"/>
          <w:numId w:val="0"/>
        </w:numPr>
        <w:spacing w:line="360" w:lineRule="auto"/>
        <w:ind w:firstLine="562" w:firstLineChars="200"/>
        <w:jc w:val="left"/>
        <w:rPr>
          <w:rFonts w:hint="eastAsia" w:ascii="宋体" w:hAnsi="宋体" w:eastAsia="宋体" w:cs="宋体"/>
          <w:color w:val="auto"/>
          <w:sz w:val="28"/>
          <w:szCs w:val="28"/>
          <w:highlight w:val="none"/>
          <w:lang w:eastAsia="zh-CN"/>
        </w:rPr>
      </w:pPr>
      <w:r>
        <w:rPr>
          <w:rFonts w:hint="eastAsia" w:ascii="宋体" w:hAnsi="宋体" w:eastAsia="宋体" w:cs="宋体"/>
          <w:b/>
          <w:bCs/>
          <w:color w:val="auto"/>
          <w:sz w:val="28"/>
          <w:szCs w:val="24"/>
          <w:highlight w:val="none"/>
          <w:lang w:eastAsia="zh-CN"/>
        </w:rPr>
        <w:t>项</w:t>
      </w:r>
      <w:r>
        <w:rPr>
          <w:rFonts w:hint="eastAsia" w:ascii="宋体" w:hAnsi="宋体" w:eastAsia="宋体" w:cs="宋体"/>
          <w:b/>
          <w:bCs/>
          <w:color w:val="auto"/>
          <w:sz w:val="28"/>
          <w:szCs w:val="24"/>
          <w:highlight w:val="none"/>
          <w:lang w:val="en-US" w:eastAsia="zh-CN"/>
        </w:rPr>
        <w:t xml:space="preserve">  </w:t>
      </w:r>
      <w:r>
        <w:rPr>
          <w:rFonts w:hint="eastAsia" w:ascii="宋体" w:hAnsi="宋体" w:eastAsia="宋体" w:cs="宋体"/>
          <w:b/>
          <w:bCs/>
          <w:color w:val="auto"/>
          <w:sz w:val="28"/>
          <w:szCs w:val="24"/>
          <w:highlight w:val="none"/>
          <w:lang w:eastAsia="zh-CN"/>
        </w:rPr>
        <w:t>目</w:t>
      </w:r>
      <w:r>
        <w:rPr>
          <w:rFonts w:hint="eastAsia" w:ascii="宋体" w:hAnsi="宋体" w:eastAsia="宋体" w:cs="宋体"/>
          <w:b/>
          <w:bCs/>
          <w:color w:val="auto"/>
          <w:sz w:val="28"/>
          <w:szCs w:val="24"/>
          <w:highlight w:val="none"/>
        </w:rPr>
        <w:t xml:space="preserve">  名  称：</w:t>
      </w:r>
      <w:r>
        <w:rPr>
          <w:rFonts w:hint="eastAsia" w:ascii="宋体" w:hAnsi="宋体" w:eastAsia="宋体" w:cs="宋体"/>
          <w:b/>
          <w:bCs/>
          <w:color w:val="auto"/>
          <w:sz w:val="28"/>
          <w:szCs w:val="24"/>
          <w:highlight w:val="none"/>
          <w:u w:val="single"/>
        </w:rPr>
        <w:t xml:space="preserve"> </w:t>
      </w:r>
      <w:r>
        <w:rPr>
          <w:rFonts w:hint="eastAsia" w:ascii="宋体" w:hAnsi="宋体" w:eastAsia="宋体" w:cs="宋体"/>
          <w:b/>
          <w:bCs/>
          <w:color w:val="auto"/>
          <w:sz w:val="28"/>
          <w:szCs w:val="24"/>
          <w:highlight w:val="none"/>
          <w:u w:val="single"/>
          <w:lang w:eastAsia="zh-CN"/>
        </w:rPr>
        <w:t>中国药科大学玄武门校区图书馆改造设计项目</w:t>
      </w:r>
    </w:p>
    <w:p w14:paraId="1B26F553">
      <w:pPr>
        <w:spacing w:line="360" w:lineRule="auto"/>
        <w:ind w:firstLine="562"/>
        <w:jc w:val="left"/>
        <w:rPr>
          <w:rFonts w:hint="eastAsia" w:ascii="宋体" w:hAnsi="宋体" w:eastAsia="宋体" w:cs="宋体"/>
          <w:b/>
          <w:bCs/>
          <w:strike/>
          <w:color w:val="auto"/>
          <w:sz w:val="28"/>
          <w:szCs w:val="24"/>
          <w:highlight w:val="none"/>
          <w:u w:val="single"/>
        </w:rPr>
      </w:pPr>
      <w:r>
        <w:rPr>
          <w:rFonts w:hint="eastAsia" w:ascii="宋体" w:hAnsi="宋体" w:eastAsia="宋体" w:cs="宋体"/>
          <w:b/>
          <w:bCs/>
          <w:color w:val="auto"/>
          <w:sz w:val="28"/>
          <w:szCs w:val="24"/>
          <w:highlight w:val="none"/>
        </w:rPr>
        <w:t>工  程  地  点：</w:t>
      </w:r>
      <w:r>
        <w:rPr>
          <w:rFonts w:hint="eastAsia" w:ascii="宋体" w:hAnsi="宋体" w:eastAsia="宋体" w:cs="宋体"/>
          <w:b/>
          <w:bCs/>
          <w:color w:val="auto"/>
          <w:sz w:val="28"/>
          <w:szCs w:val="24"/>
          <w:highlight w:val="none"/>
          <w:u w:val="single"/>
        </w:rPr>
        <w:t>江苏省南京市</w:t>
      </w:r>
      <w:r>
        <w:rPr>
          <w:rFonts w:hint="eastAsia" w:ascii="宋体" w:hAnsi="宋体" w:eastAsia="宋体" w:cs="宋体"/>
          <w:b/>
          <w:bCs/>
          <w:color w:val="auto"/>
          <w:sz w:val="28"/>
          <w:szCs w:val="24"/>
          <w:highlight w:val="none"/>
          <w:u w:val="single"/>
          <w:lang w:eastAsia="zh-CN"/>
        </w:rPr>
        <w:t>鼓楼区童家巷</w:t>
      </w:r>
      <w:r>
        <w:rPr>
          <w:rFonts w:hint="eastAsia" w:ascii="宋体" w:hAnsi="宋体" w:eastAsia="宋体" w:cs="宋体"/>
          <w:b/>
          <w:bCs/>
          <w:color w:val="auto"/>
          <w:sz w:val="28"/>
          <w:szCs w:val="24"/>
          <w:highlight w:val="none"/>
          <w:u w:val="single"/>
          <w:lang w:val="en-US" w:eastAsia="zh-CN"/>
        </w:rPr>
        <w:t>24号</w:t>
      </w:r>
      <w:r>
        <w:rPr>
          <w:rFonts w:hint="eastAsia" w:ascii="宋体" w:hAnsi="宋体" w:eastAsia="宋体" w:cs="宋体"/>
          <w:b/>
          <w:bCs/>
          <w:color w:val="auto"/>
          <w:sz w:val="28"/>
          <w:szCs w:val="24"/>
          <w:highlight w:val="none"/>
          <w:u w:val="single"/>
        </w:rPr>
        <w:t>中国药科大学</w:t>
      </w:r>
      <w:r>
        <w:rPr>
          <w:rFonts w:hint="eastAsia" w:ascii="宋体" w:hAnsi="宋体" w:eastAsia="宋体" w:cs="宋体"/>
          <w:b/>
          <w:bCs/>
          <w:color w:val="auto"/>
          <w:sz w:val="28"/>
          <w:szCs w:val="24"/>
          <w:highlight w:val="none"/>
          <w:u w:val="single"/>
          <w:lang w:eastAsia="zh-CN"/>
        </w:rPr>
        <w:t>玄武门</w:t>
      </w:r>
      <w:r>
        <w:rPr>
          <w:rFonts w:hint="eastAsia" w:ascii="宋体" w:hAnsi="宋体" w:eastAsia="宋体" w:cs="宋体"/>
          <w:b/>
          <w:bCs/>
          <w:color w:val="auto"/>
          <w:sz w:val="28"/>
          <w:szCs w:val="24"/>
          <w:highlight w:val="none"/>
          <w:u w:val="single"/>
        </w:rPr>
        <w:t>校区</w:t>
      </w:r>
    </w:p>
    <w:p w14:paraId="300931EE">
      <w:pPr>
        <w:spacing w:line="360" w:lineRule="auto"/>
        <w:ind w:firstLine="562"/>
        <w:jc w:val="left"/>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合  同  编  号：</w:t>
      </w:r>
      <w:r>
        <w:rPr>
          <w:rFonts w:hint="eastAsia" w:ascii="宋体" w:hAnsi="宋体" w:eastAsia="宋体" w:cs="宋体"/>
          <w:b/>
          <w:bCs/>
          <w:color w:val="auto"/>
          <w:sz w:val="28"/>
          <w:szCs w:val="24"/>
          <w:highlight w:val="none"/>
          <w:u w:val="single"/>
        </w:rPr>
        <w:t xml:space="preserve">                            </w:t>
      </w:r>
    </w:p>
    <w:p w14:paraId="0B787A65">
      <w:pPr>
        <w:spacing w:line="360" w:lineRule="auto"/>
        <w:ind w:firstLine="606"/>
        <w:rPr>
          <w:rFonts w:hint="eastAsia" w:ascii="宋体" w:hAnsi="宋体" w:eastAsia="宋体" w:cs="宋体"/>
          <w:b/>
          <w:bCs/>
          <w:color w:val="auto"/>
          <w:sz w:val="28"/>
          <w:szCs w:val="24"/>
          <w:highlight w:val="none"/>
        </w:rPr>
      </w:pPr>
      <w:r>
        <w:rPr>
          <w:rFonts w:hint="eastAsia" w:ascii="宋体" w:hAnsi="宋体" w:eastAsia="宋体" w:cs="宋体"/>
          <w:b/>
          <w:bCs/>
          <w:color w:val="auto"/>
          <w:spacing w:val="11"/>
          <w:sz w:val="28"/>
          <w:szCs w:val="24"/>
          <w:highlight w:val="none"/>
        </w:rPr>
        <w:t>设计证书等级</w:t>
      </w:r>
      <w:r>
        <w:rPr>
          <w:rFonts w:hint="eastAsia" w:ascii="宋体" w:hAnsi="宋体" w:eastAsia="宋体" w:cs="宋体"/>
          <w:b/>
          <w:bCs/>
          <w:color w:val="auto"/>
          <w:sz w:val="28"/>
          <w:szCs w:val="24"/>
          <w:highlight w:val="none"/>
        </w:rPr>
        <w:t xml:space="preserve">： </w:t>
      </w:r>
      <w:r>
        <w:rPr>
          <w:rFonts w:hint="eastAsia" w:ascii="宋体" w:hAnsi="宋体" w:eastAsia="宋体" w:cs="宋体"/>
          <w:b/>
          <w:bCs/>
          <w:color w:val="auto"/>
          <w:sz w:val="28"/>
          <w:szCs w:val="24"/>
          <w:highlight w:val="none"/>
          <w:u w:val="single"/>
        </w:rPr>
        <w:t xml:space="preserve">       </w:t>
      </w:r>
      <w:r>
        <w:rPr>
          <w:rFonts w:hint="eastAsia" w:ascii="宋体" w:hAnsi="宋体" w:eastAsia="宋体" w:cs="宋体"/>
          <w:color w:val="auto"/>
          <w:sz w:val="28"/>
          <w:szCs w:val="24"/>
          <w:highlight w:val="none"/>
          <w:u w:val="single"/>
        </w:rPr>
        <w:t xml:space="preserve">     </w:t>
      </w:r>
      <w:r>
        <w:rPr>
          <w:rFonts w:hint="eastAsia" w:ascii="宋体" w:hAnsi="宋体" w:eastAsia="宋体" w:cs="宋体"/>
          <w:color w:val="auto"/>
          <w:sz w:val="28"/>
          <w:szCs w:val="24"/>
          <w:highlight w:val="none"/>
          <w:u w:val="single"/>
          <w:lang w:val="en-US" w:eastAsia="zh-CN"/>
        </w:rPr>
        <w:t xml:space="preserve"> </w:t>
      </w:r>
      <w:r>
        <w:rPr>
          <w:rFonts w:hint="eastAsia" w:ascii="宋体" w:hAnsi="宋体" w:eastAsia="宋体" w:cs="宋体"/>
          <w:color w:val="auto"/>
          <w:sz w:val="28"/>
          <w:szCs w:val="24"/>
          <w:highlight w:val="none"/>
          <w:u w:val="single"/>
        </w:rPr>
        <w:t xml:space="preserve">            </w:t>
      </w:r>
    </w:p>
    <w:p w14:paraId="79A724C1">
      <w:pPr>
        <w:spacing w:line="360" w:lineRule="auto"/>
        <w:ind w:firstLine="562"/>
        <w:rPr>
          <w:rFonts w:hint="eastAsia" w:ascii="宋体" w:hAnsi="宋体" w:eastAsia="宋体" w:cs="宋体"/>
          <w:b/>
          <w:bCs/>
          <w:color w:val="auto"/>
          <w:sz w:val="28"/>
          <w:szCs w:val="24"/>
          <w:highlight w:val="none"/>
          <w:u w:val="single"/>
        </w:rPr>
      </w:pPr>
      <w:r>
        <w:rPr>
          <w:rFonts w:hint="eastAsia" w:ascii="宋体" w:hAnsi="宋体" w:eastAsia="宋体" w:cs="宋体"/>
          <w:b/>
          <w:bCs/>
          <w:color w:val="auto"/>
          <w:sz w:val="28"/>
          <w:szCs w:val="24"/>
          <w:highlight w:val="none"/>
        </w:rPr>
        <w:t>发    包    人：</w:t>
      </w:r>
      <w:r>
        <w:rPr>
          <w:rFonts w:hint="eastAsia" w:ascii="宋体" w:hAnsi="宋体" w:eastAsia="宋体" w:cs="宋体"/>
          <w:b/>
          <w:bCs/>
          <w:color w:val="auto"/>
          <w:sz w:val="28"/>
          <w:szCs w:val="24"/>
          <w:highlight w:val="none"/>
          <w:u w:val="single"/>
        </w:rPr>
        <w:t>中国药科大学</w:t>
      </w:r>
    </w:p>
    <w:p w14:paraId="39062FFC">
      <w:pPr>
        <w:spacing w:line="360" w:lineRule="auto"/>
        <w:ind w:firstLine="562"/>
        <w:rPr>
          <w:rFonts w:hint="eastAsia" w:ascii="宋体" w:hAnsi="宋体" w:eastAsia="宋体" w:cs="宋体"/>
          <w:b/>
          <w:bCs/>
          <w:color w:val="auto"/>
          <w:sz w:val="28"/>
          <w:szCs w:val="24"/>
          <w:highlight w:val="none"/>
          <w:u w:val="single"/>
        </w:rPr>
      </w:pPr>
      <w:r>
        <w:rPr>
          <w:rFonts w:hint="eastAsia" w:ascii="宋体" w:hAnsi="宋体" w:eastAsia="宋体" w:cs="宋体"/>
          <w:b/>
          <w:bCs/>
          <w:color w:val="auto"/>
          <w:sz w:val="28"/>
          <w:szCs w:val="24"/>
          <w:highlight w:val="none"/>
        </w:rPr>
        <w:t>设    计    人：</w:t>
      </w:r>
      <w:r>
        <w:rPr>
          <w:rFonts w:hint="eastAsia" w:ascii="宋体" w:hAnsi="宋体" w:eastAsia="宋体" w:cs="宋体"/>
          <w:b/>
          <w:bCs/>
          <w:color w:val="auto"/>
          <w:sz w:val="28"/>
          <w:szCs w:val="24"/>
          <w:highlight w:val="none"/>
          <w:u w:val="single"/>
        </w:rPr>
        <w:t xml:space="preserve">  </w:t>
      </w:r>
      <w:r>
        <w:rPr>
          <w:rFonts w:hint="eastAsia" w:ascii="宋体" w:hAnsi="宋体" w:eastAsia="宋体" w:cs="宋体"/>
          <w:color w:val="auto"/>
          <w:sz w:val="32"/>
          <w:szCs w:val="32"/>
          <w:highlight w:val="none"/>
          <w:u w:val="single"/>
          <w:lang w:eastAsia="zh-CN"/>
        </w:rPr>
        <w:t xml:space="preserve">   </w:t>
      </w:r>
      <w:r>
        <w:rPr>
          <w:rFonts w:hint="eastAsia" w:ascii="宋体" w:hAnsi="宋体" w:eastAsia="宋体" w:cs="宋体"/>
          <w:b/>
          <w:bCs/>
          <w:color w:val="auto"/>
          <w:sz w:val="28"/>
          <w:szCs w:val="24"/>
          <w:highlight w:val="none"/>
          <w:u w:val="single"/>
        </w:rPr>
        <w:t xml:space="preserve">                         </w:t>
      </w:r>
    </w:p>
    <w:p w14:paraId="11F1F848">
      <w:pPr>
        <w:spacing w:line="360" w:lineRule="auto"/>
        <w:ind w:firstLine="562"/>
        <w:rPr>
          <w:rFonts w:hint="eastAsia" w:ascii="宋体" w:hAnsi="宋体" w:eastAsia="宋体" w:cs="宋体"/>
          <w:b/>
          <w:bCs/>
          <w:color w:val="auto"/>
          <w:sz w:val="28"/>
          <w:szCs w:val="24"/>
          <w:highlight w:val="none"/>
        </w:rPr>
      </w:pPr>
      <w:r>
        <w:rPr>
          <w:rFonts w:hint="eastAsia" w:ascii="宋体" w:hAnsi="宋体" w:eastAsia="宋体" w:cs="宋体"/>
          <w:b/>
          <w:bCs/>
          <w:color w:val="auto"/>
          <w:sz w:val="28"/>
          <w:szCs w:val="24"/>
          <w:highlight w:val="none"/>
        </w:rPr>
        <w:t>签  订  日  期：</w:t>
      </w:r>
      <w:r>
        <w:rPr>
          <w:rFonts w:hint="eastAsia" w:ascii="宋体" w:hAnsi="宋体" w:eastAsia="宋体" w:cs="宋体"/>
          <w:b/>
          <w:bCs/>
          <w:color w:val="auto"/>
          <w:sz w:val="28"/>
          <w:szCs w:val="24"/>
          <w:highlight w:val="none"/>
          <w:u w:val="single"/>
        </w:rPr>
        <w:t xml:space="preserve">                           </w:t>
      </w:r>
    </w:p>
    <w:p w14:paraId="4F173E2A">
      <w:pPr>
        <w:pStyle w:val="92"/>
        <w:snapToGrid w:val="0"/>
        <w:spacing w:line="400" w:lineRule="atLeast"/>
        <w:rPr>
          <w:rFonts w:hint="eastAsia" w:ascii="宋体" w:hAnsi="宋体" w:eastAsia="宋体" w:cs="宋体"/>
          <w:color w:val="auto"/>
          <w:szCs w:val="21"/>
          <w:highlight w:val="none"/>
        </w:rPr>
      </w:pPr>
    </w:p>
    <w:p w14:paraId="2DAEA950">
      <w:pPr>
        <w:ind w:firstLine="420"/>
        <w:jc w:val="center"/>
        <w:outlineLvl w:val="9"/>
        <w:rPr>
          <w:rFonts w:hint="eastAsia" w:ascii="宋体" w:hAnsi="宋体" w:eastAsia="宋体" w:cs="宋体"/>
          <w:color w:val="auto"/>
          <w:highlight w:val="none"/>
        </w:rPr>
      </w:pPr>
      <w:r>
        <w:rPr>
          <w:rFonts w:hint="eastAsia" w:ascii="宋体" w:hAnsi="宋体" w:eastAsia="宋体" w:cs="宋体"/>
          <w:b w:val="0"/>
          <w:color w:val="auto"/>
          <w:kern w:val="0"/>
          <w:szCs w:val="21"/>
          <w:highlight w:val="none"/>
        </w:rPr>
        <w:br w:type="page"/>
      </w:r>
      <w:bookmarkStart w:id="11" w:name="_Toc112424142"/>
      <w:bookmarkStart w:id="12" w:name="_Toc120098641"/>
      <w:bookmarkStart w:id="13" w:name="_Toc80197489"/>
      <w:bookmarkStart w:id="14" w:name="_Toc75965210"/>
      <w:r>
        <w:rPr>
          <w:rFonts w:hint="eastAsia" w:ascii="宋体" w:hAnsi="宋体" w:eastAsia="宋体" w:cs="宋体"/>
          <w:color w:val="auto"/>
          <w:highlight w:val="none"/>
        </w:rPr>
        <w:t>第一节  合同协议书</w:t>
      </w:r>
      <w:bookmarkEnd w:id="11"/>
      <w:bookmarkEnd w:id="12"/>
      <w:bookmarkEnd w:id="13"/>
      <w:bookmarkEnd w:id="14"/>
    </w:p>
    <w:p w14:paraId="36F26F96">
      <w:pPr>
        <w:numPr>
          <w:ilvl w:val="0"/>
          <w:numId w:val="0"/>
        </w:numPr>
        <w:spacing w:line="360" w:lineRule="auto"/>
        <w:ind w:firstLine="480" w:firstLineChars="200"/>
        <w:jc w:val="left"/>
        <w:rPr>
          <w:rFonts w:hint="eastAsia" w:ascii="宋体" w:hAnsi="宋体" w:eastAsia="宋体" w:cs="宋体"/>
          <w:color w:val="auto"/>
          <w:sz w:val="24"/>
          <w:highlight w:val="none"/>
        </w:rPr>
      </w:pPr>
      <w:bookmarkStart w:id="15" w:name="_Hlk74126303"/>
      <w:r>
        <w:rPr>
          <w:rFonts w:hint="eastAsia" w:ascii="宋体" w:hAnsi="宋体" w:eastAsia="宋体" w:cs="宋体"/>
          <w:color w:val="auto"/>
          <w:sz w:val="24"/>
          <w:highlight w:val="none"/>
          <w:u w:val="single"/>
        </w:rPr>
        <w:t>中国药科大学</w:t>
      </w:r>
      <w:r>
        <w:rPr>
          <w:rFonts w:hint="eastAsia" w:ascii="宋体" w:hAnsi="宋体" w:eastAsia="宋体" w:cs="宋体"/>
          <w:color w:val="auto"/>
          <w:sz w:val="24"/>
          <w:highlight w:val="none"/>
        </w:rPr>
        <w:t>（发包人名称，以下简称“发包人”）委托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（设计人名称，以下简称“设计人”）承担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中国药科大学玄武门校区图书馆改造设计项目</w:t>
      </w:r>
      <w:r>
        <w:rPr>
          <w:rFonts w:hint="eastAsia" w:ascii="宋体" w:hAnsi="宋体" w:eastAsia="宋体" w:cs="宋体"/>
          <w:color w:val="auto"/>
          <w:sz w:val="24"/>
          <w:highlight w:val="none"/>
        </w:rPr>
        <w:t>。</w:t>
      </w:r>
      <w:bookmarkEnd w:id="15"/>
      <w:r>
        <w:rPr>
          <w:rFonts w:hint="eastAsia" w:ascii="宋体" w:hAnsi="宋体" w:eastAsia="宋体" w:cs="宋体"/>
          <w:color w:val="auto"/>
          <w:sz w:val="24"/>
          <w:highlight w:val="none"/>
        </w:rPr>
        <w:t>发包人和设计人共同达成如下协议。</w:t>
      </w:r>
    </w:p>
    <w:p w14:paraId="108D8868">
      <w:pPr>
        <w:spacing w:line="360" w:lineRule="auto"/>
        <w:ind w:firstLine="480" w:firstLineChars="200"/>
        <w:jc w:val="left"/>
        <w:rPr>
          <w:rFonts w:ascii="宋体" w:hAnsi="宋体" w:eastAsia="宋体"/>
          <w:color w:val="auto"/>
          <w:sz w:val="24"/>
          <w:szCs w:val="24"/>
          <w:highlight w:val="none"/>
        </w:rPr>
      </w:pPr>
      <w:r>
        <w:rPr>
          <w:rFonts w:hint="eastAsia" w:ascii="宋体" w:hAnsi="宋体" w:eastAsia="宋体"/>
          <w:color w:val="auto"/>
          <w:sz w:val="24"/>
          <w:szCs w:val="24"/>
          <w:highlight w:val="none"/>
        </w:rPr>
        <w:t>1. 本协议书与下列文件一起构成合同文件：</w:t>
      </w:r>
    </w:p>
    <w:p w14:paraId="28A3BFD9">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（1）中标通知书；</w:t>
      </w:r>
    </w:p>
    <w:p w14:paraId="63561741">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（2）投标函及投标函附录；</w:t>
      </w:r>
    </w:p>
    <w:p w14:paraId="15D41EB1">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（3）专用合同条款；</w:t>
      </w:r>
    </w:p>
    <w:p w14:paraId="62FC7120">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（4）通用合同条款；</w:t>
      </w:r>
    </w:p>
    <w:p w14:paraId="30BAEF83">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（5）发包人要求；</w:t>
      </w:r>
    </w:p>
    <w:p w14:paraId="155564FF">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（6）设计费用清单；</w:t>
      </w:r>
    </w:p>
    <w:p w14:paraId="3E6C1EE7">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（7）设计方案；</w:t>
      </w:r>
    </w:p>
    <w:p w14:paraId="648DFCD2">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（8）其他合同文件。</w:t>
      </w:r>
    </w:p>
    <w:p w14:paraId="79B4E367">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 上述合同文件互相补充和解释。如果合同文件之间存在矛盾或不一致之处，以上述文件的排列顺序在先者为准。</w:t>
      </w:r>
    </w:p>
    <w:p w14:paraId="6BEC96D1">
      <w:pPr>
        <w:pStyle w:val="65"/>
        <w:spacing w:line="360" w:lineRule="auto"/>
        <w:ind w:firstLine="480" w:firstLineChars="200"/>
        <w:jc w:val="left"/>
        <w:rPr>
          <w:rFonts w:ascii="宋体" w:hAnsi="宋体"/>
          <w:color w:val="auto"/>
          <w:sz w:val="24"/>
          <w:szCs w:val="24"/>
          <w:highlight w:val="none"/>
        </w:rPr>
      </w:pPr>
      <w:r>
        <w:rPr>
          <w:rFonts w:hint="eastAsia" w:ascii="宋体" w:hAnsi="宋体"/>
          <w:color w:val="auto"/>
          <w:sz w:val="24"/>
          <w:szCs w:val="24"/>
          <w:highlight w:val="none"/>
        </w:rPr>
        <w:t>3. 签约合同价：人民币（大写）</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）。税率</w:t>
      </w:r>
      <w:r>
        <w:rPr>
          <w:rFonts w:ascii="宋体" w:hAnsi="宋体"/>
          <w:color w:val="auto"/>
          <w:sz w:val="24"/>
          <w:szCs w:val="24"/>
          <w:highlight w:val="none"/>
        </w:rPr>
        <w:t>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w:t>
      </w:r>
    </w:p>
    <w:p w14:paraId="4E67BD70">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 项目负责人：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w:t>
      </w:r>
    </w:p>
    <w:p w14:paraId="0C2D88D9">
      <w:pPr>
        <w:pStyle w:val="65"/>
        <w:spacing w:line="360" w:lineRule="auto"/>
        <w:ind w:firstLine="480" w:firstLineChars="200"/>
        <w:rPr>
          <w:rFonts w:ascii="宋体" w:hAnsi="宋体"/>
          <w:bCs/>
          <w:color w:val="auto"/>
          <w:sz w:val="24"/>
          <w:szCs w:val="24"/>
          <w:highlight w:val="none"/>
        </w:rPr>
      </w:pPr>
      <w:r>
        <w:rPr>
          <w:rFonts w:hint="eastAsia" w:ascii="宋体" w:hAnsi="宋体"/>
          <w:color w:val="auto"/>
          <w:sz w:val="24"/>
          <w:szCs w:val="24"/>
          <w:highlight w:val="none"/>
        </w:rPr>
        <w:t>5. 设计工作质量符合的标准和要求：符合</w:t>
      </w:r>
      <w:r>
        <w:rPr>
          <w:rFonts w:hint="eastAsia" w:ascii="宋体" w:hAnsi="宋体"/>
          <w:bCs/>
          <w:color w:val="auto"/>
          <w:sz w:val="24"/>
          <w:szCs w:val="24"/>
          <w:highlight w:val="none"/>
          <w:u w:val="single"/>
        </w:rPr>
        <w:t>国家及地方现行各专业规范、规定，技术标准、规划部门</w:t>
      </w:r>
      <w:r>
        <w:rPr>
          <w:rFonts w:hint="eastAsia" w:ascii="宋体" w:hAnsi="宋体"/>
          <w:bCs/>
          <w:color w:val="auto"/>
          <w:sz w:val="24"/>
          <w:szCs w:val="24"/>
          <w:highlight w:val="none"/>
          <w:u w:val="single"/>
          <w:lang w:eastAsia="zh-CN"/>
        </w:rPr>
        <w:t>和发包人</w:t>
      </w:r>
      <w:r>
        <w:rPr>
          <w:rFonts w:hint="eastAsia" w:ascii="宋体" w:hAnsi="宋体"/>
          <w:bCs/>
          <w:color w:val="auto"/>
          <w:sz w:val="24"/>
          <w:szCs w:val="24"/>
          <w:highlight w:val="none"/>
          <w:u w:val="single"/>
        </w:rPr>
        <w:t>相关要求</w:t>
      </w:r>
      <w:r>
        <w:rPr>
          <w:rFonts w:hint="eastAsia" w:ascii="宋体" w:hAnsi="宋体"/>
          <w:bCs/>
          <w:color w:val="auto"/>
          <w:sz w:val="24"/>
          <w:szCs w:val="24"/>
          <w:highlight w:val="none"/>
        </w:rPr>
        <w:t>。</w:t>
      </w:r>
    </w:p>
    <w:p w14:paraId="044FA606">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6. 设计人承诺按合同约定承担工程的设计工作。</w:t>
      </w:r>
    </w:p>
    <w:p w14:paraId="25756B1F">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7. 发包人承诺按合同约定的条件、时间和方式向设计人支付合同价款。</w:t>
      </w:r>
    </w:p>
    <w:p w14:paraId="069BBC64">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8. 设计人计划开始设计日期：</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，实际日期按照发包人在开始设计通知中载明的开始设计日期为准。设计服务期限为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日历天。按合同约定完成设计工作。设计服务期的其他要求：自设计合同生效之日起至竣工验收合格。</w:t>
      </w:r>
    </w:p>
    <w:p w14:paraId="28EAAE43">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9. 本合同协议书一式</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eastAsia="zh-CN"/>
        </w:rPr>
        <w:t>壹拾贰</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份，</w:t>
      </w:r>
      <w:r>
        <w:rPr>
          <w:rFonts w:hint="eastAsia" w:ascii="宋体" w:hAnsi="宋体"/>
          <w:bCs/>
          <w:color w:val="auto"/>
          <w:sz w:val="24"/>
          <w:szCs w:val="24"/>
          <w:highlight w:val="none"/>
        </w:rPr>
        <w:t>发包人执</w:t>
      </w:r>
      <w:r>
        <w:rPr>
          <w:rFonts w:hint="eastAsia" w:ascii="宋体" w:hAnsi="宋体"/>
          <w:bCs/>
          <w:color w:val="auto"/>
          <w:sz w:val="24"/>
          <w:szCs w:val="24"/>
          <w:highlight w:val="none"/>
          <w:u w:val="single"/>
          <w:lang w:val="en-US" w:eastAsia="zh-CN"/>
        </w:rPr>
        <w:t>陆</w:t>
      </w:r>
      <w:r>
        <w:rPr>
          <w:rFonts w:hint="eastAsia" w:ascii="宋体" w:hAnsi="宋体"/>
          <w:bCs/>
          <w:color w:val="auto"/>
          <w:sz w:val="24"/>
          <w:szCs w:val="24"/>
          <w:highlight w:val="none"/>
        </w:rPr>
        <w:t>份，设计人执</w:t>
      </w:r>
      <w:r>
        <w:rPr>
          <w:rFonts w:hint="eastAsia" w:ascii="宋体" w:hAnsi="宋体"/>
          <w:bCs/>
          <w:color w:val="auto"/>
          <w:sz w:val="24"/>
          <w:szCs w:val="24"/>
          <w:highlight w:val="none"/>
          <w:u w:val="single"/>
          <w:lang w:val="en-US" w:eastAsia="zh-CN"/>
        </w:rPr>
        <w:t>陆</w:t>
      </w:r>
      <w:r>
        <w:rPr>
          <w:rFonts w:hint="eastAsia" w:ascii="宋体" w:hAnsi="宋体"/>
          <w:bCs/>
          <w:color w:val="auto"/>
          <w:sz w:val="24"/>
          <w:szCs w:val="24"/>
          <w:highlight w:val="none"/>
        </w:rPr>
        <w:t>份</w:t>
      </w:r>
      <w:r>
        <w:rPr>
          <w:rFonts w:hint="eastAsia" w:ascii="宋体" w:hAnsi="宋体"/>
          <w:color w:val="auto"/>
          <w:sz w:val="24"/>
          <w:szCs w:val="24"/>
          <w:highlight w:val="none"/>
        </w:rPr>
        <w:t>。</w:t>
      </w:r>
    </w:p>
    <w:p w14:paraId="170BBD51">
      <w:pPr>
        <w:pStyle w:val="65"/>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10. 合同未尽事宜，双方另行签订补充协议。补充协议是合同的组成部分。</w:t>
      </w:r>
    </w:p>
    <w:p w14:paraId="7E5D4507">
      <w:pPr>
        <w:widowControl/>
        <w:ind w:firstLine="480"/>
        <w:jc w:val="left"/>
        <w:rPr>
          <w:rFonts w:ascii="宋体" w:hAnsi="宋体" w:eastAsia="宋体"/>
          <w:color w:val="auto"/>
          <w:sz w:val="24"/>
          <w:szCs w:val="24"/>
          <w:highlight w:val="none"/>
        </w:rPr>
        <w:sectPr>
          <w:footerReference r:id="rId9" w:type="default"/>
          <w:pgSz w:w="11906" w:h="16838"/>
          <w:pgMar w:top="1440" w:right="1800" w:bottom="1440" w:left="1800" w:header="851" w:footer="992" w:gutter="0"/>
          <w:cols w:space="425" w:num="1"/>
          <w:docGrid w:type="lines" w:linePitch="312" w:charSpace="0"/>
        </w:sectPr>
      </w:pPr>
    </w:p>
    <w:p w14:paraId="309029BD">
      <w:pPr>
        <w:spacing w:line="480" w:lineRule="auto"/>
        <w:ind w:firstLine="482"/>
        <w:rPr>
          <w:rFonts w:ascii="宋体" w:hAnsi="宋体" w:eastAsia="宋体"/>
          <w:b/>
          <w:color w:val="auto"/>
          <w:sz w:val="24"/>
          <w:szCs w:val="22"/>
          <w:highlight w:val="none"/>
        </w:rPr>
      </w:pPr>
      <w:r>
        <w:rPr>
          <w:rFonts w:hint="eastAsia" w:ascii="宋体" w:hAnsi="宋体" w:eastAsia="宋体"/>
          <w:b/>
          <w:color w:val="auto"/>
          <w:sz w:val="24"/>
          <w:szCs w:val="22"/>
          <w:highlight w:val="none"/>
        </w:rPr>
        <w:t>（本页为签章页）</w:t>
      </w:r>
    </w:p>
    <w:p w14:paraId="78533275">
      <w:pPr>
        <w:spacing w:line="480" w:lineRule="auto"/>
        <w:ind w:left="4737" w:leftChars="360" w:hanging="3981" w:hangingChars="1659"/>
        <w:rPr>
          <w:rFonts w:ascii="宋体" w:hAnsi="宋体" w:eastAsia="宋体"/>
          <w:color w:val="auto"/>
          <w:sz w:val="24"/>
          <w:szCs w:val="22"/>
          <w:highlight w:val="none"/>
        </w:rPr>
      </w:pPr>
      <w:r>
        <w:rPr>
          <w:rFonts w:hint="eastAsia" w:ascii="宋体" w:hAnsi="宋体" w:eastAsia="宋体"/>
          <w:color w:val="auto"/>
          <w:sz w:val="24"/>
          <w:szCs w:val="22"/>
          <w:highlight w:val="none"/>
        </w:rPr>
        <w:t>发包人名称：（盖单位章）          设计人名称：</w:t>
      </w:r>
      <w:r>
        <w:rPr>
          <w:rFonts w:hint="eastAsia" w:ascii="宋体" w:hAnsi="宋体" w:eastAsia="宋体"/>
          <w:color w:val="auto"/>
          <w:sz w:val="24"/>
          <w:szCs w:val="24"/>
          <w:highlight w:val="none"/>
          <w:lang w:eastAsia="zh-CN"/>
        </w:rPr>
        <w:t xml:space="preserve">   </w:t>
      </w:r>
      <w:r>
        <w:rPr>
          <w:rFonts w:hint="eastAsia" w:ascii="宋体" w:hAnsi="宋体" w:eastAsia="宋体"/>
          <w:color w:val="auto"/>
          <w:sz w:val="24"/>
          <w:szCs w:val="22"/>
          <w:highlight w:val="none"/>
        </w:rPr>
        <w:t>（盖单位章）</w:t>
      </w:r>
    </w:p>
    <w:p w14:paraId="16CA0FEA">
      <w:pPr>
        <w:spacing w:line="480" w:lineRule="auto"/>
        <w:ind w:firstLine="480"/>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法定代表人或委托代理人：（签字）    法定代表人或委托代理人：（签字） </w:t>
      </w:r>
    </w:p>
    <w:p w14:paraId="737C0414">
      <w:pPr>
        <w:spacing w:line="480" w:lineRule="auto"/>
        <w:ind w:firstLine="480" w:firstLineChars="200"/>
        <w:rPr>
          <w:rFonts w:hint="eastAsia" w:ascii="宋体" w:hAnsi="宋体" w:eastAsia="宋体"/>
          <w:color w:val="auto"/>
          <w:sz w:val="24"/>
          <w:szCs w:val="24"/>
          <w:highlight w:val="none"/>
          <w:lang w:eastAsia="zh-CN"/>
        </w:rPr>
      </w:pPr>
      <w:r>
        <w:rPr>
          <w:rFonts w:hint="eastAsia" w:ascii="宋体" w:hAnsi="宋体" w:eastAsia="宋体"/>
          <w:color w:val="auto"/>
          <w:sz w:val="24"/>
          <w:szCs w:val="22"/>
          <w:highlight w:val="none"/>
        </w:rPr>
        <w:t xml:space="preserve">住所：                        </w:t>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住所：</w:t>
      </w:r>
    </w:p>
    <w:p w14:paraId="5386E9CF">
      <w:pPr>
        <w:spacing w:line="480" w:lineRule="auto"/>
        <w:ind w:firstLine="480"/>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邮政编码：              </w:t>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邮政编码：</w:t>
      </w:r>
    </w:p>
    <w:p w14:paraId="0D8C834D">
      <w:pPr>
        <w:spacing w:line="480" w:lineRule="auto"/>
        <w:ind w:firstLine="480"/>
        <w:rPr>
          <w:rFonts w:hint="eastAsia" w:ascii="宋体" w:hAnsi="宋体" w:eastAsia="宋体"/>
          <w:color w:val="auto"/>
          <w:sz w:val="24"/>
          <w:szCs w:val="22"/>
          <w:highlight w:val="none"/>
          <w:lang w:eastAsia="zh-CN"/>
        </w:rPr>
      </w:pPr>
      <w:r>
        <w:rPr>
          <w:rFonts w:hint="eastAsia" w:ascii="宋体" w:hAnsi="宋体" w:eastAsia="宋体"/>
          <w:color w:val="auto"/>
          <w:sz w:val="24"/>
          <w:szCs w:val="22"/>
          <w:highlight w:val="none"/>
        </w:rPr>
        <w:t xml:space="preserve">电    话：                    </w:t>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电    话：</w:t>
      </w:r>
    </w:p>
    <w:p w14:paraId="1BD3550F">
      <w:pPr>
        <w:spacing w:line="480" w:lineRule="auto"/>
        <w:ind w:firstLine="480"/>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传    真：                    </w:t>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传    真：</w:t>
      </w:r>
    </w:p>
    <w:p w14:paraId="5214E720">
      <w:pPr>
        <w:spacing w:line="480" w:lineRule="auto"/>
        <w:ind w:firstLine="480"/>
        <w:rPr>
          <w:rFonts w:ascii="宋体" w:hAnsi="宋体" w:eastAsia="宋体"/>
          <w:color w:val="auto"/>
          <w:sz w:val="24"/>
          <w:szCs w:val="22"/>
          <w:highlight w:val="none"/>
        </w:rPr>
      </w:pPr>
      <w:r>
        <w:rPr>
          <w:rFonts w:hint="eastAsia" w:ascii="宋体" w:hAnsi="宋体" w:eastAsia="宋体"/>
          <w:color w:val="auto"/>
          <w:sz w:val="24"/>
          <w:szCs w:val="22"/>
          <w:highlight w:val="none"/>
        </w:rPr>
        <w:t xml:space="preserve">开户银行：                         开户银行： </w:t>
      </w:r>
    </w:p>
    <w:p w14:paraId="3E44B1B7">
      <w:pPr>
        <w:spacing w:line="480" w:lineRule="auto"/>
        <w:ind w:firstLine="480"/>
        <w:rPr>
          <w:rFonts w:hint="eastAsia" w:ascii="宋体" w:hAnsi="宋体" w:eastAsia="宋体" w:cs="宋体"/>
          <w:color w:val="auto"/>
          <w:sz w:val="24"/>
          <w:szCs w:val="24"/>
          <w:highlight w:val="none"/>
          <w:lang w:eastAsia="zh-CN"/>
        </w:rPr>
      </w:pPr>
      <w:r>
        <w:rPr>
          <w:rFonts w:hint="eastAsia" w:ascii="宋体" w:hAnsi="宋体" w:eastAsia="宋体"/>
          <w:color w:val="auto"/>
          <w:sz w:val="24"/>
          <w:szCs w:val="22"/>
          <w:highlight w:val="none"/>
        </w:rPr>
        <w:t xml:space="preserve">银行账号：                    </w:t>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ab/>
      </w:r>
      <w:r>
        <w:rPr>
          <w:rFonts w:hint="eastAsia" w:ascii="宋体" w:hAnsi="宋体" w:eastAsia="宋体"/>
          <w:color w:val="auto"/>
          <w:sz w:val="24"/>
          <w:szCs w:val="22"/>
          <w:highlight w:val="none"/>
        </w:rPr>
        <w:t>银行账号：</w:t>
      </w:r>
      <w:r>
        <w:rPr>
          <w:rFonts w:hint="eastAsia" w:ascii="宋体" w:hAnsi="宋体" w:eastAsia="宋体" w:cs="宋体"/>
          <w:color w:val="auto"/>
          <w:sz w:val="24"/>
          <w:szCs w:val="24"/>
          <w:highlight w:val="none"/>
        </w:rPr>
        <w:t xml:space="preserve"> </w:t>
      </w:r>
    </w:p>
    <w:p w14:paraId="022C96DA">
      <w:pPr>
        <w:ind w:firstLine="360"/>
        <w:rPr>
          <w:rFonts w:hint="eastAsia" w:ascii="宋体" w:hAnsi="宋体" w:eastAsia="宋体" w:cs="宋体"/>
          <w:color w:val="auto"/>
          <w:sz w:val="18"/>
          <w:szCs w:val="22"/>
          <w:highlight w:val="none"/>
        </w:rPr>
      </w:pPr>
      <w:r>
        <w:rPr>
          <w:rFonts w:hint="eastAsia" w:ascii="宋体" w:hAnsi="宋体" w:eastAsia="宋体" w:cs="宋体"/>
          <w:color w:val="auto"/>
          <w:sz w:val="18"/>
          <w:szCs w:val="22"/>
          <w:highlight w:val="none"/>
        </w:rPr>
        <w:t xml:space="preserve">           </w:t>
      </w:r>
    </w:p>
    <w:p w14:paraId="5C260930">
      <w:pPr>
        <w:spacing w:line="480" w:lineRule="auto"/>
        <w:ind w:firstLine="600"/>
        <w:rPr>
          <w:rFonts w:hint="eastAsia" w:ascii="宋体" w:hAnsi="宋体" w:eastAsia="宋体" w:cs="宋体"/>
          <w:color w:val="auto"/>
          <w:sz w:val="28"/>
          <w:szCs w:val="28"/>
          <w:highlight w:val="none"/>
        </w:rPr>
        <w:sectPr>
          <w:footerReference r:id="rId10" w:type="default"/>
          <w:pgSz w:w="11906" w:h="16838"/>
          <w:pgMar w:top="1440" w:right="1800" w:bottom="1440" w:left="1800" w:header="851" w:footer="992" w:gutter="0"/>
          <w:pgNumType w:fmt="decimal"/>
          <w:cols w:space="720" w:num="1"/>
          <w:docGrid w:type="lines" w:linePitch="312" w:charSpace="0"/>
        </w:sectPr>
      </w:pPr>
      <w:r>
        <w:rPr>
          <w:rFonts w:hint="eastAsia" w:ascii="宋体" w:hAnsi="宋体" w:eastAsia="宋体" w:cs="宋体"/>
          <w:color w:val="auto"/>
          <w:sz w:val="30"/>
          <w:szCs w:val="22"/>
          <w:highlight w:val="none"/>
        </w:rPr>
        <w:t xml:space="preserve">    </w:t>
      </w:r>
    </w:p>
    <w:p w14:paraId="0D25AD3E">
      <w:pPr>
        <w:ind w:firstLine="422"/>
        <w:jc w:val="center"/>
        <w:outlineLvl w:val="9"/>
        <w:rPr>
          <w:rFonts w:hint="eastAsia" w:ascii="宋体" w:hAnsi="宋体" w:eastAsia="宋体" w:cs="宋体"/>
          <w:color w:val="auto"/>
          <w:highlight w:val="none"/>
        </w:rPr>
      </w:pPr>
      <w:bookmarkStart w:id="16" w:name="_Toc75965211"/>
      <w:bookmarkStart w:id="17" w:name="_Toc120098642"/>
      <w:bookmarkStart w:id="18" w:name="_Toc112424143"/>
      <w:bookmarkStart w:id="19" w:name="_Toc80197490"/>
      <w:r>
        <w:rPr>
          <w:rFonts w:hint="eastAsia" w:ascii="宋体" w:hAnsi="宋体" w:eastAsia="宋体" w:cs="宋体"/>
          <w:color w:val="auto"/>
          <w:highlight w:val="none"/>
        </w:rPr>
        <w:t>第二节 通用合同条款</w:t>
      </w:r>
      <w:bookmarkEnd w:id="16"/>
      <w:bookmarkEnd w:id="17"/>
      <w:bookmarkEnd w:id="18"/>
      <w:bookmarkEnd w:id="19"/>
    </w:p>
    <w:p w14:paraId="2F7BFA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1.一般约定</w:t>
      </w:r>
    </w:p>
    <w:p w14:paraId="405C01A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1.1词语定义</w:t>
      </w:r>
    </w:p>
    <w:p w14:paraId="37C516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通用合同条款、专用合同条款中的下列词语应具有本款所赋予的含义。</w:t>
      </w:r>
    </w:p>
    <w:p w14:paraId="0EECFE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5D7F968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1.1.1.1合同文件（或称合同）：指合同协议书、中标通知书、投标函和投标函附录、专用合同条款、通用合同条款、发包人要求、设计费用清单、设计方案，以及其他构成合同组成部分的文件。</w:t>
      </w:r>
    </w:p>
    <w:p w14:paraId="6EFA1F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1.1.1.2合同协议书：指发包人和设计人共同签署的合同协议书。</w:t>
      </w:r>
    </w:p>
    <w:p w14:paraId="10825DB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1.1.1.3中标通知书：指发包人通知设计人中标的函件。</w:t>
      </w:r>
    </w:p>
    <w:p w14:paraId="6B4B77B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1.1.1.4投标函：指由设计人填写并签署的，名为“投标函”的函件。</w:t>
      </w:r>
    </w:p>
    <w:p w14:paraId="6FD718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1.1.1.5投标函附录：指由设计人填写并签署的、附在投标函后，名为“投标函附录”的函件。</w:t>
      </w:r>
    </w:p>
    <w:p w14:paraId="597A62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1.1.1.6发包人要求：指合同文件中名为“发包人要求”的文件。</w:t>
      </w:r>
    </w:p>
    <w:p w14:paraId="08EE50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1.1.1.7设计方案：指勘察人在投标文件中的设计方案。</w:t>
      </w:r>
    </w:p>
    <w:p w14:paraId="09CD1C8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1.1.1.8设计费用清单：指勘察人投标文件中的设计费用清单。</w:t>
      </w:r>
    </w:p>
    <w:p w14:paraId="0F6810F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1.1.1.9其他合同文件：指经合同双方当事人确认构成合同文件的其他文件。</w:t>
      </w:r>
    </w:p>
    <w:p w14:paraId="068B910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1.1.2合同当事人和人员</w:t>
      </w:r>
    </w:p>
    <w:p w14:paraId="51DF4D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1.1.2.1合同当事人：指发包人和（或）设计人。</w:t>
      </w:r>
    </w:p>
    <w:p w14:paraId="4CA73D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1.1.2.2发包人：指与设计人签订合同协议书的当事人，及其合法继承人。</w:t>
      </w:r>
    </w:p>
    <w:p w14:paraId="56183C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1.1.2.3设计人：指与发包人签订合同协议书的当事人，及其合法继承人。</w:t>
      </w:r>
    </w:p>
    <w:p w14:paraId="3E76D3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1.1.2.4发包人代表：指由发包人任命，并在授权范围和期限内代表发包人行使权利和履行义务的全权负责人。</w:t>
      </w:r>
    </w:p>
    <w:p w14:paraId="6A156E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1.1.2.5项目负责人：指由设计人任命，代表设计人行使权利和履行义务的全权负责人。</w:t>
      </w:r>
    </w:p>
    <w:p w14:paraId="2DE69B4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1.1.2.6分包人：指从设计人处分包合同中某一部分工作，并与其签订分包合同的分包人。</w:t>
      </w:r>
    </w:p>
    <w:p w14:paraId="19389E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1.1.3工程和设计</w:t>
      </w:r>
    </w:p>
    <w:p w14:paraId="1B7D60D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1.1.3.1工程：指专用合同条款中指明进行设计招标的工程。</w:t>
      </w:r>
    </w:p>
    <w:p w14:paraId="79D297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1.1.3.2设计服务：指设计人按照合同约定履行的服务，包括编制设计文件和设计概算、预算、提供技术交底、施工配合、参加竣工验收或发包人委托的其他服务。</w:t>
      </w:r>
    </w:p>
    <w:p w14:paraId="353813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1.1.3.3设计资料：是发包人按合同约定向设计人提供的，用于完成设计服务范围与内容所需要的资料。</w:t>
      </w:r>
    </w:p>
    <w:p w14:paraId="65D53D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1.1.3.4设计文件：指设计人按合同约定向发包人提交的设计说明、图纸、图板、模型、计算书、软件和其他文件等，包括阶段性文件和最终文件，且应当采用合同中双方约定的格式和载体。</w:t>
      </w:r>
    </w:p>
    <w:p w14:paraId="20DE8A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1.1.4日期</w:t>
      </w:r>
    </w:p>
    <w:p w14:paraId="58618B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1.1.4.1开始设计通知：指发包人按第6.1款通知设计人开始设计的函件。</w:t>
      </w:r>
    </w:p>
    <w:p w14:paraId="5423B7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1.1.4.2开始设计日期：指发包人按第6.1款发出的开始设计通知中写明的开始设计日期。</w:t>
      </w:r>
    </w:p>
    <w:p w14:paraId="2401FD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1.1.4.3设计服务期限：指设计人在投标函中承诺的完成合同设计服务所需的期限，包括按第6.2款、第6.4款和第6.6款约定所作的调整。</w:t>
      </w:r>
    </w:p>
    <w:p w14:paraId="2A1B965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1.1.4.4完成设计日期：指第1.1.4.3目约定设计服务期限届满时的日期。</w:t>
      </w:r>
    </w:p>
    <w:p w14:paraId="187880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1.1.4.5基准日：指投标截止时间前28天的日期。</w:t>
      </w:r>
    </w:p>
    <w:p w14:paraId="1E4308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1.1.4.6天：除特别指明外，指日历天。合同中按天计算时间的，开始当天不计入，从次日开始计算。期限最后一天的截止时间为当天24:00。</w:t>
      </w:r>
    </w:p>
    <w:p w14:paraId="7EE3382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1.1.5合同价格和费用</w:t>
      </w:r>
    </w:p>
    <w:p w14:paraId="2853A5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1.1.5.1签约合同价：指签订合同时合同协议书中写明的设计费用总金额。</w:t>
      </w:r>
    </w:p>
    <w:p w14:paraId="3767F4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1.1.5.2合同价格：指设计人按合同约定完成了全部设计工作后，发包人应付给设计人的金额，包括在履行合同过程中按合同约定进行的变更和调整。</w:t>
      </w:r>
    </w:p>
    <w:p w14:paraId="3D26F1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1.1.5.3费用：指为履行合同所发生的或将要发生的所有合理开支，包括管理费和应分摊的其他费用，但不包括利润。</w:t>
      </w:r>
    </w:p>
    <w:p w14:paraId="1ADE174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1.1.6其他</w:t>
      </w:r>
    </w:p>
    <w:p w14:paraId="3CC075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1.1.6.1书面形式：指合同文件、信件和数据电文（包括电报、电传、传真、电子数据交换和电子邮件）等可以有形地表现所载内容的形式。</w:t>
      </w:r>
    </w:p>
    <w:p w14:paraId="7C21CB1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1.2语言文字</w:t>
      </w:r>
    </w:p>
    <w:p w14:paraId="2625F9A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合同使用的语言文字为中文。专用术语使用外文的，应附有中文注释。</w:t>
      </w:r>
    </w:p>
    <w:p w14:paraId="38D3AD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1.3适用法律</w:t>
      </w:r>
    </w:p>
    <w:p w14:paraId="34D708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适用于合同的法律包括中华人民共和国法律、行政法规、部门规章，以及工程所在地的地方法规、自治条例、单行条例和地方政府规章。</w:t>
      </w:r>
    </w:p>
    <w:p w14:paraId="37D887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本合同适用的其他规范性文件，可在专用合同条款中约定。</w:t>
      </w:r>
    </w:p>
    <w:p w14:paraId="2C70E24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1.4合同文件的优先顺序</w:t>
      </w:r>
    </w:p>
    <w:p w14:paraId="198C50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组成合同的各项文件应互相解释，互为说明。除专用合同条款另有约定外，解释合同文件的优先顺序如下：</w:t>
      </w:r>
    </w:p>
    <w:p w14:paraId="5E8292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(1)合同协议书；</w:t>
      </w:r>
    </w:p>
    <w:p w14:paraId="78C292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(2)中标通知书；</w:t>
      </w:r>
    </w:p>
    <w:p w14:paraId="19ED07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(3)投标函及投标函附录；</w:t>
      </w:r>
    </w:p>
    <w:p w14:paraId="5FCE3FF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(4)专用合同条款；</w:t>
      </w:r>
    </w:p>
    <w:p w14:paraId="5FCD6C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(5)通用合同条款；</w:t>
      </w:r>
    </w:p>
    <w:p w14:paraId="0F29BA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(6)发包人要求；</w:t>
      </w:r>
    </w:p>
    <w:p w14:paraId="5A77489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(7)设计费用清单；</w:t>
      </w:r>
    </w:p>
    <w:p w14:paraId="18B0EE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(8)设计方案；</w:t>
      </w:r>
    </w:p>
    <w:p w14:paraId="4C5433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(9)其他合同文件。</w:t>
      </w:r>
    </w:p>
    <w:p w14:paraId="63FB018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1.5合同协议书</w:t>
      </w:r>
    </w:p>
    <w:p w14:paraId="715183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设计人按中标通知书规定的时间与发包人签订合同协议书。除法律另有规定或合同另有约定外，发包人和设计人的法定代表人或其委托代理人在合同协议书上签字并盖单位章后，合同生效。</w:t>
      </w:r>
    </w:p>
    <w:p w14:paraId="2DCBF0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1.6文件的提供和照管</w:t>
      </w:r>
    </w:p>
    <w:p w14:paraId="3C2475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1.6.1设计文件的提供</w:t>
      </w:r>
    </w:p>
    <w:p w14:paraId="276E1F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除专用合同条款另有约定外，设计人应在合理的期限内按照合同约定的数量向发包人提供设计文件。合同约定设计文件应经发包人批复的，发包人应当在合同约定的期限内批复或提出修改意见。</w:t>
      </w:r>
    </w:p>
    <w:p w14:paraId="7B040F7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1.6.2发包人提供的文件</w:t>
      </w:r>
    </w:p>
    <w:p w14:paraId="441D8F7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按专用合同条款约定由发包人提供的文件，包括基础资料、勘察报告、设计任务书等，发包人应按约定的数量和期限交给设计人。由于发包人未按时提供文件造成设计服务期限延误的，按第6.2款约定执行。</w:t>
      </w:r>
    </w:p>
    <w:p w14:paraId="2D1B325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1.6.3文件错误的通知</w:t>
      </w:r>
    </w:p>
    <w:p w14:paraId="3243C1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任何一方当事人发现文件中存在的明显错误或疏忽，均应及时通知对方当事人，并应立即采取适当的措施防止损失扩大。</w:t>
      </w:r>
    </w:p>
    <w:p w14:paraId="6A093C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1.7联络</w:t>
      </w:r>
    </w:p>
    <w:p w14:paraId="2E33AA3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1.7.1与合同有关的通知、批准、证明、证书、指示、要求、请求、同意、意见、确定和决定等，均应采用书面形式。</w:t>
      </w:r>
    </w:p>
    <w:p w14:paraId="0DA5EB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1.7.2上述通知、批准、证明、证书、指示、要求、请求、同意、意见、确定和决定等来往函件，均应在合同约定的期限内送达指定的地点和指定的接收人，并办理签收手续。</w:t>
      </w:r>
    </w:p>
    <w:p w14:paraId="6E354CC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1.8转让</w:t>
      </w:r>
    </w:p>
    <w:p w14:paraId="7EF71C0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除专用合同条款另有约定外，未经对方当事人同意，一方当事人不得将合同权利全部或部分转让给第三人，也不得全部或部分转移合同义务。</w:t>
      </w:r>
    </w:p>
    <w:p w14:paraId="1BEBD5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1.9严禁贿赂</w:t>
      </w:r>
    </w:p>
    <w:p w14:paraId="6DD6A2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合同双方当事人不得以贿赂或变相贿赂的方式，谋取不当利益或损害对方权益。因贿赂造成对方当事人损失的，行为人应当赔偿损失，并承担相应的法律责任。</w:t>
      </w:r>
    </w:p>
    <w:p w14:paraId="306B968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1.10知识产权</w:t>
      </w:r>
    </w:p>
    <w:p w14:paraId="5389EB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1.10.1除专用合同条款另有约定外，设计人完成的设计工作成果，除署名权以外的著作权和其他知识产权均归发包人享有。</w:t>
      </w:r>
    </w:p>
    <w:p w14:paraId="2315E19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1.10.2设计人在从事设计活动时，不得侵犯他人的知识产权。因侵犯专利权或其他知识产权所引起的责任，由设计人自行承担。因发包人提供的设计资料导致侵权的，由发包人承担责任。</w:t>
      </w:r>
    </w:p>
    <w:p w14:paraId="187685E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1.10.3设计人在投标文件中采用专利技术、专有技术的，相应的使用费视为已包含在投标报价之中。</w:t>
      </w:r>
    </w:p>
    <w:p w14:paraId="6CD2AD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1.11文件及信息的保密</w:t>
      </w:r>
    </w:p>
    <w:p w14:paraId="4EF4B01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未经对方同意，任何一方当事人不得将有关文件、技术秘密、需要保密的资料和信息泄露给他人或公开发表与引用。</w:t>
      </w:r>
    </w:p>
    <w:p w14:paraId="3EE5AFC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1.12发包人要求</w:t>
      </w:r>
    </w:p>
    <w:p w14:paraId="49E828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1.12.1设计人应认真阅读、复核发包人要求，发现错误的，应及时书面通知发包人。无论是否存在错误，发包人均有权修改发包人要求，并在修改后3日内通知设计人。除专用合同条款另有约定外，由此导致设计人费用增加和(或)周期延误的，发包人应当相应地增加费用和(或)延长周期。</w:t>
      </w:r>
    </w:p>
    <w:p w14:paraId="0A57EBE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如果发包人要求违反法律规定，设计人应在发现后及时书面通知发包人，要求其改正。发包人收到通知书后不予改正或不予答复的，设计人有权拒绝履行合同义务，直至解除合同；由此引起的设计人的全部损失由发包人承担。</w:t>
      </w:r>
    </w:p>
    <w:p w14:paraId="5D9FB12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1.12.3发包人要求采用国外规范和标准进行设计时，应由发包人负责提供该规范和标准的外国文本和中文译本，提供的时间、份数和其他要求在专用合同条款中约定。</w:t>
      </w:r>
    </w:p>
    <w:p w14:paraId="0B8898A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2.发包人义务</w:t>
      </w:r>
    </w:p>
    <w:p w14:paraId="05463E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2.1遵守法律</w:t>
      </w:r>
    </w:p>
    <w:p w14:paraId="7E6013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发包人在履行合同过程中应遵守法律，并保证设计人免于承担因发包人违反法律而引起的任何责任。</w:t>
      </w:r>
    </w:p>
    <w:p w14:paraId="709A21C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2.2发出开始设计通知</w:t>
      </w:r>
    </w:p>
    <w:p w14:paraId="11E9125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发包人应按第6.1款的约定向设计人发出开始设计通知。</w:t>
      </w:r>
    </w:p>
    <w:p w14:paraId="7232F2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2.3办理证件和批件</w:t>
      </w:r>
    </w:p>
    <w:p w14:paraId="50CF58F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法律规定和（或）合同约定由发包人负责办理的工程建设项目必须履行的各类审批、核准或备案手续，发包人应当按时办理，设计人应给予必要的协助。</w:t>
      </w:r>
    </w:p>
    <w:p w14:paraId="66AC30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法律规定和（或）合同约定由设计人负责办理的设计所需的证件和批件，发包人应给予必要的协助。</w:t>
      </w:r>
    </w:p>
    <w:p w14:paraId="5706D53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2.4支付合同价款</w:t>
      </w:r>
    </w:p>
    <w:p w14:paraId="3509553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发包人应按合同约定向设计人及时支付合同价款。</w:t>
      </w:r>
    </w:p>
    <w:p w14:paraId="491324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2.5提供设计资料</w:t>
      </w:r>
    </w:p>
    <w:p w14:paraId="1F3B82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发包人应按第1.6.2项的约定向设计人提供设计资料。</w:t>
      </w:r>
    </w:p>
    <w:p w14:paraId="5BB7D9B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2.6其他义务</w:t>
      </w:r>
    </w:p>
    <w:p w14:paraId="6AB821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发包人应履行合同约定的其他义务。</w:t>
      </w:r>
    </w:p>
    <w:p w14:paraId="285135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3．发包人管理</w:t>
      </w:r>
    </w:p>
    <w:p w14:paraId="3DF2B2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3.1发包人代表</w:t>
      </w:r>
    </w:p>
    <w:p w14:paraId="1FC615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除专用合同条款另有约定外，发包人应在合同签订后7天内，将发包人代表的姓名、职务、联系方式、授权范围和授权期限书面通知设计人，由发包人代表在其授权范围和授权期限内，代表发包人行使权利、履行义务和处理合同履行中的具体事宜。发包人代表在授权范围内的行为由发包人承担法律责任。</w:t>
      </w:r>
    </w:p>
    <w:p w14:paraId="252B17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3.1.2发包人代表违反法律法规、违背职业道德守则或者不按合同约定履行职责及义务，导致合同无法继续正常履行的，设计人有权通知发包人更换发包人代表。发包人收到通知后7天内，应当核实完毕并将处理结果通知设计人。</w:t>
      </w:r>
    </w:p>
    <w:p w14:paraId="6F4FEC3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3.1.3发包人更换发包人代表的，应提前14天将更换人员的姓名、职务、联系方式、授权范围和授权期限书面通知设计人。</w:t>
      </w:r>
    </w:p>
    <w:p w14:paraId="29AE25C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3.1.4发包人代表可以授权发包人的其他人员负责执行其指派的一项或多项工作。发包人代表应将被授权人员的姓名及其授权范围通知设计人。被授权人员在授权范围内发出的指示视为已得到发包人代表的同意，与发包人代表发出的指示具有同等效力。</w:t>
      </w:r>
    </w:p>
    <w:p w14:paraId="6DFC70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3.2监理人</w:t>
      </w:r>
    </w:p>
    <w:p w14:paraId="7BCD0F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发包人可以根据工程建设需要确定是否委托监理人进行设计监理。如果委托监理，则监理人享有合同约定的权力，其所发出的任何指示应视为已得到发包人的批准。监理人的监理范围、职责权限和总监理工程师信息，应在专用合同条款中指明。未经发包人批准，监理人无权修改合同。</w:t>
      </w:r>
    </w:p>
    <w:p w14:paraId="1FCF7C2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3.2.2合同约定应由设计人承担的义务和责任，不因监理人对设计文件的审查或批准，以及为实施监理作出的指示等职务行为而减轻或解除。</w:t>
      </w:r>
    </w:p>
    <w:p w14:paraId="5DC0EA8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3.3发包人的指示</w:t>
      </w:r>
    </w:p>
    <w:p w14:paraId="3293759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3.3.1发包人应按合同约定向设计人发出指示，发包人的指示应盖有发包人单位章，并由发包人代表签字确认。</w:t>
      </w:r>
    </w:p>
    <w:p w14:paraId="5A0FF2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3.3.2设计人收到发包人作出的指示后应遵照执行。指示构成变更的，应按第11条执行。</w:t>
      </w:r>
    </w:p>
    <w:p w14:paraId="242551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在紧急情况下，发包人代表或其授权人员可以当场签发临时书面指示，设计人应遵照执行。发包人代表应在临时书面指示发出后24小时内发出书面确认函，逾期未发出书面确认函的，该临时书面指示应被视为发包人的正式指示。</w:t>
      </w:r>
    </w:p>
    <w:p w14:paraId="27B472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3.3.4除专用合同条款另有约定外，设计人只从发包人代表或按第3.1.4项约定的被授权人员处取得指示。</w:t>
      </w:r>
    </w:p>
    <w:p w14:paraId="3174E04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3.3.5由于发包人未能按合同约定发出指示、指示延误或指示错误而导致设计人费用增加和（或）周期延误的，发包人应承担由此增加的费用和（或）周期延误。</w:t>
      </w:r>
    </w:p>
    <w:p w14:paraId="3BB2199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3.4决定或答复</w:t>
      </w:r>
    </w:p>
    <w:p w14:paraId="18C3CD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3.4.1发包人在法律允许的范围内有权对设计人的设计工作和/或设计文件作出处理决定，设计人应按照发包人的决定执行，涉及设计服务期限或设计费用等问题按第11条的约定处理。</w:t>
      </w:r>
    </w:p>
    <w:p w14:paraId="6002103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3.4.2发包人应在专用合同条款约定的时间之内，对设计人书面提出的事项作出书面答复；逾期没有做出答复的，视为已获得发包人的批准。</w:t>
      </w:r>
    </w:p>
    <w:p w14:paraId="030D13E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4.设计人义务</w:t>
      </w:r>
    </w:p>
    <w:p w14:paraId="135104A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4.1设计人的一般义务</w:t>
      </w:r>
    </w:p>
    <w:p w14:paraId="2614B0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4.1.1遵守法律</w:t>
      </w:r>
    </w:p>
    <w:p w14:paraId="084D18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设计人在履行合同过程中应遵守法律，并保证发包人免于承担因设计人违反法律而引起的任何责任。</w:t>
      </w:r>
    </w:p>
    <w:p w14:paraId="4826B45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4.1.2依法纳税</w:t>
      </w:r>
    </w:p>
    <w:p w14:paraId="0AB7654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设计人应按有关法律规定纳税，应缴纳的税金（含增值税）包括在合同价格之中。</w:t>
      </w:r>
    </w:p>
    <w:p w14:paraId="08C798B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4.1.3完成全部设计工作</w:t>
      </w:r>
    </w:p>
    <w:p w14:paraId="49D27D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设计人应按合同约定以及发包人要求，完成合同约定的全部工作，并对工作中的任何缺陷进行整改、完善和修补，使其满足合同约定的目的。设计人应按合同约定提供设计文件及相关服务等。</w:t>
      </w:r>
    </w:p>
    <w:p w14:paraId="2614F7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4.1.4其他义务</w:t>
      </w:r>
    </w:p>
    <w:p w14:paraId="7369B8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设计人应履行合同约定的其他义务。</w:t>
      </w:r>
    </w:p>
    <w:p w14:paraId="2E9B52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4.2履约保证金</w:t>
      </w:r>
    </w:p>
    <w:p w14:paraId="178430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履约保证金自合同生效之日起生效，在发包人签收最后一批设计成果文件之日起28日后失效。如果设计人不履行合同约定的义务或其履行不符合合同的约定，发包人有权扣划相应金额的履约保证金。</w:t>
      </w:r>
    </w:p>
    <w:p w14:paraId="3E2BC44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4.3分包和不得转包</w:t>
      </w:r>
    </w:p>
    <w:p w14:paraId="341FF26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4.3.1设计人不得将其设计的全部工作转包给第三人。</w:t>
      </w:r>
    </w:p>
    <w:p w14:paraId="43B1057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4.3.2设计人不得将设计的主体、关键性工作分包给第三人。除专用合同条款另有约定外，未经发包人同意，设计人也不得将非主体、非关键性工作分包给第三人。</w:t>
      </w:r>
    </w:p>
    <w:p w14:paraId="57453F5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4.3.3发包人同意设计人分包工作的，设计人应向发包人提交1份分包合同副本，并对分包设计工作质量承担连带责任。除专用合同条款另有约定外，分包人的设计费用由设计人与分包人自行支付。</w:t>
      </w:r>
    </w:p>
    <w:p w14:paraId="1A4E5F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4.3.4分包人的资格能力应与其分包工作的标准和规模相适应，包括必要的企业资质、人员、设备和类似业绩等。</w:t>
      </w:r>
    </w:p>
    <w:p w14:paraId="68DFC8E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4.4联合体</w:t>
      </w:r>
    </w:p>
    <w:p w14:paraId="1C98BC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4.4.1联合体各方应共同与发包人签订合同。联合体各方应为履行合同承担连带责任。</w:t>
      </w:r>
    </w:p>
    <w:p w14:paraId="41E8AA6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4.4.2联合体协议经发包人确认后作为合同附件。在履行合同过程中，未经发包人同意，不得修改联合体协议。</w:t>
      </w:r>
    </w:p>
    <w:p w14:paraId="7D34296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4.4.3联合体牵头人或联合体授权的代表负责与发包人联系，并接受指示，负责组织联合体各成员全面履行合同。</w:t>
      </w:r>
    </w:p>
    <w:p w14:paraId="0F2A7E4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4.5项目负责人</w:t>
      </w:r>
    </w:p>
    <w:p w14:paraId="1ABACBD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设计人应按合同协议书的约定指派项目负责人，并在约定的期限内到职。设计人更换项目负责人应事先征得发包人同意，并应在更换7天前将拟更换的项目负责人的姓名和详细资料提交发包人。项目负责人2天内不能履行职责的，应事先征得发包人同意，并委派代表代行其职责。</w:t>
      </w:r>
    </w:p>
    <w:p w14:paraId="24E4C2D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4.5.2项目负责人应按合同约定以及发包人要求，负责组织合同工作的实施。在情况紧急且无法与发包人取得联系时，可采取保证工程和人员生命财产安全的紧急措施，并在采取措施后24小时内向发包人提交书面报告。</w:t>
      </w:r>
    </w:p>
    <w:p w14:paraId="5F1E38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4.5.3设计人为履行合同发出的一切函件均应盖有设计人单位章，并由设计人的项目负责人签字确认。</w:t>
      </w:r>
    </w:p>
    <w:p w14:paraId="42F057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4.5.4按照专用合同条款约定，项目负责人可以授权其下属人员履行其某项职责，但事先应将这些人员的姓名和授权范围书面通知发包人。</w:t>
      </w:r>
    </w:p>
    <w:p w14:paraId="3A7A45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4.6设计人员的管理</w:t>
      </w:r>
    </w:p>
    <w:p w14:paraId="008ABC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4.6.1设计人应在接到开始设计通知之日起7天内，向发包人提交设计项目机构以及人员安排的报告，其内容应包括项目机构设置、主要设计人员和作业人员的名单及资格条件。主要设计人员应相对稳定，更换主要设计人员的，应取得发包人的同意,并向发包人提交继任人员的资格、管理经验等资料。项目负责人的更换，应按照本章第4.5.1.1、4.5.1.2、4.6.1、4.7.1项规定执行。</w:t>
      </w:r>
    </w:p>
    <w:p w14:paraId="4F77DE8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4.6.2除专用合同条款另有约定外，主要设计人员包括项目负责人、专业负责人、审核人、审定人等；其他人员包括各专业的设计人员、管理人员等。</w:t>
      </w:r>
    </w:p>
    <w:p w14:paraId="487DA0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4.6.3设计人应保证其主要设计人员（含分包人）在合同期限内的任何时候，都能按时参加发包人组织的工作会议。</w:t>
      </w:r>
    </w:p>
    <w:p w14:paraId="721D14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4.6.4国家规定应当持证上岗的工作人员均应持有相应的资格证明，发包人有权随时检查。发包人认为有必要时，可以进行现场考核。</w:t>
      </w:r>
    </w:p>
    <w:p w14:paraId="1F11E06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4.7撤换项目负责人和其他人员</w:t>
      </w:r>
    </w:p>
    <w:p w14:paraId="715B320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设计人应对其项目负责人和其他人员进行有效管理。发包人要求撤换不能胜任本职工作、行为不端或玩忽职守的项目负责人和其他人员的，设计人应予以撤换。</w:t>
      </w:r>
    </w:p>
    <w:p w14:paraId="2D99A3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4.8保障人员的合法权益</w:t>
      </w:r>
    </w:p>
    <w:p w14:paraId="672B2C8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4.8.1设计人应与其雇佣的人员签订劳动合同，并按时发放工资。</w:t>
      </w:r>
    </w:p>
    <w:p w14:paraId="0944C23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4.8.2设计人应按劳动法的规定安排工作时间，保证其雇佣人员享有休息和休假的权利。因设计需要占用休假日或延长工作时间的，应不超过法律规定的限度，并按法律规定给予补休或付酬。</w:t>
      </w:r>
    </w:p>
    <w:p w14:paraId="0B25DE8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4.8.3设计人应按有关法律规定和合同约定，为其雇佣人员办理保险。</w:t>
      </w:r>
    </w:p>
    <w:p w14:paraId="596AC84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4.9合同价款应专款专用</w:t>
      </w:r>
    </w:p>
    <w:p w14:paraId="1C24FE9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发包人按合同约定支付给设计人的各项价款，应专用于合同设计工作。</w:t>
      </w:r>
    </w:p>
    <w:p w14:paraId="664247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5.设计要求</w:t>
      </w:r>
    </w:p>
    <w:p w14:paraId="2067AD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5.1一般要求</w:t>
      </w:r>
    </w:p>
    <w:p w14:paraId="37FF688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5.1.1发包人应当遵守法律和规范标准，不得以任何理由要求设计人违反法律和工程质量、安全标准进行设计服务，降低工程质量。</w:t>
      </w:r>
    </w:p>
    <w:p w14:paraId="105C161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5.1.2设计人应按照法律规定，以及国家、行业和地方的规范和标准完成设计工作，并应符合发包人要求。各项规范、标准和发包人要求之间如对同一内容的描述不一致时，应以描述更为严格的内容为准。</w:t>
      </w:r>
    </w:p>
    <w:p w14:paraId="3860BE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5.1.3除专用合同条款另有约定外，设计人完成设计工作所应遵守的法律规定，以及国家、行业和地方的规范和标准，均应视为在基准日适用的版本。基准日之后，前述版本发生重大变化，或者有新的法律，以及国家、行业和地方的规范和标准实施的，设计人应向发包人提出遵守新规定的建议。发包人应在收到建议后7天内发出是否遵守新规定的指示。发包人指示遵守新规定的，按照第11条约定执行。</w:t>
      </w:r>
    </w:p>
    <w:p w14:paraId="1D5734C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5.1.4设计人在设计服务中选用的材料、设备，应当注明其规格、型号、性能等技术指标及适应性，满足质量、安全、节能、环保等要求。</w:t>
      </w:r>
    </w:p>
    <w:p w14:paraId="54D1965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5.2设计依据</w:t>
      </w:r>
    </w:p>
    <w:p w14:paraId="78357B8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除专用合同条款另有约定外，本工程的设计依据如下：</w:t>
      </w:r>
    </w:p>
    <w:p w14:paraId="20817C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(1)适用的法律、行政法规及部门规章；</w:t>
      </w:r>
    </w:p>
    <w:p w14:paraId="4454DC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(2)与工程有关的规范、标准、规程；</w:t>
      </w:r>
    </w:p>
    <w:p w14:paraId="21BF04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(3)工程基础资料及其他文件；</w:t>
      </w:r>
    </w:p>
    <w:p w14:paraId="1A268B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(4)本设计服务合同及补充合同；</w:t>
      </w:r>
    </w:p>
    <w:p w14:paraId="5C3F72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(5)本工程勘察文件和施工需求；</w:t>
      </w:r>
    </w:p>
    <w:p w14:paraId="3D8F665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(6)合同履行中与设计服务有关的来往函件；</w:t>
      </w:r>
    </w:p>
    <w:p w14:paraId="34D8BBA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(7)其他设计依据。</w:t>
      </w:r>
    </w:p>
    <w:p w14:paraId="379369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5.3设计范围</w:t>
      </w:r>
    </w:p>
    <w:p w14:paraId="2C774D8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5.3.1本合同的设计范围包括工程范围、阶段范围和工作范围，具体设计范围应当根据三者之间的关联内容进行确定。</w:t>
      </w:r>
    </w:p>
    <w:p w14:paraId="7F10BF1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5.3.2工程范围指所设计工程的建设内容，具体范围在专用合同条款中约定。</w:t>
      </w:r>
    </w:p>
    <w:p w14:paraId="39F86A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5.3.3阶段范围指工程建设程序中的方案设计、初步设计、扩大初步（招标）设计、施工图设计等阶段中的一个或者多个阶段，具体范围在专用合同条款中约定。</w:t>
      </w:r>
    </w:p>
    <w:p w14:paraId="666315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5.3.4工作范围指编制设计文件、编制设计概算、预算、提供技术交底、施工配合、参加试车（试运行）、编制竣工图、竣工验收和发包人委托的其他服务中的一项或者多项工作，具体范围在专用合同条款中约定。</w:t>
      </w:r>
    </w:p>
    <w:p w14:paraId="37A45EF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5.4设计文件要求</w:t>
      </w:r>
    </w:p>
    <w:p w14:paraId="61C41A9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5.4.1设计文件的编制应符合法律法规、规范标准的强制性规定和发包人要求，相关设计依据应完整、准确、可靠，设计方案论证充分，计算成果规范可靠，并能够实施。</w:t>
      </w:r>
    </w:p>
    <w:p w14:paraId="6D984C1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5.4.2设计服务应当根据法律、规范标准和发包人要求，保证工程的合理使用寿命年限，并在设计文件中予以注明。</w:t>
      </w:r>
    </w:p>
    <w:p w14:paraId="456DE2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5.4.3设计文件的深度应满足本合同相应设计阶段的规定要求，满足发包人的下步工作需要，并应符合国家和行业现行规定。</w:t>
      </w:r>
    </w:p>
    <w:p w14:paraId="54E711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5.4.4设计文件必须保证工程质量和施工安全等方面的要求，按照有关法律法规规定在设计文件中提出保障施工作业人员安全和预防生产安全事故的措施建议。</w:t>
      </w:r>
    </w:p>
    <w:p w14:paraId="71B899D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6.开始设计和完成设计</w:t>
      </w:r>
    </w:p>
    <w:p w14:paraId="1ECF71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6.1开始设计</w:t>
      </w:r>
    </w:p>
    <w:p w14:paraId="0D9036C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6.1.1符合专用合同条款约定的开始设计条件的，发包人应提前7天向设计人发出开始设计通知。设计服务期限自开始设计通知中载明的开始设计日期起计算。</w:t>
      </w:r>
    </w:p>
    <w:p w14:paraId="4534353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6.1.2除专用合同条款另有约定外，因发包人原因造成合同签订之日起90天内未能发出开始设计通知的，设计人有权提出价格调整要求，或者解除合同。发包人应当承担由此增加的费用和（或）周期延误。</w:t>
      </w:r>
    </w:p>
    <w:p w14:paraId="4C1649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6.2发包人引起的周期延误</w:t>
      </w:r>
    </w:p>
    <w:p w14:paraId="0A304E8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在履行合同过程中，由于发包人的下列原因造成设计服务期限延误的，发包人应当延长设计服务期限并增加设计费用，具体方法在专用合同条款中约定。</w:t>
      </w:r>
    </w:p>
    <w:p w14:paraId="1EA54A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(1)合同变更；</w:t>
      </w:r>
    </w:p>
    <w:p w14:paraId="1E11FEF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(2)未按合同约定期限及时答复设计事项；</w:t>
      </w:r>
    </w:p>
    <w:p w14:paraId="7DE431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(3)因发包人原因导致的暂停设计；</w:t>
      </w:r>
    </w:p>
    <w:p w14:paraId="70C504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(4)未按合同约定及时支付设计费用；</w:t>
      </w:r>
    </w:p>
    <w:p w14:paraId="4AEB30A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(5)发包人提供的基准资料错误；</w:t>
      </w:r>
    </w:p>
    <w:p w14:paraId="745B480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(6)未及时按照履行合同约定的相关义务；</w:t>
      </w:r>
    </w:p>
    <w:p w14:paraId="76E4BD6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(7)未能按照合同约定期限对设计文件进行审查；</w:t>
      </w:r>
    </w:p>
    <w:p w14:paraId="3B7E87B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(8)发包人造成周期延误的其他原因。</w:t>
      </w:r>
    </w:p>
    <w:p w14:paraId="14D0550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6.3设计人引起的周期延误</w:t>
      </w:r>
    </w:p>
    <w:p w14:paraId="3012DC2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由于设计人原因造成周期延误，设计人应支付逾期违约金。逾期违约金的计算方法和最高限额在专用合同条款中约定。</w:t>
      </w:r>
    </w:p>
    <w:p w14:paraId="1C2B837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6.4第三人引起的周期延误</w:t>
      </w:r>
    </w:p>
    <w:p w14:paraId="492A9A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由于行政管理部门审查或其他第三人原因造成费用增加和（或）周期延误的，由发包人承担。</w:t>
      </w:r>
    </w:p>
    <w:p w14:paraId="2447E6D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6.5完成设计</w:t>
      </w:r>
    </w:p>
    <w:p w14:paraId="705EF0A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6.5.1设计人完成设计服务之后，应当根据法律、规范标准、合同约定和发包人要求编制设计文件。</w:t>
      </w:r>
    </w:p>
    <w:p w14:paraId="2B31DC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6.5.2设计文件是工程设计的最终成果和施工的重要依据，应当根据本工程的设计内容和不同阶段的设计任务、目的和要求等进行编制。设计文件的内容和深度应当满足对应阶段的规范要求。</w:t>
      </w:r>
    </w:p>
    <w:p w14:paraId="0C44F55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6.5.3除专用合同条款另有约定外，设计文件包括纸质文件和电子文件两种形式，两者若有不一致时，应以纸质文件为准。纸质文件一式八份，应当加盖单位章和项目负责人注册执业印章；电子文件中的文字为WORD格式、图形为CAD格式，并应使用光盘和U盘分别贮存。</w:t>
      </w:r>
    </w:p>
    <w:p w14:paraId="68B0341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6.6提前完成设计</w:t>
      </w:r>
    </w:p>
    <w:p w14:paraId="24FDA57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6.6.1根据发包人要求或者基于专业能力判断，设计人认为能够提前完成设计的，可向发包人递交一份提前完成设计建议书，包括实施方案、提前时间、设计费用变动等内容。除专用合同条款另有约定之外，发包人接受建议书的，不因提前完成设计而减少设计费用；增加设计费用的，所增费用由发包人承担。</w:t>
      </w:r>
    </w:p>
    <w:p w14:paraId="149D0C3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6.6.2发包人要求提前完成设计但设计人认为无法实施的，应在收到发包人书面指示后7天内提出异议，说明不能提前完成的理由。发包人应在收到异议后7天内予以答复。任何情况下，发包人不得压缩合理的设计服务期限。</w:t>
      </w:r>
    </w:p>
    <w:p w14:paraId="706E6CF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6.6.3由于设计人提前完成设计而给发包人带来经济效益的，发包人可以在专用合同条款中约定设计人因此获得的奖励内容。</w:t>
      </w:r>
    </w:p>
    <w:p w14:paraId="30A836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7.暂停设计</w:t>
      </w:r>
    </w:p>
    <w:p w14:paraId="370EDED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7.1发包人原因暂停设计</w:t>
      </w:r>
    </w:p>
    <w:p w14:paraId="65E6627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中发生下列情形之一的，设计人可向发包人发出通知，要求发包人采取有效措施予以纠正。发包人收到设计人通知后的28天内仍不履行合同义务时，设计人有权暂停设计并通知发包人；发包人应承担由此导致的费用增加和（或）周期延误。</w:t>
      </w:r>
    </w:p>
    <w:p w14:paraId="2139BE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(1)发包人违约；</w:t>
      </w:r>
    </w:p>
    <w:p w14:paraId="6299084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(2)发包人确定暂停设计；</w:t>
      </w:r>
    </w:p>
    <w:p w14:paraId="1991750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(3)合同约定由发包人承担责任的其他情形。</w:t>
      </w:r>
    </w:p>
    <w:p w14:paraId="19585F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7.2设计人原因暂停设计</w:t>
      </w:r>
    </w:p>
    <w:p w14:paraId="41D3680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合同履行中发生下列情形之一的，发包人可向设计人发出通知暂停设计，由此造成费用的增加和（或）周期延误由设计人承担：</w:t>
      </w:r>
    </w:p>
    <w:p w14:paraId="5305A6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(1)设计人违约；</w:t>
      </w:r>
    </w:p>
    <w:p w14:paraId="1ECE7FE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(2)设计人擅自暂停设计；</w:t>
      </w:r>
    </w:p>
    <w:p w14:paraId="7C2122D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(3)合同约定由设计人承担责任的其他情形。</w:t>
      </w:r>
    </w:p>
    <w:p w14:paraId="0C2FE7C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7.3暂停期间的文件照管</w:t>
      </w:r>
    </w:p>
    <w:p w14:paraId="0365C66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不论由于何种原因引起暂停设计的，暂停期间设计人应负责妥善保护已完部分的设计文件，由此增加的费用由责任方承担。</w:t>
      </w:r>
    </w:p>
    <w:p w14:paraId="5B62838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8.设计文件</w:t>
      </w:r>
    </w:p>
    <w:p w14:paraId="56433A1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8.1设计文件接收</w:t>
      </w:r>
    </w:p>
    <w:p w14:paraId="397F73A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8.1.1发包人应当及时接收设计人提交的设计文件。如无正当理由拒收的，视为发包人已经接收设计文件。</w:t>
      </w:r>
    </w:p>
    <w:p w14:paraId="7931FF0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8.1.2发包人接收设计文件时，应向设计人出具文件签收凭证，凭证内容包括图纸名称、图纸内容、图纸形式、份数、提交和接收日期、提交人与接收人的亲笔签名等。</w:t>
      </w:r>
    </w:p>
    <w:p w14:paraId="0C4556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8.1.3设计文件提交的份数、内容、纸幅、装订格式、电子文件、展板、模型、沙盘、动画等要求，在专用合同条款中约定。</w:t>
      </w:r>
    </w:p>
    <w:p w14:paraId="6D0CDB5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8.2发包人审查设计文件</w:t>
      </w:r>
    </w:p>
    <w:p w14:paraId="1192D9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8.2.1发包人接收设计文件之后，可以自行或者组织专家会进行审查，设计人应当给予配合。审查标准应当符合法律、规范标准、合同约定和发包人要求等；审查的具体范围、明细内容和费用分担，在专用合同条款中约定。</w:t>
      </w:r>
    </w:p>
    <w:p w14:paraId="55C76D5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8.2.2除专用合同条款另有约定外，发包人对于设计文件的审查期限，自文件接收之日起不应超过14天。发包人逾期未做出审查结论且未提出异议的，视为设计人的设计文件已经通过发包人审查。</w:t>
      </w:r>
    </w:p>
    <w:p w14:paraId="4EA4FC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8.2.3发包人审查后不同意设计文件的，应以书面形式通知设计人，说明审查不通过的理由及其具体内容。设计人应根据发包人的审查意见修改完善设计文件，并重新报送发包人审查，审查期限重新起算。</w:t>
      </w:r>
    </w:p>
    <w:p w14:paraId="7585E9E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8.3审查机构审查设计文件</w:t>
      </w:r>
    </w:p>
    <w:p w14:paraId="069FAC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8.3.1设计文件需经政府有关部门审查或批准的，发包人应在审查同意后，按照有关主管部门要求，将设计文件和相关资料报送施工图审查机构进行审查。发包人的审查和施工图审查机构的审查不减免设计人因为质量问题而应承担的设计责任。</w:t>
      </w:r>
    </w:p>
    <w:p w14:paraId="543DF11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8.3.2对于施工图审查机构的审查意见，如不需要修改发包人要求的，应由设计人按照审查意见修改完善设计文件；如需修改发包人要求的，则由发包人重新修改和提出发包人要求，再由设计人根据新的发包人要求修改完善设计文件。</w:t>
      </w:r>
    </w:p>
    <w:p w14:paraId="218BA82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8.3.3由于自身原因造成设计文件未通过审查机构审查的，设计人应当承担违约责任，采取补救措施直至达到合同约定的质量标准，并自行承担由此导致的费用增加和（或）周期延误。</w:t>
      </w:r>
    </w:p>
    <w:p w14:paraId="0E9DA15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9.设计责任与保险</w:t>
      </w:r>
    </w:p>
    <w:p w14:paraId="4C0DBC0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9.1工作质量责任</w:t>
      </w:r>
    </w:p>
    <w:p w14:paraId="7DA78A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9.1.1设计工作质量应满足法律规定、规范标准、合同约定和发包人要求等。</w:t>
      </w:r>
    </w:p>
    <w:p w14:paraId="4F0CC6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9.1.2设计人应做好设计服务的质量与技术管理工作，建立健全内部质量管理体系和质量责任制度，加强设计服务全过程的质量控制，建立完整的设计文件的设计、复核、审核、会签和批准制度，明确各阶段的责任人。</w:t>
      </w:r>
    </w:p>
    <w:p w14:paraId="5154EE5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9.1.3设计人应按合同约定对设计服务进行全过程的质量检查和检验，并作详细记录，编制设计工作质量报表，报送发包人审查。</w:t>
      </w:r>
    </w:p>
    <w:p w14:paraId="01C088E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9.1.4发包人有权对设计工作质量进行检查和审核。设计人应为发包人的检查和检验提供方便，包括发包人到设计场地或合同约定的其他地方进行察看，查阅、审核设计的原始记录和其他文件。发包人的检查和审核，不免除设计人按合同约定应负的责任。</w:t>
      </w:r>
    </w:p>
    <w:p w14:paraId="34B7F62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9.2设计文件错误责任</w:t>
      </w:r>
    </w:p>
    <w:p w14:paraId="1AC40A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9.2.1设计文件存在错误、遗漏、含混、矛盾、不充分之处或其他缺陷，无论设计人是否通过了发包人审查或审查机构审查，设计人均应自费对前述问题带来的缺陷和工程问题进行改正，但因第1.6.2项约定由发包人提供的文件错误导致的除外。</w:t>
      </w:r>
    </w:p>
    <w:p w14:paraId="39972C9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9.2.2因设计人原因造成设计文件不合格的，发包人有权要求设计人采取补救措施，直至达到合同要求的质量标准，并按第14.1款的约定承担责任。</w:t>
      </w:r>
    </w:p>
    <w:p w14:paraId="1A36BA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9.2.3因发包人原因造成设计文件不合格的，设计人应当采取补救措施，直至达到合同要求的质量标准，由此造成的设计费用增加和（或）设计服务期限延误由发包人承担。</w:t>
      </w:r>
    </w:p>
    <w:p w14:paraId="7A7AB01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9.3设计责任主体</w:t>
      </w:r>
    </w:p>
    <w:p w14:paraId="4066F92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9.3.1设计人应运用一切合理的专业技术、知识技能和项目经验，按照职业道德准则和行业公认标准尽其全部职责，勤勉、谨慎、公正地履行其在本合同项下的责任和义务。</w:t>
      </w:r>
    </w:p>
    <w:p w14:paraId="4B9710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9.3.2设计责任为设计单位项目负责人终身责任制。项目负责人应当保证设计文件符合法律法规和工程建设强制性标准的要求，对因设计导致的工程质量事故或质量问题承担责任。</w:t>
      </w:r>
    </w:p>
    <w:p w14:paraId="315F091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9.3.3项目负责人应当在办理工程质量监督手续前签署工程质量终身责任承诺书，连同法定代表人出具的授权书，报工程质量监督机构备案。</w:t>
      </w:r>
    </w:p>
    <w:p w14:paraId="42DEBD2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9.4设计责任保险</w:t>
      </w:r>
    </w:p>
    <w:p w14:paraId="073435E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9.4.1除专用合同条款另有约定外，设计人应具有发包人认可的、履行本合同所需要的工程设计责任险，于合同签订后28天内向发包人提交工程设计责任险的保险单副本或者其他有效证明，并在合同履行期间保持足额、有效。</w:t>
      </w:r>
    </w:p>
    <w:p w14:paraId="7D297D0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9.4.2工程设计责任险的保险范围，应当包括由于设计人的疏忽或过失而造成的工程质量事故损失，以及由于事故引发的第三者人身伤亡、财产损失或费用赔偿等。</w:t>
      </w:r>
    </w:p>
    <w:p w14:paraId="70DB60C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9.4.3发生工程设计保险事故后，设计人应按保险人要求进行报告，并负责办理保险理赔业务；保险金不足以补偿损失的，由设计人自行补偿。</w:t>
      </w:r>
    </w:p>
    <w:p w14:paraId="73C83F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10.施工期间配合</w:t>
      </w:r>
    </w:p>
    <w:p w14:paraId="3B7657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10.1施工配合指设计人配合施工设计人，在施工期间提供的设计服务或其他配合工作，直至工程通过竣工验收为止。</w:t>
      </w:r>
    </w:p>
    <w:p w14:paraId="31E3EAE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10.2除专用合同条款另有约定外，发包人应为设计人派赴施工现场的工作人员，在施工期间提供办公房间、办公桌椅、互联网接口、冷暖设施、生活设施、进出现场交通服务和其他便利条件。</w:t>
      </w:r>
    </w:p>
    <w:p w14:paraId="6336074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10.3设计人应在本工程的施工期间，积极提供设计配合服务，包括并不限于设计技术交底、施工现场服务、参与施工过程验收、参与投产试车（试运行）、参与工程竣工验收等工作。</w:t>
      </w:r>
    </w:p>
    <w:p w14:paraId="3473DBD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10.4发包人应当组织设计技术交底会，由设计人向发包人、监理人和施工设计人等进行设计交底，对本工程的设计意图、设计文件和施工要求等进行系统地说明和解释。</w:t>
      </w:r>
    </w:p>
    <w:p w14:paraId="74816E6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工程施工完毕后，发包人应当组织投产试车（试运行）和工程竣工验收，设计人参加验收并出具本单位的验收结论。如因设计原因致使工程不合格的，设计人应当承担违约责任，免费修改设计文件和赔偿发包人由此产生的经济损失。</w:t>
      </w:r>
    </w:p>
    <w:p w14:paraId="080153C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11.合同变更</w:t>
      </w:r>
    </w:p>
    <w:p w14:paraId="28037FB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11.1变更情形</w:t>
      </w:r>
    </w:p>
    <w:p w14:paraId="656CFC7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11.1.1合同履行中发生下述情形时，合同一方均可向对方提出变更请求，经双方协商一致后进行变更，设计服务期限和设计费用的调整方法在专用合同条款中约定。</w:t>
      </w:r>
    </w:p>
    <w:p w14:paraId="1220DCF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(1)设计范围发生变化；</w:t>
      </w:r>
    </w:p>
    <w:p w14:paraId="49A2369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(2)除不可抗力外，非设计人的原因引起的周期延误；</w:t>
      </w:r>
    </w:p>
    <w:p w14:paraId="5A99A0A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(3)非设计人的原因，对工程同一部分重复进行设计；</w:t>
      </w:r>
    </w:p>
    <w:p w14:paraId="3D80A54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(4)非设计人的原因，对工程暂停设计及恢复设计。</w:t>
      </w:r>
    </w:p>
    <w:p w14:paraId="47D479F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11.1.2基准日后，因颁布新的或修订原有法律、法规、规范和标准等引发合同变更情形的，按照上述约定进行调整。</w:t>
      </w:r>
    </w:p>
    <w:p w14:paraId="5739B1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11.2合理化建议</w:t>
      </w:r>
    </w:p>
    <w:p w14:paraId="23D54B1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11.2.1合同履行中，设计人可对发包人要求提出合理化建议。合理化建议应以书面形式提交发包人，被发包人采纳并构成变更的，执行第11.1款约定。</w:t>
      </w:r>
    </w:p>
    <w:p w14:paraId="458CF02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11.2.2设计人提出的合理化建议降低了工程投资、缩短了施工期限或者提高了工程经济效益的，发包人应按专用合同条款中的约定给予奖励。</w:t>
      </w:r>
    </w:p>
    <w:p w14:paraId="35823F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12.合同价格与支付</w:t>
      </w:r>
    </w:p>
    <w:p w14:paraId="5B9EA0D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12.1合同价格</w:t>
      </w:r>
    </w:p>
    <w:p w14:paraId="2D01B95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12.1.1本合同的价款确定方式、调整方式和风险范围划分，在专用合同条款中约定。</w:t>
      </w:r>
    </w:p>
    <w:p w14:paraId="7597C37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12.1.2设计费用实行发包人签证制度，即设计人完成设计项目后通知发包人进行验收，通过验收后由发包人代表对实施的设计项目、数量、质量和实施时间签字确认，以此作为计算设计费用的依据之一。</w:t>
      </w:r>
    </w:p>
    <w:p w14:paraId="6B595C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12.1.3除专用合同条款另有约定外，合同价格应当包括收集资料，踏勘现场，进行设计、评估、审查等，编制设计文件，施工配合等全部费用和国家规定的增值税税金。</w:t>
      </w:r>
    </w:p>
    <w:p w14:paraId="1220FEC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12.1.4发包人要求设计人进行外出考察、试验检测、专项咨询或专家评审时，相应费用不含在合同价格之中，由发包人另行支付。</w:t>
      </w:r>
    </w:p>
    <w:p w14:paraId="2ED804A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12.2定金或预付款</w:t>
      </w:r>
    </w:p>
    <w:p w14:paraId="37A512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12.2.1定金或预付款应专用于本工程的设计。定金或预付款的额度、支付方式及抵扣方式在专用合同条款中约定。</w:t>
      </w:r>
    </w:p>
    <w:p w14:paraId="744DE40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12.2.2发包人应在收到定金或预付款支付申请后28天内，将定金或预付款支付给设计人；设计人应当提供等额的增值税发票。</w:t>
      </w:r>
    </w:p>
    <w:p w14:paraId="7A67E37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12.2.3设计服务完成之前，由于不可抗力或其他非设计人的原因解除合同时，定金不予退还。</w:t>
      </w:r>
    </w:p>
    <w:p w14:paraId="504130F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12.3中期支付</w:t>
      </w:r>
    </w:p>
    <w:p w14:paraId="1719642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12.3.1设计人应按发包人批准或专用合同条款约定的格式及份数，向发包人提交中期支付申请，并附相应的支持性证明文件。</w:t>
      </w:r>
    </w:p>
    <w:p w14:paraId="7B95AF8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发包人应在收到中期支付申请后的28天内，将应付款项支付给设计人；设计人应当提供等额的增值税发票。发包人未能在前述时间内完成审批或不予答复的，视为发包人同意中期支付申请。发包人不按期支付的，按专用合同条款的约定支付逾期付款违约金。</w:t>
      </w:r>
    </w:p>
    <w:p w14:paraId="2FFABC0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12.3.3中期支付涉及政府投资资金的，按照国库集中支付等国家相关规定和专用合同条款的约定执行。</w:t>
      </w:r>
    </w:p>
    <w:p w14:paraId="3221900F">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12.4费用结算</w:t>
      </w:r>
    </w:p>
    <w:p w14:paraId="4006594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12.4.1合同工作完成后，设计人可按专用合同条款约定的份数和期限，向发包人提交设计费用结算申请，并提供相关证明材料。</w:t>
      </w:r>
    </w:p>
    <w:p w14:paraId="3E9C235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发包人应在收到费用结算申请后的28天内，将应付款项支付给设计人；设计人应当提供等额的增值税发票。发包人未能在前述时间内完成审批或不予答复的，视为发包人同意费用结算申请。发包人不按期支付的，按专用合同条款的约定支付逾期付款违约金。</w:t>
      </w:r>
    </w:p>
    <w:p w14:paraId="46E08FC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12.4.3发包人对费用结算申请内容有异议的，有权要求设计人进行修正和提供补充资料，由设计人重新提交。设计人对此有异议的，按第15条的约定执行。</w:t>
      </w:r>
    </w:p>
    <w:p w14:paraId="540FF98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12.4.4最终结清付款涉及政府投资资金的，按第12.3.3项的约定执行。</w:t>
      </w:r>
    </w:p>
    <w:p w14:paraId="1892246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13.不可抗力</w:t>
      </w:r>
    </w:p>
    <w:p w14:paraId="508ECA0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13.1不可抗力的确认</w:t>
      </w:r>
    </w:p>
    <w:p w14:paraId="6E987AD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13.1.1不可抗力是指设计人和发包人在订立合同时不可预见，在履行合同过程中不可避免发生并不能克服的自然灾害和社会性突发事件，如地震、海啸、瘟疫、水灾、骚乱、暴动、战争和专用合同条款约定的其他情形。</w:t>
      </w:r>
    </w:p>
    <w:p w14:paraId="02D969A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13.1.2不可抗力发生后，发包人和设计人应及时认真统计所造成的损失，收集不可抗力造成损失的证据。合同双方对是否属于不可抗力或其损失的意见不一致的，由合同双方协商确定。</w:t>
      </w:r>
    </w:p>
    <w:p w14:paraId="302D507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13.2不可抗力的通知</w:t>
      </w:r>
    </w:p>
    <w:p w14:paraId="631F3CB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13.2.1合同一方当事人遇到不可抗力事件，使其履行合同义务受到阻碍时，应立即通知合同另一方当事人，书面说明不可抗力和受阻碍的详细情况，并提供必要的证明。</w:t>
      </w:r>
    </w:p>
    <w:p w14:paraId="60F1148E">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13.2.2如不可抗力持续发生，合同一方当事人应及时向合同另一方当事人提交中间报告，说明不可抗力和履行合同受阻的情况，并于不可抗力事件结束后28天内提交最终报告及有关资料。</w:t>
      </w:r>
    </w:p>
    <w:p w14:paraId="5A8BAF4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13.3不可抗力的后果及其处理</w:t>
      </w:r>
    </w:p>
    <w:p w14:paraId="25437BB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13.3.1不可抗力引起的后果及其损失，应由合同当事人依据法律规定各自承担。不可抗力发生前已完成的设计工作，应当按照合同约定进行支付。</w:t>
      </w:r>
    </w:p>
    <w:p w14:paraId="11D0B0A2">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13.3.2不可抗力发生后，合同当事人应当采取有效措施避免损失进一步扩大，如未采取有效措施致使损失扩大的，应当自行承担扩大部分的损失。</w:t>
      </w:r>
    </w:p>
    <w:p w14:paraId="61C463F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13.3.3因一方当事人迟延履行合同义务，致使迟延履行期间遭遇不可抗力的，应由该当事人承担全部损失。</w:t>
      </w:r>
    </w:p>
    <w:p w14:paraId="11E25AB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14.违约</w:t>
      </w:r>
    </w:p>
    <w:p w14:paraId="323E7220">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14.1设计人违约</w:t>
      </w:r>
    </w:p>
    <w:p w14:paraId="4AB3D917">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14.1.1合同履行中发生下列情况之一的，属设计人违约：</w:t>
      </w:r>
    </w:p>
    <w:p w14:paraId="5AA6BAE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(1)设计文件不符合法律以及合同约定；</w:t>
      </w:r>
    </w:p>
    <w:p w14:paraId="166C3A3C">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(2)设计人转包、违法分包或者未经发包人同意擅自分包；</w:t>
      </w:r>
    </w:p>
    <w:p w14:paraId="6E03DFDA">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(3)设计人未按合同计划完成设计，从而造成工程损失；</w:t>
      </w:r>
    </w:p>
    <w:p w14:paraId="6C33B939">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(4)设计人无法履行或停止履行合同；</w:t>
      </w:r>
    </w:p>
    <w:p w14:paraId="70A004C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(5)设计人不履行合同约定的其他义务。</w:t>
      </w:r>
    </w:p>
    <w:p w14:paraId="2035121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14.1.2设计人发生违约情况时，发包人可向设计人发出整改通知，要求其在限定期限内纠正；逾期仍不纠正的，发包人有权解除合同并向设计人发出解除合同通知。设计人应当承担由于违约所造成的费用增加、周期延误和发包人损失等。</w:t>
      </w:r>
    </w:p>
    <w:p w14:paraId="250B147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14.2发包人违约</w:t>
      </w:r>
    </w:p>
    <w:p w14:paraId="0DFDF74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14.2.1合同履行中发生下列情况之一的，属发包人违约：</w:t>
      </w:r>
    </w:p>
    <w:p w14:paraId="4449FF0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(1)发包人未按合同约定支付设计费用；</w:t>
      </w:r>
    </w:p>
    <w:p w14:paraId="269F8A1B">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(2)发包人原因造成设计停止；</w:t>
      </w:r>
    </w:p>
    <w:p w14:paraId="0C9533A1">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(3)发包人无法履行或停止履行合同；</w:t>
      </w:r>
    </w:p>
    <w:p w14:paraId="4814B6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(4)发包人不履行合同约定的其他义务。</w:t>
      </w:r>
    </w:p>
    <w:p w14:paraId="41286365">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14.2.2发包人发生违约情况时，设计人可向发包人发出暂停设计通知，要求其在限定期限内纠正；逾期仍不纠正的，设计人有权解除合同并向发包人发出解除合同通知。发包人应当承担由于违约所造成的费用增加、周期延误和设计人损失等。</w:t>
      </w:r>
    </w:p>
    <w:p w14:paraId="1AD914E8">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14.3第三人造成的违约</w:t>
      </w:r>
    </w:p>
    <w:p w14:paraId="0A86AD4D">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在履行合同过程中，一方当事人因第三人的原因造成违约的，应当向对方当事人承担违约责任。一方当事人和第三人之间的纠纷，依照法律规定或者按照约定解决。</w:t>
      </w:r>
    </w:p>
    <w:p w14:paraId="695478E6">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15.争议的解决</w:t>
      </w:r>
    </w:p>
    <w:p w14:paraId="117E154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发包人和设计人在履行合同中发生争议的，可以友好协商解决。合同当事人友好协商解决不成的，可在专用合同条款中约定下列一种方式解决：</w:t>
      </w:r>
    </w:p>
    <w:p w14:paraId="5F9782F4">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(1)向约定的仲裁委员会申请仲裁；</w:t>
      </w:r>
    </w:p>
    <w:p w14:paraId="42B82C93">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(2)向有管辖权的人民法院提起诉讼。</w:t>
      </w:r>
    </w:p>
    <w:p w14:paraId="41CB4310">
      <w:pPr>
        <w:spacing w:line="360" w:lineRule="auto"/>
        <w:ind w:firstLine="480"/>
        <w:rPr>
          <w:rFonts w:hint="eastAsia" w:ascii="宋体" w:hAnsi="宋体" w:eastAsia="宋体" w:cs="宋体"/>
          <w:color w:val="auto"/>
          <w:highlight w:val="none"/>
        </w:rPr>
      </w:pPr>
    </w:p>
    <w:p w14:paraId="1D965A52">
      <w:pPr>
        <w:spacing w:line="360" w:lineRule="auto"/>
        <w:ind w:firstLine="480"/>
        <w:rPr>
          <w:rFonts w:hint="eastAsia" w:ascii="宋体" w:hAnsi="宋体" w:eastAsia="宋体" w:cs="宋体"/>
          <w:color w:val="auto"/>
          <w:highlight w:val="none"/>
        </w:rPr>
      </w:pPr>
    </w:p>
    <w:p w14:paraId="3F96F857">
      <w:pPr>
        <w:spacing w:line="360" w:lineRule="auto"/>
        <w:ind w:firstLine="480"/>
        <w:rPr>
          <w:rFonts w:hint="eastAsia" w:ascii="宋体" w:hAnsi="宋体" w:eastAsia="宋体" w:cs="宋体"/>
          <w:color w:val="auto"/>
          <w:highlight w:val="none"/>
        </w:rPr>
      </w:pPr>
    </w:p>
    <w:p w14:paraId="46791031">
      <w:pPr>
        <w:ind w:firstLine="480"/>
        <w:rPr>
          <w:rFonts w:hint="eastAsia" w:ascii="宋体" w:hAnsi="宋体" w:eastAsia="宋体" w:cs="宋体"/>
          <w:color w:val="auto"/>
          <w:highlight w:val="none"/>
        </w:rPr>
      </w:pPr>
    </w:p>
    <w:p w14:paraId="3E937BA7">
      <w:pPr>
        <w:ind w:firstLine="480"/>
        <w:rPr>
          <w:rFonts w:hint="eastAsia" w:ascii="宋体" w:hAnsi="宋体" w:eastAsia="宋体" w:cs="宋体"/>
          <w:color w:val="auto"/>
          <w:highlight w:val="none"/>
        </w:rPr>
      </w:pPr>
    </w:p>
    <w:p w14:paraId="426CB615">
      <w:pPr>
        <w:widowControl/>
        <w:jc w:val="left"/>
        <w:rPr>
          <w:rFonts w:hint="eastAsia" w:ascii="宋体" w:hAnsi="宋体" w:eastAsia="宋体" w:cs="宋体"/>
          <w:b/>
          <w:color w:val="auto"/>
          <w:kern w:val="2"/>
          <w:sz w:val="21"/>
          <w:szCs w:val="24"/>
          <w:highlight w:val="none"/>
          <w:lang w:val="en-US"/>
        </w:rPr>
      </w:pPr>
      <w:bookmarkStart w:id="20" w:name="_Toc80197491"/>
      <w:bookmarkStart w:id="21" w:name="_Toc75965212"/>
      <w:bookmarkStart w:id="22" w:name="_Toc120098643"/>
      <w:bookmarkStart w:id="23" w:name="_Toc60085250"/>
      <w:bookmarkStart w:id="24" w:name="_Toc112424144"/>
      <w:r>
        <w:rPr>
          <w:rFonts w:hint="eastAsia" w:ascii="宋体" w:hAnsi="宋体" w:eastAsia="宋体" w:cs="宋体"/>
          <w:color w:val="auto"/>
          <w:highlight w:val="none"/>
        </w:rPr>
        <w:br w:type="page"/>
      </w:r>
    </w:p>
    <w:p w14:paraId="737AFC25">
      <w:pPr>
        <w:ind w:firstLine="422"/>
        <w:jc w:val="center"/>
        <w:outlineLvl w:val="9"/>
        <w:rPr>
          <w:rFonts w:hint="eastAsia" w:ascii="宋体" w:hAnsi="宋体" w:eastAsia="宋体" w:cs="宋体"/>
          <w:color w:val="auto"/>
          <w:highlight w:val="none"/>
        </w:rPr>
      </w:pPr>
      <w:r>
        <w:rPr>
          <w:rFonts w:hint="eastAsia" w:ascii="宋体" w:hAnsi="宋体" w:eastAsia="宋体" w:cs="宋体"/>
          <w:color w:val="auto"/>
          <w:highlight w:val="none"/>
        </w:rPr>
        <w:t>第三节  专用合同条款</w:t>
      </w:r>
      <w:bookmarkEnd w:id="20"/>
      <w:bookmarkEnd w:id="21"/>
      <w:bookmarkEnd w:id="22"/>
      <w:bookmarkEnd w:id="23"/>
      <w:bookmarkEnd w:id="24"/>
    </w:p>
    <w:p w14:paraId="34247B16">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b/>
          <w:color w:val="auto"/>
          <w:sz w:val="24"/>
          <w:highlight w:val="none"/>
        </w:rPr>
        <w:t>1.一</w:t>
      </w:r>
      <w:r>
        <w:rPr>
          <w:rFonts w:hint="eastAsia" w:ascii="宋体" w:hAnsi="宋体" w:eastAsia="宋体" w:cs="宋体"/>
          <w:b/>
          <w:color w:val="auto"/>
          <w:sz w:val="24"/>
          <w:szCs w:val="24"/>
          <w:highlight w:val="none"/>
        </w:rPr>
        <w:t>般约定</w:t>
      </w:r>
    </w:p>
    <w:p w14:paraId="175B8469">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词语定义</w:t>
      </w:r>
    </w:p>
    <w:p w14:paraId="2F4298C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合同</w:t>
      </w:r>
    </w:p>
    <w:p w14:paraId="6D9BC30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1.1.1.9其他合同文件：</w:t>
      </w:r>
      <w:r>
        <w:rPr>
          <w:rFonts w:hint="eastAsia" w:ascii="宋体" w:hAnsi="宋体" w:eastAsia="宋体" w:cs="宋体"/>
          <w:color w:val="auto"/>
          <w:sz w:val="24"/>
          <w:szCs w:val="24"/>
          <w:highlight w:val="none"/>
          <w:u w:val="single"/>
        </w:rPr>
        <w:t>双方认可的来往传真、电报、会议纪要以及其他构成合同组成部分的文件等。合同文件包括合同当事人就该项合同文件所作出的补充和修改，属于同一类内容的文件，应以最新签署的为准</w:t>
      </w:r>
      <w:r>
        <w:rPr>
          <w:rFonts w:hint="eastAsia" w:ascii="宋体" w:hAnsi="宋体" w:eastAsia="宋体" w:cs="宋体"/>
          <w:color w:val="auto"/>
          <w:sz w:val="24"/>
          <w:szCs w:val="24"/>
          <w:highlight w:val="none"/>
        </w:rPr>
        <w:t>。</w:t>
      </w:r>
    </w:p>
    <w:p w14:paraId="7A5DD60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1.1.3工程和设计</w:t>
      </w:r>
    </w:p>
    <w:p w14:paraId="1D670C9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1.1.3.1工程</w:t>
      </w:r>
    </w:p>
    <w:p w14:paraId="3EB759F9">
      <w:pPr>
        <w:numPr>
          <w:ilvl w:val="0"/>
          <w:numId w:val="0"/>
        </w:numPr>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工程名称：</w:t>
      </w:r>
      <w:r>
        <w:rPr>
          <w:rFonts w:hint="eastAsia" w:ascii="宋体" w:hAnsi="宋体" w:eastAsia="宋体" w:cs="宋体"/>
          <w:color w:val="auto"/>
          <w:sz w:val="24"/>
          <w:szCs w:val="24"/>
          <w:highlight w:val="none"/>
          <w:u w:val="single"/>
          <w:lang w:eastAsia="zh-CN"/>
        </w:rPr>
        <w:t>中国药科大学玄武门校区图书馆改造设计项目</w:t>
      </w:r>
    </w:p>
    <w:p w14:paraId="0950D0ED">
      <w:pPr>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（2）工程地点：</w:t>
      </w:r>
      <w:r>
        <w:rPr>
          <w:rFonts w:hint="eastAsia" w:ascii="宋体" w:hAnsi="宋体" w:eastAsia="宋体" w:cs="宋体"/>
          <w:color w:val="auto"/>
          <w:sz w:val="24"/>
          <w:szCs w:val="24"/>
          <w:highlight w:val="none"/>
          <w:u w:val="single"/>
        </w:rPr>
        <w:t>中国药科大学玄武门校区</w:t>
      </w:r>
    </w:p>
    <w:p w14:paraId="27ACBAD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sz w:val="24"/>
          <w:szCs w:val="24"/>
          <w:highlight w:val="none"/>
        </w:rPr>
        <w:t>（3）项目内</w:t>
      </w:r>
      <w:r>
        <w:rPr>
          <w:rFonts w:hint="eastAsia" w:ascii="宋体" w:hAnsi="宋体" w:eastAsia="宋体" w:cs="宋体"/>
          <w:color w:val="auto"/>
          <w:sz w:val="24"/>
          <w:szCs w:val="24"/>
          <w:highlight w:val="none"/>
          <w:lang w:eastAsia="zh-CN"/>
        </w:rPr>
        <w:t>容：</w:t>
      </w:r>
      <w:r>
        <w:rPr>
          <w:rFonts w:hint="eastAsia" w:ascii="宋体" w:hAnsi="宋体" w:eastAsia="宋体" w:cs="宋体"/>
          <w:color w:val="auto"/>
          <w:sz w:val="24"/>
          <w:szCs w:val="24"/>
          <w:highlight w:val="none"/>
          <w:u w:val="single"/>
          <w:lang w:val="en-US" w:eastAsia="zh-CN"/>
        </w:rPr>
        <w:t>中国药科大学玄武门校区图书馆改造设计项目，总改造面积约6500平方米，工程费约1500万元。</w:t>
      </w:r>
    </w:p>
    <w:p w14:paraId="704325E2">
      <w:pPr>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（4）工程总投资额：</w:t>
      </w:r>
      <w:r>
        <w:rPr>
          <w:rFonts w:hint="eastAsia" w:ascii="宋体" w:hAnsi="宋体" w:eastAsia="宋体" w:cs="宋体"/>
          <w:color w:val="auto"/>
          <w:sz w:val="24"/>
          <w:szCs w:val="24"/>
          <w:highlight w:val="none"/>
          <w:u w:val="single"/>
          <w:lang w:val="en-US" w:eastAsia="zh-CN"/>
        </w:rPr>
        <w:t>1500</w:t>
      </w:r>
      <w:r>
        <w:rPr>
          <w:rFonts w:hint="eastAsia" w:ascii="宋体" w:hAnsi="宋体" w:eastAsia="宋体" w:cs="宋体"/>
          <w:color w:val="auto"/>
          <w:sz w:val="24"/>
          <w:szCs w:val="24"/>
          <w:highlight w:val="none"/>
          <w:u w:val="single"/>
        </w:rPr>
        <w:t>万元</w:t>
      </w:r>
    </w:p>
    <w:p w14:paraId="2983C1B1">
      <w:pPr>
        <w:pStyle w:val="4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u w:val="none"/>
          <w:lang w:val="en-US" w:eastAsia="zh-CN" w:bidi="ar-SA"/>
        </w:rPr>
        <w:t>1.1.3.2设计服务：</w:t>
      </w:r>
      <w:r>
        <w:rPr>
          <w:rFonts w:hint="eastAsia" w:ascii="宋体" w:hAnsi="宋体" w:eastAsia="宋体" w:cs="宋体"/>
          <w:color w:val="auto"/>
          <w:kern w:val="2"/>
          <w:sz w:val="24"/>
          <w:szCs w:val="24"/>
          <w:highlight w:val="none"/>
          <w:u w:val="single"/>
          <w:lang w:val="en-US" w:eastAsia="zh-CN" w:bidi="ar-SA"/>
        </w:rPr>
        <w:t>中国药科大学玄武门校区图书馆改造项目全过程设计包含但不限于方案设计、初步设计、初步设计概算编制、施工图设计、主要材料及设备技术参数的审核、配合施工图审查、承担设计相关的专家评审、设计风险管控、设计答疑、勘察及施工配合(含专项深化设计图)等各项工作。全过程设计包括：各阶段招标配合和施工现场配合服务，施工期间派驻现场设计代表、提供设计交底、解决施工中设计技术问题、设计修改、变更、相关专题报告、各项验收等服务工作。包括但不限于给建筑、结构、给排水、电气、消防、暖通、弱电、智能化、变配电、装饰装修、结构补强、实验室工艺设计等</w:t>
      </w:r>
    </w:p>
    <w:p w14:paraId="6C8AFB1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1.3适用法律</w:t>
      </w:r>
    </w:p>
    <w:p w14:paraId="6E6E6171">
      <w:pPr>
        <w:pStyle w:val="4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kern w:val="2"/>
          <w:sz w:val="24"/>
          <w:szCs w:val="24"/>
          <w:highlight w:val="none"/>
          <w:u w:val="single"/>
          <w:lang w:val="en-US" w:eastAsia="zh-CN" w:bidi="ar-SA"/>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kern w:val="2"/>
          <w:sz w:val="24"/>
          <w:szCs w:val="24"/>
          <w:highlight w:val="none"/>
          <w:u w:val="single"/>
          <w:lang w:val="en-US" w:eastAsia="zh-CN" w:bidi="ar-SA"/>
        </w:rPr>
        <w:t>《中华人民共和国民法典》、《中华人民共和国建筑法》、《建设工程勘察设计管理条例》、《建设工程质量管理条例》、《建筑工程设计文件编制深度的规定》、《城市规划编制办法》、《关于报审建筑工程设计内容及深度的规定》以及国家、行业认可的相关规范条文进行实施。设计人应执行现行有效的国家标准、行业标准、工程所在地的地方性标准，以及相应的规范、规程的要求。</w:t>
      </w:r>
    </w:p>
    <w:p w14:paraId="3DEC219C">
      <w:pPr>
        <w:topLinePunct/>
        <w:spacing w:line="360" w:lineRule="auto"/>
        <w:ind w:firstLine="480" w:firstLineChars="200"/>
        <w:jc w:val="left"/>
        <w:rPr>
          <w:rFonts w:hint="eastAsia" w:ascii="宋体" w:hAnsi="宋体" w:cs="宋体"/>
          <w:color w:val="auto"/>
          <w:sz w:val="24"/>
          <w:szCs w:val="24"/>
          <w:highlight w:val="none"/>
          <w:u w:val="single"/>
        </w:rPr>
      </w:pPr>
      <w:r>
        <w:rPr>
          <w:rFonts w:hint="eastAsia" w:ascii="宋体" w:hAnsi="宋体" w:eastAsia="宋体" w:cs="宋体"/>
          <w:color w:val="auto"/>
          <w:sz w:val="24"/>
          <w:szCs w:val="24"/>
          <w:highlight w:val="none"/>
        </w:rPr>
        <w:t>1.4合同文件的优先顺序：</w:t>
      </w:r>
      <w:r>
        <w:rPr>
          <w:rFonts w:hint="eastAsia" w:ascii="宋体" w:hAnsi="宋体" w:eastAsia="宋体" w:cs="宋体"/>
          <w:color w:val="auto"/>
          <w:kern w:val="2"/>
          <w:sz w:val="24"/>
          <w:szCs w:val="24"/>
          <w:highlight w:val="none"/>
          <w:u w:val="single"/>
          <w:lang w:val="en-US" w:eastAsia="zh-CN" w:bidi="ar-SA"/>
        </w:rPr>
        <w:t>（1）合同协议书；（2）中标通知书；（3）投标函及投标函附录；（4）专用合同条款；（5）通用合同条款；（6）发包人要求；（7）设计费用清单；（8）设计方案；（9）其他合同文件。上述均视为本合同的组成部分。上述文件应认为是互为补充和解释的，但如有歧义或互相矛盾之处，以上面所列顺序在前的为准。</w:t>
      </w:r>
    </w:p>
    <w:p w14:paraId="6518A349">
      <w:pPr>
        <w:topLinePunct/>
        <w:spacing w:line="360" w:lineRule="auto"/>
        <w:ind w:firstLine="480" w:firstLineChars="200"/>
        <w:jc w:val="left"/>
        <w:rPr>
          <w:rFonts w:hint="eastAsia" w:ascii="宋体" w:hAnsi="宋体" w:eastAsia="宋体" w:cs="宋体"/>
          <w:snapToGrid w:val="0"/>
          <w:color w:val="auto"/>
          <w:sz w:val="24"/>
          <w:szCs w:val="24"/>
          <w:highlight w:val="none"/>
        </w:rPr>
      </w:pPr>
      <w:r>
        <w:rPr>
          <w:rFonts w:hint="eastAsia" w:ascii="宋体" w:hAnsi="宋体" w:eastAsia="宋体" w:cs="宋体"/>
          <w:color w:val="auto"/>
          <w:sz w:val="24"/>
          <w:szCs w:val="24"/>
          <w:highlight w:val="none"/>
        </w:rPr>
        <w:t>1.6</w:t>
      </w:r>
      <w:r>
        <w:rPr>
          <w:rFonts w:hint="eastAsia" w:ascii="宋体" w:hAnsi="宋体" w:eastAsia="宋体" w:cs="宋体"/>
          <w:snapToGrid w:val="0"/>
          <w:color w:val="auto"/>
          <w:sz w:val="24"/>
          <w:szCs w:val="24"/>
          <w:highlight w:val="none"/>
        </w:rPr>
        <w:t>文件的提供和照管</w:t>
      </w:r>
    </w:p>
    <w:p w14:paraId="00433E0F">
      <w:pPr>
        <w:topLinePunct/>
        <w:spacing w:line="360" w:lineRule="auto"/>
        <w:ind w:firstLine="480" w:firstLineChars="200"/>
        <w:jc w:val="lef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1.6.1 设计文件的提供：</w:t>
      </w:r>
    </w:p>
    <w:p w14:paraId="374B6F41">
      <w:pPr>
        <w:topLinePunct/>
        <w:spacing w:line="360" w:lineRule="auto"/>
        <w:ind w:firstLine="480" w:firstLineChars="200"/>
        <w:jc w:val="left"/>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（1）设计交付时间要求：</w:t>
      </w:r>
    </w:p>
    <w:p w14:paraId="355D8CDF">
      <w:pPr>
        <w:pStyle w:val="45"/>
        <w:keepNext w:val="0"/>
        <w:keepLines w:val="0"/>
        <w:pageBreakBefore w:val="0"/>
        <w:widowControl w:val="0"/>
        <w:kinsoku/>
        <w:wordWrap/>
        <w:overflowPunct/>
        <w:autoSpaceDE/>
        <w:autoSpaceDN/>
        <w:bidi w:val="0"/>
        <w:adjustRightInd/>
        <w:snapToGrid/>
        <w:spacing w:line="30" w:lineRule="atLeast"/>
        <w:ind w:left="479" w:leftChars="228" w:firstLine="0" w:firstLineChars="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kern w:val="2"/>
          <w:sz w:val="24"/>
          <w:szCs w:val="24"/>
          <w:highlight w:val="none"/>
          <w:lang w:val="en-US" w:eastAsia="zh-CN" w:bidi="ar-SA"/>
        </w:rPr>
        <w:t>项目工期满足发包人要求，设计文件提交时间按照下述约定：设计周期为</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日历天。设计提交成果，需求确定后</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日历天内提交方案设计文件，方案确定后</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日历天内提交初步设计文件（含概算），初步设计文件确定后</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日历天内提交全套施工图纸。</w:t>
      </w:r>
    </w:p>
    <w:p w14:paraId="175A3C7A">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2）及时完成各项审批手续办理。</w:t>
      </w:r>
    </w:p>
    <w:p w14:paraId="2596BB9B">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3）工程设计审查形式及时间安排：根据发包人实际及政府有关部门要求确定。</w:t>
      </w:r>
    </w:p>
    <w:p w14:paraId="511EB945">
      <w:pPr>
        <w:pStyle w:val="46"/>
        <w:keepNext w:val="0"/>
        <w:keepLines w:val="0"/>
        <w:pageBreakBefore w:val="0"/>
        <w:widowControl w:val="0"/>
        <w:kinsoku/>
        <w:wordWrap/>
        <w:overflowPunct/>
        <w:topLinePunct/>
        <w:autoSpaceDE/>
        <w:autoSpaceDN/>
        <w:bidi w:val="0"/>
        <w:adjustRightInd/>
        <w:snapToGrid/>
        <w:spacing w:line="30" w:lineRule="atLeast"/>
        <w:jc w:val="left"/>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rPr>
        <w:t>4）</w:t>
      </w:r>
      <w:r>
        <w:rPr>
          <w:rFonts w:hint="eastAsia" w:ascii="宋体" w:hAnsi="宋体" w:eastAsia="宋体" w:cs="宋体"/>
          <w:color w:val="auto"/>
          <w:sz w:val="24"/>
          <w:szCs w:val="24"/>
          <w:highlight w:val="none"/>
        </w:rPr>
        <w:t>发包人对设计人的设计文件审查期限不超过</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天</w:t>
      </w:r>
    </w:p>
    <w:p w14:paraId="35CF893E">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5）发包人应在审查同意设计人的工程设计文件后在</w:t>
      </w:r>
      <w:r>
        <w:rPr>
          <w:rFonts w:hint="eastAsia" w:ascii="宋体" w:hAnsi="宋体" w:eastAsia="宋体" w:cs="宋体"/>
          <w:color w:val="auto"/>
          <w:sz w:val="24"/>
          <w:szCs w:val="24"/>
          <w:highlight w:val="none"/>
          <w:u w:val="single"/>
        </w:rPr>
        <w:t xml:space="preserve"> 15 </w:t>
      </w:r>
      <w:r>
        <w:rPr>
          <w:rFonts w:hint="eastAsia" w:ascii="宋体" w:hAnsi="宋体" w:eastAsia="宋体" w:cs="宋体"/>
          <w:color w:val="auto"/>
          <w:sz w:val="24"/>
          <w:szCs w:val="24"/>
          <w:highlight w:val="none"/>
        </w:rPr>
        <w:t>天内，向政府有关部门报送工程设计文件。</w:t>
      </w:r>
    </w:p>
    <w:p w14:paraId="6A999DF5">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（2）图中尺寸应以公制单位标注。</w:t>
      </w:r>
    </w:p>
    <w:p w14:paraId="373A8108">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（3）设计中间交流及设计成果中提交图纸的所有文字均应为中文简体。</w:t>
      </w:r>
    </w:p>
    <w:p w14:paraId="2DAB3257">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（4）成果文件：方案设计文件</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套；初步设计文件（含概算）</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套；全套施工图纸</w:t>
      </w:r>
      <w:r>
        <w:rPr>
          <w:rFonts w:hint="eastAsia" w:ascii="宋体" w:hAnsi="宋体" w:eastAsia="宋体" w:cs="宋体"/>
          <w:color w:val="auto"/>
          <w:sz w:val="24"/>
          <w:szCs w:val="24"/>
          <w:highlight w:val="none"/>
          <w:lang w:val="en-US" w:eastAsia="zh-CN"/>
        </w:rPr>
        <w:t>12</w:t>
      </w:r>
      <w:r>
        <w:rPr>
          <w:rFonts w:hint="eastAsia" w:ascii="宋体" w:hAnsi="宋体" w:eastAsia="宋体" w:cs="宋体"/>
          <w:color w:val="auto"/>
          <w:sz w:val="24"/>
          <w:szCs w:val="24"/>
          <w:highlight w:val="none"/>
        </w:rPr>
        <w:t>套，同时提交全套设计文件电子文档，以U盘形式递交 。</w:t>
      </w:r>
    </w:p>
    <w:p w14:paraId="215F6A27">
      <w:pPr>
        <w:pStyle w:val="45"/>
        <w:keepNext w:val="0"/>
        <w:keepLines w:val="0"/>
        <w:pageBreakBefore w:val="0"/>
        <w:widowControl w:val="0"/>
        <w:kinsoku/>
        <w:wordWrap/>
        <w:overflowPunct/>
        <w:autoSpaceDE/>
        <w:autoSpaceDN/>
        <w:bidi w:val="0"/>
        <w:adjustRightInd/>
        <w:snapToGrid/>
        <w:spacing w:line="30" w:lineRule="atLeast"/>
        <w:textAlignment w:val="auto"/>
        <w:rPr>
          <w:rFonts w:hint="eastAsia" w:ascii="宋体" w:hAnsi="宋体" w:eastAsia="宋体" w:cs="宋体"/>
          <w:color w:val="auto"/>
          <w:sz w:val="24"/>
          <w:szCs w:val="24"/>
          <w:highlight w:val="none"/>
        </w:rPr>
      </w:pPr>
    </w:p>
    <w:p w14:paraId="50AEE720">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 联络</w:t>
      </w:r>
    </w:p>
    <w:p w14:paraId="582AFD5E">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 发包人和设计人应当在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天内将与合同有关的通知、批准、证明、证书、指示、要求、请求、同意、意见、确定和决定等书面函件送达对方当事人。</w:t>
      </w:r>
    </w:p>
    <w:p w14:paraId="6223E2DC">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发包人接收文件的地点：</w:t>
      </w:r>
      <w:r>
        <w:rPr>
          <w:rFonts w:hint="eastAsia" w:ascii="宋体" w:hAnsi="宋体" w:eastAsia="宋体" w:cs="宋体"/>
          <w:color w:val="auto"/>
          <w:sz w:val="24"/>
          <w:szCs w:val="24"/>
          <w:highlight w:val="none"/>
          <w:u w:val="single"/>
        </w:rPr>
        <w:t xml:space="preserve"> 江苏省南京市江宁区龙眠大道639号      </w:t>
      </w:r>
      <w:r>
        <w:rPr>
          <w:rFonts w:hint="eastAsia" w:ascii="宋体" w:hAnsi="宋体" w:eastAsia="宋体" w:cs="宋体"/>
          <w:color w:val="auto"/>
          <w:sz w:val="24"/>
          <w:szCs w:val="24"/>
          <w:highlight w:val="none"/>
        </w:rPr>
        <w:t>；</w:t>
      </w:r>
    </w:p>
    <w:p w14:paraId="3225FCE6">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54E1148">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发包人指定的联系电话及传真号码：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3CCEBB">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发包人指定的电子邮箱：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9D134A2">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A6DE6A">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6D0610E">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设计人指定的联系电话及传真号码：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6DDF0B">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设计人指定的电子邮箱：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80CA4A3">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知识产权</w:t>
      </w:r>
    </w:p>
    <w:p w14:paraId="60F00250">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 知识产权</w:t>
      </w:r>
    </w:p>
    <w:p w14:paraId="2586EE30">
      <w:pPr>
        <w:pStyle w:val="4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1.10.1关于设计人为实施工程所编制文件的著作权的归属： </w:t>
      </w:r>
      <w:r>
        <w:rPr>
          <w:rFonts w:hint="eastAsia" w:ascii="宋体" w:hAnsi="宋体" w:eastAsia="宋体" w:cs="宋体"/>
          <w:color w:val="auto"/>
          <w:sz w:val="24"/>
          <w:szCs w:val="24"/>
          <w:highlight w:val="none"/>
          <w:u w:val="single"/>
        </w:rPr>
        <w:t xml:space="preserve"> 发包人  </w:t>
      </w:r>
      <w:r>
        <w:rPr>
          <w:rFonts w:hint="eastAsia" w:ascii="宋体" w:hAnsi="宋体" w:eastAsia="宋体" w:cs="宋体"/>
          <w:color w:val="auto"/>
          <w:sz w:val="24"/>
          <w:szCs w:val="24"/>
          <w:highlight w:val="none"/>
        </w:rPr>
        <w:t>。</w:t>
      </w:r>
    </w:p>
    <w:p w14:paraId="65A17CFD">
      <w:pPr>
        <w:pStyle w:val="4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关于设计人提供的上述文件的使用限制的要求：</w:t>
      </w:r>
      <w:r>
        <w:rPr>
          <w:rFonts w:hint="eastAsia" w:ascii="宋体" w:hAnsi="宋体" w:eastAsia="宋体" w:cs="宋体"/>
          <w:color w:val="auto"/>
          <w:kern w:val="2"/>
          <w:sz w:val="24"/>
          <w:szCs w:val="24"/>
          <w:highlight w:val="none"/>
          <w:u w:val="single"/>
          <w:lang w:val="en-US" w:eastAsia="zh-CN" w:bidi="ar-SA"/>
        </w:rPr>
        <w:t>在发包人完成付款义务后，方可取得著作权。在本合同履行期间，发包人有权因需要而使用设计人的名称和标志，包括但不限于通过报纸、杂志、广告以及网络媒体等，也无需得到设计人的事先同意。</w:t>
      </w:r>
    </w:p>
    <w:p w14:paraId="3555723F">
      <w:pPr>
        <w:pStyle w:val="45"/>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1.10.3设计人在设计过程中所采用的专利、专有技术的使用费的承担方式：</w:t>
      </w:r>
      <w:r>
        <w:rPr>
          <w:rFonts w:hint="eastAsia" w:ascii="宋体" w:hAnsi="宋体" w:eastAsia="宋体" w:cs="宋体"/>
          <w:color w:val="auto"/>
          <w:sz w:val="24"/>
          <w:szCs w:val="24"/>
          <w:highlight w:val="none"/>
          <w:u w:val="single"/>
        </w:rPr>
        <w:t>由设计人承担</w:t>
      </w:r>
    </w:p>
    <w:p w14:paraId="1493480A">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1.10.4 无论在本合同有效期内或合同期后，设计人均应保证其设计工作成果未侵犯他人知识产权，并对设计人及其工作人员侵犯他人知识产权的行为承担全部法律责任以及由此给发包人造成的一切损失。</w:t>
      </w:r>
    </w:p>
    <w:p w14:paraId="6B328ABE">
      <w:pPr>
        <w:pStyle w:val="46"/>
        <w:keepNext w:val="0"/>
        <w:keepLines w:val="0"/>
        <w:pageBreakBefore w:val="0"/>
        <w:widowControl w:val="0"/>
        <w:kinsoku/>
        <w:wordWrap/>
        <w:overflowPunct/>
        <w:topLinePunct w:val="0"/>
        <w:autoSpaceDE/>
        <w:autoSpaceDN/>
        <w:bidi w:val="0"/>
        <w:adjustRightInd/>
        <w:snapToGrid/>
        <w:spacing w:line="3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1.10.5 设计人如需引用、使用本项目的设计工作成果，须事先以书面形式通知发包人，并征得发包人书面同意，否则由此引起的一切法律后果由设计人承担。</w:t>
      </w:r>
    </w:p>
    <w:p w14:paraId="7B2D6379">
      <w:pPr>
        <w:pStyle w:val="46"/>
        <w:keepNext w:val="0"/>
        <w:keepLines w:val="0"/>
        <w:pageBreakBefore w:val="0"/>
        <w:widowControl w:val="0"/>
        <w:kinsoku/>
        <w:wordWrap/>
        <w:overflowPunct/>
        <w:topLinePunct w:val="0"/>
        <w:autoSpaceDE/>
        <w:autoSpaceDN/>
        <w:bidi w:val="0"/>
        <w:adjustRightInd/>
        <w:snapToGrid/>
        <w:spacing w:line="30" w:lineRule="atLeas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文件及信息的保密</w:t>
      </w:r>
    </w:p>
    <w:p w14:paraId="70C2DAA0">
      <w:pPr>
        <w:pStyle w:val="45"/>
        <w:keepNext w:val="0"/>
        <w:keepLines w:val="0"/>
        <w:pageBreakBefore w:val="0"/>
        <w:widowControl w:val="0"/>
        <w:kinsoku/>
        <w:wordWrap/>
        <w:overflowPunct/>
        <w:topLinePunct w:val="0"/>
        <w:autoSpaceDE/>
        <w:autoSpaceDN/>
        <w:bidi w:val="0"/>
        <w:adjustRightInd/>
        <w:snapToGrid/>
        <w:spacing w:line="30" w:lineRule="atLeas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1.11.1保密期限：</w:t>
      </w:r>
      <w:r>
        <w:rPr>
          <w:rFonts w:hint="eastAsia" w:ascii="宋体" w:hAnsi="宋体" w:eastAsia="宋体" w:cs="宋体"/>
          <w:color w:val="auto"/>
          <w:kern w:val="2"/>
          <w:sz w:val="24"/>
          <w:szCs w:val="24"/>
          <w:highlight w:val="none"/>
          <w:u w:val="single"/>
          <w:lang w:val="en-US" w:eastAsia="zh-CN" w:bidi="ar-SA"/>
        </w:rPr>
        <w:t>双方均应保护对方的知识产权，未经对方同意，任何一方均不得对对方的资料及文件擅自修改、复制或向第三人转让或用于本合同项目外的项目。如发生以上情况，泄密方承担一切由此引起的后果并承担赔偿责任，同时，发包人将向设计人追偿本项目合同总价的20%作为违约金。</w:t>
      </w:r>
    </w:p>
    <w:p w14:paraId="30B3C086">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1.11.2 在本项目实施过程中，由发包人提供或由设计人通过工作渠道获得的发包人的资料和数据等，仅限于设计人在本项目的服务中使用。设计人及其工作人员无论是在服务期间或服务结束后均不得以任何形式(包括但不限于：Email、网络传阅等)向有潜在可能参与本项目所涉工程建设项目实施的任何第三方泄露上述资料和数据；未经发包人同意，也不得引用或发表上述资料和数据，否则设计人须承担由此引起的一切法律后果，同时发包人将向设计人追偿本项目合同总价的20%作为违约金。</w:t>
      </w:r>
    </w:p>
    <w:p w14:paraId="7D166287">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1.11.4 设计人如发现有泄密事件，应尽快通知发包人，并协助发包人做好调查和处理工作，以减少损失。</w:t>
      </w:r>
    </w:p>
    <w:p w14:paraId="2B1F599D">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2.发包人义务</w:t>
      </w:r>
    </w:p>
    <w:p w14:paraId="6916EF62">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2.6发包人应履行的其他义务：</w:t>
      </w:r>
    </w:p>
    <w:p w14:paraId="4A49E997">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2.6.1发包人在收到工程设计进度计划后确认或提出修改意见的期限：</w:t>
      </w:r>
      <w:r>
        <w:rPr>
          <w:rFonts w:hint="eastAsia" w:ascii="宋体" w:hAnsi="宋体" w:eastAsia="宋体" w:cs="宋体"/>
          <w:color w:val="auto"/>
          <w:sz w:val="24"/>
          <w:szCs w:val="24"/>
          <w:highlight w:val="none"/>
          <w:u w:val="single"/>
        </w:rPr>
        <w:t>5日内</w:t>
      </w:r>
      <w:r>
        <w:rPr>
          <w:rFonts w:hint="eastAsia" w:ascii="宋体" w:hAnsi="宋体" w:eastAsia="宋体" w:cs="宋体"/>
          <w:color w:val="auto"/>
          <w:sz w:val="24"/>
          <w:szCs w:val="24"/>
          <w:highlight w:val="none"/>
        </w:rPr>
        <w:t>。</w:t>
      </w:r>
    </w:p>
    <w:p w14:paraId="4494F201">
      <w:pPr>
        <w:pStyle w:val="46"/>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2.6.2</w:t>
      </w:r>
      <w:r>
        <w:rPr>
          <w:rFonts w:hint="eastAsia" w:ascii="宋体" w:hAnsi="宋体" w:eastAsia="宋体" w:cs="宋体"/>
          <w:color w:val="auto"/>
          <w:kern w:val="2"/>
          <w:sz w:val="24"/>
          <w:szCs w:val="24"/>
          <w:highlight w:val="none"/>
          <w:lang w:val="en-US" w:eastAsia="zh-CN" w:bidi="ar-SA"/>
        </w:rPr>
        <w:t>发包人应在设计人提交包括但不限于阶段性设计成果等设计文件后7 个工作日内组织审核，审核意见须由发包人代表及其部门负责人审签后按程序报批。</w:t>
      </w:r>
    </w:p>
    <w:p w14:paraId="14FD26E0">
      <w:pPr>
        <w:pStyle w:val="46"/>
        <w:spacing w:line="360" w:lineRule="auto"/>
        <w:ind w:firstLine="480" w:firstLineChars="20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3.发包人管理</w:t>
      </w:r>
    </w:p>
    <w:p w14:paraId="233B562C">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3.1发包人代表</w:t>
      </w:r>
    </w:p>
    <w:p w14:paraId="45066C01">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3.1.1.1</w:t>
      </w:r>
      <w:r>
        <w:rPr>
          <w:rFonts w:hint="eastAsia" w:ascii="宋体" w:hAnsi="宋体" w:eastAsia="宋体" w:cs="宋体"/>
          <w:color w:val="auto"/>
          <w:sz w:val="24"/>
          <w:szCs w:val="24"/>
          <w:highlight w:val="none"/>
        </w:rPr>
        <w:t>发包人代表：</w:t>
      </w:r>
    </w:p>
    <w:p w14:paraId="41AF131C">
      <w:pPr>
        <w:pStyle w:val="46"/>
        <w:spacing w:line="360" w:lineRule="auto"/>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lang w:val="en-US" w:eastAsia="zh-CN"/>
        </w:rPr>
        <w:t xml:space="preserve">               </w:t>
      </w:r>
    </w:p>
    <w:p w14:paraId="106ED7FE">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14:paraId="7E016038">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p w14:paraId="6DCF76FF">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通信地址：/</w:t>
      </w:r>
    </w:p>
    <w:p w14:paraId="4535573E">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3.1.1.2 发包人对发包人代表的授权范围如下：</w:t>
      </w:r>
      <w:bookmarkStart w:id="25" w:name="EB1172d8305abe48d5bfc5760b822c5fd9"/>
      <w:r>
        <w:rPr>
          <w:rFonts w:hint="eastAsia" w:ascii="宋体" w:hAnsi="宋体" w:eastAsia="宋体" w:cs="宋体"/>
          <w:color w:val="auto"/>
          <w:sz w:val="24"/>
          <w:szCs w:val="24"/>
          <w:highlight w:val="none"/>
        </w:rPr>
        <w:t>负责处理合同履行过程中与发包人有关的具体事宜，发包人代表在授权范围内的行为由发包人承担法律责任。</w:t>
      </w:r>
      <w:bookmarkEnd w:id="25"/>
    </w:p>
    <w:p w14:paraId="20081F6D">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3.1.1.3发包人更换发包人代表的，应当提前</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天书面通知设计人。</w:t>
      </w:r>
    </w:p>
    <w:p w14:paraId="64B38FB2">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决定或答复</w:t>
      </w:r>
    </w:p>
    <w:p w14:paraId="571DAC26">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3.4.2 发包人对设计人书面提出的事项作出书面答复的时间：收到设计人书面提出的事项后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日历天内。</w:t>
      </w:r>
    </w:p>
    <w:p w14:paraId="30D247FA">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4.设计人义务</w:t>
      </w:r>
    </w:p>
    <w:p w14:paraId="4C545BD8">
      <w:pPr>
        <w:pStyle w:val="46"/>
        <w:spacing w:line="360" w:lineRule="auto"/>
        <w:ind w:firstLine="480" w:firstLineChars="200"/>
        <w:jc w:val="left"/>
        <w:rPr>
          <w:rFonts w:hint="eastAsia" w:ascii="宋体" w:hAnsi="宋体" w:eastAsia="宋体" w:cs="宋体"/>
          <w:b/>
          <w:i/>
          <w:iCs/>
          <w:color w:val="auto"/>
          <w:sz w:val="24"/>
          <w:szCs w:val="24"/>
          <w:highlight w:val="none"/>
        </w:rPr>
      </w:pPr>
      <w:r>
        <w:rPr>
          <w:rFonts w:hint="eastAsia" w:ascii="宋体" w:hAnsi="宋体" w:eastAsia="宋体" w:cs="宋体"/>
          <w:bCs/>
          <w:color w:val="auto"/>
          <w:sz w:val="24"/>
          <w:szCs w:val="24"/>
          <w:highlight w:val="none"/>
        </w:rPr>
        <w:t>4.1.4其他义务</w:t>
      </w:r>
    </w:p>
    <w:p w14:paraId="136A1E88">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（1）设计人应按国家规定技术规范、标准、规程及发包人提出的设计要求，进行工程设计，按合同规定的进度要求提交质量合格的设计资料，并对其负责， 设计人在方案设计中综合考虑施工现场平面布置的可行性，否则，引起的重新设计及相关损失由设计人承担。</w:t>
      </w:r>
    </w:p>
    <w:p w14:paraId="3911F6CB">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（2）设计人在开工前委派设计负责人，处理并协调甲乙两方在图纸设计中发生的有关事宜。如无充分理由设计负责人不得中途更换，确需更换的须征得发包人同意。</w:t>
      </w:r>
    </w:p>
    <w:p w14:paraId="3990CDEF">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（3）设计人项目设计部组成人员结构应合理、稳定，主要技术骨干工作能力应足以胜任设计工作。项目设计部组成人员名单见附件</w:t>
      </w:r>
      <w:r>
        <w:rPr>
          <w:rFonts w:hint="eastAsia" w:ascii="宋体" w:hAnsi="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w:t>
      </w:r>
    </w:p>
    <w:p w14:paraId="2CFE6553">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w:t>
      </w:r>
      <w:r>
        <w:rPr>
          <w:rFonts w:hint="eastAsia" w:ascii="宋体" w:hAnsi="宋体" w:eastAsia="宋体" w:cs="宋体"/>
          <w:color w:val="auto"/>
          <w:sz w:val="24"/>
          <w:szCs w:val="24"/>
          <w:highlight w:val="none"/>
          <w:u w:val="single"/>
          <w:lang w:val="en-US" w:eastAsia="zh-CN"/>
        </w:rPr>
        <w:t xml:space="preserve">设计人对设计资料及文件出现的遗漏或错误负责修改或补充。由于设计人错误造成工程质量事故损失，设计人除负责 采取补救措施外，应免收直接受损失部分的设计费并赔偿相应事故损失，损失赔偿金的上限为发包人的直接经济损失或设计费的 </w:t>
      </w:r>
      <w:r>
        <w:rPr>
          <w:rFonts w:hint="default" w:ascii="宋体" w:hAnsi="宋体" w:eastAsia="宋体" w:cs="宋体"/>
          <w:color w:val="auto"/>
          <w:sz w:val="24"/>
          <w:szCs w:val="24"/>
          <w:highlight w:val="none"/>
          <w:u w:val="single"/>
          <w:lang w:val="en-US" w:eastAsia="zh-CN"/>
        </w:rPr>
        <w:t>100%</w:t>
      </w:r>
      <w:r>
        <w:rPr>
          <w:rFonts w:hint="eastAsia" w:ascii="宋体" w:hAnsi="宋体" w:eastAsia="宋体" w:cs="宋体"/>
          <w:color w:val="auto"/>
          <w:sz w:val="24"/>
          <w:szCs w:val="24"/>
          <w:highlight w:val="none"/>
          <w:u w:val="single"/>
          <w:lang w:val="en-US" w:eastAsia="zh-CN"/>
        </w:rPr>
        <w:t>（以二者较高者为准）。</w:t>
      </w:r>
    </w:p>
    <w:p w14:paraId="418C1E33">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设计人应严格控制设计概算，并通过设计概算控制工程造价。设计人在设计过程中对材料、设备、小品等的选择必须贯彻概算控制原则。除非由于发包人调整材料、设备、小品的档次，或施工方投标时材料、设备、植物大幅涨价。由于设计人设计文件出现遗漏，导致工程造价偏差金额较大，设计人除负责补充完善设计图纸外，应免收遗漏部分的设计费，并需及时提出相应金额的优化建议。设计变更、图纸调试、工程总投资额调整等均含在报价内，合同总价不予以调整。</w:t>
      </w:r>
      <w:r>
        <w:rPr>
          <w:rFonts w:hint="eastAsia" w:ascii="宋体" w:hAnsi="宋体" w:cs="宋体"/>
          <w:color w:val="auto"/>
          <w:sz w:val="24"/>
          <w:szCs w:val="24"/>
          <w:highlight w:val="none"/>
          <w:u w:val="single"/>
          <w:lang w:eastAsia="zh-CN"/>
        </w:rPr>
        <w:t>发包人</w:t>
      </w:r>
      <w:r>
        <w:rPr>
          <w:rFonts w:hint="eastAsia" w:ascii="宋体" w:hAnsi="宋体" w:eastAsia="宋体" w:cs="宋体"/>
          <w:color w:val="auto"/>
          <w:sz w:val="24"/>
          <w:szCs w:val="24"/>
          <w:highlight w:val="none"/>
          <w:u w:val="single"/>
        </w:rPr>
        <w:t>提出的方案变更（工程同一部分重复设计）的部分，按变更部分工程（变更后图纸与图审版本）控制价差（单价统一采用施工招标控制价的单价，造价事务所出具的）为取费依据，按规定计取变更设计费，根据设计投标报价同比例下浮。</w:t>
      </w:r>
    </w:p>
    <w:p w14:paraId="1B88848D">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（6）设计人应完成相应阶段向建设行政主管部门进行申报以及全过程设计等各项工作，设计人负责组织完成当地政府相关主管部门对本项目的审核、审批手续办理（包括但不限于规划许可证（含市政）、</w:t>
      </w:r>
      <w:r>
        <w:rPr>
          <w:rFonts w:hint="eastAsia" w:ascii="宋体" w:hAnsi="宋体" w:cs="宋体"/>
          <w:color w:val="auto"/>
          <w:sz w:val="24"/>
          <w:szCs w:val="24"/>
          <w:highlight w:val="none"/>
          <w:u w:val="single"/>
          <w:lang w:val="en-US" w:eastAsia="zh-CN"/>
        </w:rPr>
        <w:t>动管办、</w:t>
      </w:r>
      <w:r>
        <w:rPr>
          <w:rFonts w:hint="eastAsia" w:ascii="宋体" w:hAnsi="宋体" w:eastAsia="宋体" w:cs="宋体"/>
          <w:color w:val="auto"/>
          <w:sz w:val="24"/>
          <w:szCs w:val="24"/>
          <w:highlight w:val="none"/>
          <w:u w:val="single"/>
        </w:rPr>
        <w:t>消防、节能、环保、人防、防雷、海绵城市、园林城市、绿建、通讯、装配式</w:t>
      </w:r>
      <w:r>
        <w:rPr>
          <w:rFonts w:hint="eastAsia" w:ascii="宋体" w:hAnsi="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施工图等），并承担组织费及专家论证费。</w:t>
      </w:r>
    </w:p>
    <w:p w14:paraId="7C6249C6">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（7）合同生效后，设计人要求终止或解除合同，设计人应返还发包人已支付的设计费，并按合同总价的20%向发包人支付违约金，以及承担发包人相关损失。</w:t>
      </w:r>
    </w:p>
    <w:p w14:paraId="17B507E7">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（8）设计人按合同规定时限交付设计文件，负责向发包人及施工单位进行设计交底、处理有关设计问题和参加竣工验收。</w:t>
      </w:r>
    </w:p>
    <w:p w14:paraId="7276033D">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9）设计人必须及时处理设计问题，处理时间原则上应不超过24小时；设计人必须做好现场服务工作，按约定要求派驻现场设计配合人员。设计人如超过发包人规定时间不处理的，发包人有权找寻第三方处理，由此产生的费用由设计人承担。</w:t>
      </w:r>
    </w:p>
    <w:p w14:paraId="79A534D0">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（10）设计人应当严格执行限额设计，按发包人的要求落实投资控制目标。</w:t>
      </w:r>
    </w:p>
    <w:p w14:paraId="7892CA6C">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（11）设计人进行设计修改必须经过发包人同意，并负责通知监理工程师、施工单位。</w:t>
      </w:r>
    </w:p>
    <w:p w14:paraId="06BE91D3">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（12）设计人必须按照发包人工程进度和要求，配合施工图设计单位出具施工图纸并答复和解决协议范围内由发包人提出的技术问题。保证及时、高效地处理施工中出现的设计问题。</w:t>
      </w:r>
    </w:p>
    <w:p w14:paraId="27C1E9E3">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（13）设计人应保护发包人的知识产权，不得向第三人泄露、转让发包人提交的产品图纸等技术经济资料。如发生以上情况并给发包人造成经济损失，发包人有权向设计人索赔。</w:t>
      </w:r>
    </w:p>
    <w:p w14:paraId="7A82C4EF">
      <w:pPr>
        <w:pStyle w:val="66"/>
        <w:spacing w:before="0"/>
        <w:ind w:firstLine="48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（14）设计人必须服从发包人的管理及安排，不得将工程转包第三方，若有专业分包，应与其它专业分包方密切配合，不得互相推诿，影响正常施工。否则发包人有权终止合同，一切损失由设计人负责。</w:t>
      </w:r>
    </w:p>
    <w:p w14:paraId="131F9DB4">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4.2履约保证金</w:t>
      </w:r>
    </w:p>
    <w:p w14:paraId="52186DC9">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4.2.1设计人是否提供履约担保：</w:t>
      </w:r>
      <w:r>
        <w:rPr>
          <w:rFonts w:hint="eastAsia" w:ascii="宋体" w:hAnsi="宋体" w:eastAsia="宋体" w:cs="宋体"/>
          <w:color w:val="auto"/>
          <w:sz w:val="24"/>
          <w:szCs w:val="24"/>
          <w:highlight w:val="none"/>
          <w:u w:val="single"/>
        </w:rPr>
        <w:t>是</w:t>
      </w:r>
    </w:p>
    <w:p w14:paraId="50C515AD">
      <w:pPr>
        <w:pStyle w:val="46"/>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4.2.2设计人提供履约担保的形式、金额及期限：</w:t>
      </w:r>
      <w:r>
        <w:rPr>
          <w:rFonts w:hint="eastAsia" w:ascii="宋体" w:hAnsi="宋体" w:eastAsia="宋体" w:cs="宋体"/>
          <w:color w:val="auto"/>
          <w:sz w:val="24"/>
          <w:szCs w:val="24"/>
          <w:highlight w:val="none"/>
          <w:u w:val="single"/>
        </w:rPr>
        <w:t>履约担保的方式：银行本票、转账支票、银行汇票、电汇、银行保函；履约担保的金额：中标价的</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rPr>
        <w:t>%，到期后无息退还，设计人应当在合同签订前向发包人足额提交履约担保，否则发包人可以取消其中标资格。</w:t>
      </w:r>
    </w:p>
    <w:p w14:paraId="713A9AC9">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4.3分包和不得转包</w:t>
      </w:r>
    </w:p>
    <w:p w14:paraId="5B9BCCFF">
      <w:pPr>
        <w:widowControl w:val="0"/>
        <w:numPr>
          <w:ilvl w:val="0"/>
          <w:numId w:val="0"/>
        </w:numPr>
        <w:ind w:firstLine="480" w:firstLineChars="200"/>
        <w:jc w:val="both"/>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sz w:val="24"/>
          <w:szCs w:val="24"/>
          <w:highlight w:val="none"/>
        </w:rPr>
        <w:t>4.3.2.1禁止设计分包的工程包括：</w:t>
      </w:r>
      <w:r>
        <w:rPr>
          <w:rFonts w:hint="eastAsia" w:ascii="宋体" w:hAnsi="宋体" w:eastAsia="宋体" w:cs="宋体"/>
          <w:color w:val="auto"/>
          <w:kern w:val="2"/>
          <w:sz w:val="24"/>
          <w:szCs w:val="24"/>
          <w:highlight w:val="none"/>
          <w:u w:val="single"/>
          <w:lang w:val="en-US" w:eastAsia="zh-CN" w:bidi="ar-SA"/>
        </w:rPr>
        <w:t>主体和关键性设计工作不允许分包，非主体、非关键性工作分包须经发包人书面同意。</w:t>
      </w:r>
    </w:p>
    <w:p w14:paraId="5B4D311F">
      <w:pPr>
        <w:pStyle w:val="45"/>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4.3.2.2主体结构、关键性工作的范围：</w:t>
      </w:r>
      <w:r>
        <w:rPr>
          <w:rFonts w:hint="eastAsia" w:ascii="宋体" w:hAnsi="宋体" w:eastAsia="宋体" w:cs="宋体"/>
          <w:color w:val="auto"/>
          <w:sz w:val="24"/>
          <w:szCs w:val="24"/>
          <w:highlight w:val="none"/>
          <w:u w:val="single"/>
        </w:rPr>
        <w:t>以现行法律法规及规范为准。</w:t>
      </w:r>
    </w:p>
    <w:p w14:paraId="72EFE592">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4.5项目负责人</w:t>
      </w:r>
    </w:p>
    <w:p w14:paraId="78507DAA">
      <w:pPr>
        <w:pStyle w:val="4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4.5.1.1项目负责人</w:t>
      </w:r>
    </w:p>
    <w:p w14:paraId="5FBF3CCC">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065BC69">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执业资格及等级：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F3EB167">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CBDFA0C">
      <w:pPr>
        <w:pStyle w:val="45"/>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联系电话：           ；</w:t>
      </w:r>
    </w:p>
    <w:p w14:paraId="5DD82569">
      <w:pPr>
        <w:pStyle w:val="45"/>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电子信箱：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p>
    <w:p w14:paraId="0DFC3622">
      <w:pPr>
        <w:pStyle w:val="45"/>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u w:val="single"/>
          <w:lang w:eastAsia="zh-CN"/>
        </w:rPr>
        <w:t xml:space="preserve">通信地址：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p>
    <w:p w14:paraId="6E41C729">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设计人对项目负责人的授权范围如下： 代表设计单位负责工程项目全过程设计质量管理，对工程设计质量承担总体责任。</w:t>
      </w:r>
    </w:p>
    <w:p w14:paraId="55FF58C6">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4.5.1.2项目负责人的更换</w:t>
      </w:r>
    </w:p>
    <w:p w14:paraId="1EA4DD69">
      <w:pPr>
        <w:pStyle w:val="45"/>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设计人更换项目负责人的，应提前</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天书面通知发包人。</w:t>
      </w:r>
    </w:p>
    <w:p w14:paraId="5D34DF3E">
      <w:pPr>
        <w:pStyle w:val="66"/>
        <w:keepNext w:val="0"/>
        <w:keepLines w:val="0"/>
        <w:pageBreakBefore w:val="0"/>
        <w:widowControl w:val="0"/>
        <w:kinsoku/>
        <w:wordWrap/>
        <w:overflowPunct/>
        <w:topLinePunct w:val="0"/>
        <w:autoSpaceDE/>
        <w:autoSpaceDN/>
        <w:bidi w:val="0"/>
        <w:adjustRightInd/>
        <w:snapToGrid/>
        <w:spacing w:before="0" w:line="360" w:lineRule="auto"/>
        <w:ind w:firstLine="48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设计人擅自更换项目负责人的违约责任：</w:t>
      </w:r>
      <w:r>
        <w:rPr>
          <w:rFonts w:hint="eastAsia" w:ascii="宋体" w:hAnsi="宋体" w:eastAsia="宋体" w:cs="Times New Roman"/>
          <w:color w:val="auto"/>
          <w:kern w:val="2"/>
          <w:sz w:val="24"/>
          <w:szCs w:val="24"/>
          <w:highlight w:val="none"/>
          <w:u w:val="single"/>
          <w:lang w:val="en-US" w:eastAsia="zh-CN" w:bidi="ar-SA"/>
        </w:rPr>
        <w:t>项目负责人必须是本工程投标的项目负责人，设计人不得单方面擅自更换，若出现则需另行向发包人支付5万元的违约金。同时，发包人有权解除合同。</w:t>
      </w:r>
    </w:p>
    <w:p w14:paraId="38E095B2">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4.6设计人员的管理</w:t>
      </w:r>
    </w:p>
    <w:p w14:paraId="291DC46C">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4.6.1设计人员的更换及增加</w:t>
      </w:r>
    </w:p>
    <w:p w14:paraId="59A02703">
      <w:pPr>
        <w:pStyle w:val="46"/>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设计人无正当理由拒绝撤换主要设计人员的违约责任：</w:t>
      </w:r>
      <w:r>
        <w:rPr>
          <w:rFonts w:hint="eastAsia"/>
          <w:color w:val="auto"/>
          <w:highlight w:val="none"/>
        </w:rPr>
        <w:t xml:space="preserve"> </w:t>
      </w:r>
      <w:r>
        <w:rPr>
          <w:rFonts w:hint="eastAsia" w:ascii="宋体" w:hAnsi="宋体" w:eastAsia="宋体"/>
          <w:color w:val="auto"/>
          <w:sz w:val="24"/>
          <w:szCs w:val="24"/>
          <w:highlight w:val="none"/>
          <w:u w:val="single"/>
        </w:rPr>
        <w:t>如发包人认为</w:t>
      </w:r>
      <w:r>
        <w:rPr>
          <w:rFonts w:hint="eastAsia" w:ascii="宋体" w:hAnsi="宋体" w:eastAsia="宋体"/>
          <w:color w:val="auto"/>
          <w:sz w:val="24"/>
          <w:szCs w:val="24"/>
          <w:highlight w:val="none"/>
          <w:u w:val="single"/>
          <w:lang w:eastAsia="zh-CN"/>
        </w:rPr>
        <w:t>设计人员</w:t>
      </w:r>
      <w:r>
        <w:rPr>
          <w:rFonts w:hint="eastAsia" w:ascii="宋体" w:hAnsi="宋体" w:eastAsia="宋体"/>
          <w:color w:val="auto"/>
          <w:sz w:val="24"/>
          <w:szCs w:val="24"/>
          <w:highlight w:val="none"/>
          <w:u w:val="single"/>
        </w:rPr>
        <w:t>不能胜任，有权利要求设计人更换</w:t>
      </w:r>
      <w:r>
        <w:rPr>
          <w:rFonts w:hint="eastAsia" w:ascii="宋体" w:hAnsi="宋体" w:eastAsia="宋体"/>
          <w:color w:val="auto"/>
          <w:sz w:val="24"/>
          <w:szCs w:val="24"/>
          <w:highlight w:val="none"/>
          <w:u w:val="single"/>
          <w:lang w:eastAsia="zh-CN"/>
        </w:rPr>
        <w:t>设计人员</w:t>
      </w:r>
      <w:r>
        <w:rPr>
          <w:rFonts w:hint="eastAsia" w:ascii="宋体" w:hAnsi="宋体" w:eastAsia="宋体"/>
          <w:color w:val="auto"/>
          <w:sz w:val="24"/>
          <w:szCs w:val="24"/>
          <w:highlight w:val="none"/>
          <w:u w:val="single"/>
        </w:rPr>
        <w:t>，设计人不得拒绝，否则发包人有权解除合同，设计人在接到发包人更换</w:t>
      </w:r>
      <w:r>
        <w:rPr>
          <w:rFonts w:hint="eastAsia" w:ascii="宋体" w:hAnsi="宋体" w:eastAsia="宋体"/>
          <w:color w:val="auto"/>
          <w:sz w:val="24"/>
          <w:szCs w:val="24"/>
          <w:highlight w:val="none"/>
          <w:u w:val="single"/>
          <w:lang w:eastAsia="zh-CN"/>
        </w:rPr>
        <w:t>设计人员</w:t>
      </w:r>
      <w:r>
        <w:rPr>
          <w:rFonts w:hint="eastAsia" w:ascii="宋体" w:hAnsi="宋体" w:eastAsia="宋体"/>
          <w:color w:val="auto"/>
          <w:sz w:val="24"/>
          <w:szCs w:val="24"/>
          <w:highlight w:val="none"/>
          <w:u w:val="single"/>
        </w:rPr>
        <w:t>的通知后应在7天内完成更换。设计人无正当理由拒绝撤换设计人员的</w:t>
      </w:r>
      <w:r>
        <w:rPr>
          <w:rFonts w:hint="eastAsia" w:ascii="宋体" w:hAnsi="宋体" w:eastAsia="宋体"/>
          <w:color w:val="auto"/>
          <w:sz w:val="24"/>
          <w:szCs w:val="24"/>
          <w:highlight w:val="none"/>
          <w:u w:val="single"/>
          <w:lang w:eastAsia="zh-CN"/>
        </w:rPr>
        <w:t>，设计人需向发包人支付违约金</w:t>
      </w:r>
      <w:r>
        <w:rPr>
          <w:rFonts w:hint="eastAsia" w:ascii="宋体" w:hAnsi="宋体" w:eastAsia="宋体"/>
          <w:color w:val="auto"/>
          <w:sz w:val="24"/>
          <w:szCs w:val="24"/>
          <w:highlight w:val="none"/>
          <w:u w:val="single"/>
        </w:rPr>
        <w:t>并负责赔偿由此给发包人带来的一切损失，</w:t>
      </w:r>
      <w:r>
        <w:rPr>
          <w:rFonts w:hint="eastAsia" w:ascii="宋体" w:hAnsi="宋体" w:eastAsia="宋体"/>
          <w:color w:val="auto"/>
          <w:sz w:val="24"/>
          <w:szCs w:val="24"/>
          <w:highlight w:val="none"/>
          <w:u w:val="single"/>
          <w:lang w:eastAsia="zh-CN"/>
        </w:rPr>
        <w:t>项目</w:t>
      </w:r>
      <w:r>
        <w:rPr>
          <w:rFonts w:hint="eastAsia" w:ascii="宋体" w:hAnsi="宋体" w:eastAsia="宋体"/>
          <w:color w:val="auto"/>
          <w:sz w:val="24"/>
          <w:szCs w:val="24"/>
          <w:highlight w:val="none"/>
          <w:u w:val="single"/>
        </w:rPr>
        <w:t>负责人3万元</w:t>
      </w:r>
      <w:r>
        <w:rPr>
          <w:rFonts w:hint="eastAsia" w:ascii="宋体" w:hAnsi="宋体" w:eastAsia="宋体"/>
          <w:color w:val="auto"/>
          <w:sz w:val="24"/>
          <w:szCs w:val="24"/>
          <w:highlight w:val="none"/>
          <w:u w:val="single"/>
          <w:lang w:val="en-US" w:eastAsia="zh-CN"/>
        </w:rPr>
        <w:t>/次</w:t>
      </w:r>
      <w:r>
        <w:rPr>
          <w:rFonts w:hint="eastAsia" w:ascii="宋体" w:hAnsi="宋体" w:eastAsia="宋体"/>
          <w:color w:val="auto"/>
          <w:sz w:val="24"/>
          <w:szCs w:val="24"/>
          <w:highlight w:val="none"/>
          <w:u w:val="single"/>
        </w:rPr>
        <w:t>，其他各设计人员1万元</w:t>
      </w:r>
      <w:r>
        <w:rPr>
          <w:rFonts w:hint="eastAsia" w:ascii="宋体" w:hAnsi="宋体" w:eastAsia="宋体"/>
          <w:color w:val="auto"/>
          <w:sz w:val="24"/>
          <w:szCs w:val="24"/>
          <w:highlight w:val="none"/>
          <w:u w:val="single"/>
          <w:lang w:val="en-US" w:eastAsia="zh-CN"/>
        </w:rPr>
        <w:t>/次</w:t>
      </w:r>
      <w:r>
        <w:rPr>
          <w:rFonts w:hint="eastAsia" w:ascii="宋体" w:hAnsi="宋体" w:eastAsia="宋体"/>
          <w:color w:val="auto"/>
          <w:sz w:val="24"/>
          <w:szCs w:val="24"/>
          <w:highlight w:val="none"/>
          <w:u w:val="single"/>
        </w:rPr>
        <w:t>。</w:t>
      </w:r>
    </w:p>
    <w:p w14:paraId="0AA3C912">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4.6.3 </w:t>
      </w:r>
      <w:r>
        <w:rPr>
          <w:rFonts w:hint="eastAsia" w:ascii="宋体" w:hAnsi="宋体" w:eastAsia="宋体" w:cs="宋体"/>
          <w:color w:val="auto"/>
          <w:sz w:val="24"/>
          <w:szCs w:val="24"/>
          <w:highlight w:val="none"/>
          <w:lang w:eastAsia="zh-CN"/>
        </w:rPr>
        <w:t>设计人</w:t>
      </w:r>
      <w:r>
        <w:rPr>
          <w:rFonts w:hint="eastAsia" w:ascii="宋体" w:hAnsi="宋体" w:eastAsia="宋体" w:cs="宋体"/>
          <w:color w:val="auto"/>
          <w:sz w:val="24"/>
          <w:szCs w:val="24"/>
          <w:highlight w:val="none"/>
        </w:rPr>
        <w:t>应确保</w:t>
      </w:r>
      <w:r>
        <w:rPr>
          <w:rFonts w:hint="eastAsia" w:ascii="宋体" w:hAnsi="宋体" w:eastAsia="宋体" w:cs="宋体"/>
          <w:color w:val="auto"/>
          <w:sz w:val="24"/>
          <w:szCs w:val="24"/>
          <w:highlight w:val="none"/>
          <w:lang w:eastAsia="zh-CN"/>
        </w:rPr>
        <w:t>设计</w:t>
      </w:r>
      <w:r>
        <w:rPr>
          <w:rFonts w:hint="eastAsia" w:ascii="宋体" w:hAnsi="宋体" w:eastAsia="宋体" w:cs="宋体"/>
          <w:color w:val="auto"/>
          <w:sz w:val="24"/>
          <w:szCs w:val="24"/>
          <w:highlight w:val="none"/>
        </w:rPr>
        <w:t>团队与投标文件中团队人员一致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因客观原因（如团队成员离职、重病、伤亡等）所致必须调整人员的，需经发包人同意并报有关部门备案后方可更换，所更换的人员条件不低于本项目招标文件对于投标人员的要求。如因其他原因经发包人同意变设计人员，每更换项目负责人一次设计人向发包人支付2万元违约金，每更换专业设计人员一次，设计人向发包人支付1万元违约金。</w:t>
      </w:r>
      <w:r>
        <w:rPr>
          <w:rFonts w:hint="eastAsia" w:ascii="宋体" w:hAnsi="宋体" w:eastAsia="宋体" w:cs="宋体"/>
          <w:color w:val="auto"/>
          <w:sz w:val="24"/>
          <w:szCs w:val="24"/>
          <w:highlight w:val="none"/>
        </w:rPr>
        <w:t>项目组成员须按发包人要求参加本项目的各类相关会议，如不能按发包人要求出席的，须向发包人提出书面请假申请，在征得发包人同意后，方可缺席。如设计人不能按上述要求出席的，</w:t>
      </w:r>
      <w:r>
        <w:rPr>
          <w:rFonts w:hint="eastAsia" w:ascii="宋体" w:hAnsi="宋体" w:eastAsia="宋体" w:cs="宋体"/>
          <w:color w:val="auto"/>
          <w:sz w:val="24"/>
          <w:szCs w:val="24"/>
          <w:highlight w:val="none"/>
          <w:lang w:eastAsia="zh-CN"/>
        </w:rPr>
        <w:t>设计人向</w:t>
      </w:r>
      <w:r>
        <w:rPr>
          <w:rFonts w:hint="eastAsia" w:ascii="宋体" w:hAnsi="宋体" w:eastAsia="宋体" w:cs="宋体"/>
          <w:color w:val="auto"/>
          <w:sz w:val="24"/>
          <w:szCs w:val="24"/>
          <w:highlight w:val="none"/>
        </w:rPr>
        <w:t>发包人</w:t>
      </w:r>
      <w:r>
        <w:rPr>
          <w:rFonts w:hint="eastAsia" w:ascii="宋体" w:hAnsi="宋体" w:eastAsia="宋体" w:cs="宋体"/>
          <w:color w:val="auto"/>
          <w:sz w:val="24"/>
          <w:szCs w:val="24"/>
          <w:highlight w:val="none"/>
          <w:lang w:eastAsia="zh-CN"/>
        </w:rPr>
        <w:t>支付</w:t>
      </w:r>
      <w:r>
        <w:rPr>
          <w:rFonts w:hint="eastAsia" w:ascii="宋体" w:hAnsi="宋体" w:eastAsia="宋体" w:cs="宋体"/>
          <w:color w:val="auto"/>
          <w:sz w:val="24"/>
          <w:szCs w:val="24"/>
          <w:highlight w:val="none"/>
        </w:rPr>
        <w:t>0.2万元/人/次的</w:t>
      </w:r>
      <w:r>
        <w:rPr>
          <w:rFonts w:hint="eastAsia" w:ascii="宋体" w:hAnsi="宋体" w:eastAsia="宋体" w:cs="宋体"/>
          <w:color w:val="auto"/>
          <w:sz w:val="24"/>
          <w:szCs w:val="24"/>
          <w:highlight w:val="none"/>
          <w:lang w:eastAsia="zh-CN"/>
        </w:rPr>
        <w:t>违约金</w:t>
      </w:r>
      <w:r>
        <w:rPr>
          <w:rFonts w:hint="eastAsia" w:ascii="宋体" w:hAnsi="宋体" w:eastAsia="宋体" w:cs="宋体"/>
          <w:color w:val="auto"/>
          <w:sz w:val="24"/>
          <w:szCs w:val="24"/>
          <w:highlight w:val="none"/>
        </w:rPr>
        <w:t>。</w:t>
      </w:r>
    </w:p>
    <w:p w14:paraId="6F0A1D85">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4.7撤换项目负责人和其他人员</w:t>
      </w:r>
    </w:p>
    <w:p w14:paraId="7C603AE0">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4.7.1设计人应在收到书面更换通知后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天内更换项目负责人。</w:t>
      </w:r>
    </w:p>
    <w:p w14:paraId="119FDE28">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设计人无正当理由拒绝更换项目负责人的违约责任： 如发包人认为项目负责人不能胜任，有权利要求设计人更换项目负责人，</w:t>
      </w:r>
      <w:r>
        <w:rPr>
          <w:rFonts w:hint="eastAsia" w:ascii="宋体" w:hAnsi="宋体" w:eastAsia="宋体" w:cs="宋体"/>
          <w:color w:val="auto"/>
          <w:sz w:val="24"/>
          <w:szCs w:val="24"/>
          <w:highlight w:val="none"/>
          <w:lang w:val="en-US" w:eastAsia="zh-CN"/>
        </w:rPr>
        <w:t>设计人不得拒绝，</w:t>
      </w:r>
      <w:r>
        <w:rPr>
          <w:rFonts w:hint="eastAsia" w:ascii="宋体" w:hAnsi="宋体" w:eastAsia="宋体" w:cs="宋体"/>
          <w:color w:val="auto"/>
          <w:sz w:val="24"/>
          <w:szCs w:val="24"/>
          <w:highlight w:val="none"/>
        </w:rPr>
        <w:t>否则发包人有权解除合同，设计人向发包人支付违约金</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万元</w:t>
      </w:r>
      <w:r>
        <w:rPr>
          <w:rFonts w:hint="eastAsia" w:ascii="宋体" w:hAnsi="宋体" w:cs="宋体"/>
          <w:color w:val="auto"/>
          <w:sz w:val="24"/>
          <w:szCs w:val="24"/>
          <w:highlight w:val="none"/>
          <w:lang w:val="en-US" w:eastAsia="zh-CN"/>
        </w:rPr>
        <w:t>/次，</w:t>
      </w:r>
      <w:r>
        <w:rPr>
          <w:rFonts w:hint="eastAsia" w:ascii="宋体" w:hAnsi="宋体" w:eastAsia="宋体" w:cs="宋体"/>
          <w:color w:val="auto"/>
          <w:sz w:val="24"/>
          <w:szCs w:val="24"/>
          <w:highlight w:val="none"/>
        </w:rPr>
        <w:t>并负责赔偿由此给发包人带来的一切损失。设计人在接到发包人更换项目负责人的通知后应在7天内完成更换。设计人如因设计进度、质量、安全、配合等问题而导致项目负责人被发包人调换，设计人一次支付发包人违约金人民币</w:t>
      </w:r>
      <w:r>
        <w:rPr>
          <w:rFonts w:hint="eastAsia" w:ascii="宋体" w:hAnsi="宋体" w:eastAsia="宋体" w:cs="宋体"/>
          <w:color w:val="auto"/>
          <w:sz w:val="24"/>
          <w:szCs w:val="24"/>
          <w:highlight w:val="none"/>
          <w:lang w:val="en-US" w:eastAsia="zh-CN"/>
        </w:rPr>
        <w:t>1万</w:t>
      </w:r>
      <w:r>
        <w:rPr>
          <w:rFonts w:hint="eastAsia" w:ascii="宋体" w:hAnsi="宋体" w:eastAsia="宋体" w:cs="宋体"/>
          <w:color w:val="auto"/>
          <w:sz w:val="24"/>
          <w:szCs w:val="24"/>
          <w:highlight w:val="none"/>
        </w:rPr>
        <w:t>元，项目负责人被发包人调换3次，发包人有权与设计人解除合同，设计人赔偿发包人因此所造成的全部损失并支付发包人合同总价2%的违约金且返还已支付相应阶段的设计费。</w:t>
      </w:r>
    </w:p>
    <w:p w14:paraId="54715F09">
      <w:pPr>
        <w:pStyle w:val="46"/>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5.设计要求</w:t>
      </w:r>
    </w:p>
    <w:p w14:paraId="48ACAB20">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5.1一般要求：按通用合同条款执行。</w:t>
      </w:r>
    </w:p>
    <w:p w14:paraId="5EB16E90">
      <w:pPr>
        <w:pStyle w:val="46"/>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5.2（2）适用于工程的技术标准包括：</w:t>
      </w:r>
      <w:r>
        <w:rPr>
          <w:rFonts w:hint="eastAsia" w:ascii="宋体" w:hAnsi="宋体" w:eastAsia="宋体" w:cs="宋体"/>
          <w:color w:val="auto"/>
          <w:sz w:val="24"/>
          <w:szCs w:val="24"/>
          <w:highlight w:val="none"/>
          <w:u w:val="single"/>
        </w:rPr>
        <w:t>工程设计文件的编制应符合法律、技术标准的强制性规定及合同的要求，并满足本合同相应设计阶段的规定要求，符合国家和行业现行有效的相关规定。所有规范/标准版本如有更新以最新版本为准。如更新的规范/标准与设计任务书不符之处，以最新版的规范/标准为准</w:t>
      </w:r>
      <w:r>
        <w:rPr>
          <w:rFonts w:hint="eastAsia" w:ascii="宋体" w:hAnsi="宋体" w:eastAsia="宋体" w:cs="宋体"/>
          <w:color w:val="auto"/>
          <w:sz w:val="24"/>
          <w:szCs w:val="24"/>
          <w:highlight w:val="none"/>
          <w:u w:val="single"/>
          <w:lang w:eastAsia="zh-CN"/>
        </w:rPr>
        <w:t>。</w:t>
      </w:r>
    </w:p>
    <w:p w14:paraId="3E79AFA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（7）其他设计依据：</w:t>
      </w:r>
    </w:p>
    <w:p w14:paraId="33949D3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）国家现行的相关法律、法规、政策；</w:t>
      </w:r>
    </w:p>
    <w:p w14:paraId="29F271A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）有关机构发布的工程设计、建设方面的标准、规范及规程。</w:t>
      </w:r>
    </w:p>
    <w:p w14:paraId="02913ADD">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5.3设计范围</w:t>
      </w:r>
    </w:p>
    <w:p w14:paraId="3888F4E3">
      <w:pPr>
        <w:pStyle w:val="46"/>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5.3.1 设计范围：</w:t>
      </w:r>
      <w:r>
        <w:rPr>
          <w:rFonts w:hint="eastAsia" w:ascii="宋体" w:hAnsi="宋体" w:eastAsia="宋体" w:cs="宋体"/>
          <w:color w:val="auto"/>
          <w:sz w:val="24"/>
          <w:szCs w:val="24"/>
          <w:highlight w:val="none"/>
          <w:u w:val="single"/>
        </w:rPr>
        <w:t>详见专用条款1.1.3.2款。</w:t>
      </w:r>
    </w:p>
    <w:p w14:paraId="60BF3C16">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 工程范围：</w:t>
      </w:r>
      <w:r>
        <w:rPr>
          <w:rFonts w:hint="eastAsia" w:ascii="宋体" w:hAnsi="宋体" w:eastAsia="宋体" w:cs="宋体"/>
          <w:color w:val="auto"/>
          <w:sz w:val="24"/>
          <w:szCs w:val="24"/>
          <w:highlight w:val="none"/>
          <w:u w:val="single"/>
        </w:rPr>
        <w:t>详见专用条款1.1.3.1款（3）项目内容。</w:t>
      </w:r>
    </w:p>
    <w:p w14:paraId="29A85FB5">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5.3.3 阶段范围：</w:t>
      </w:r>
      <w:r>
        <w:rPr>
          <w:rFonts w:hint="eastAsia" w:ascii="宋体" w:hAnsi="宋体" w:eastAsia="宋体" w:cs="宋体"/>
          <w:color w:val="auto"/>
          <w:sz w:val="24"/>
          <w:szCs w:val="24"/>
          <w:highlight w:val="none"/>
          <w:u w:val="single"/>
        </w:rPr>
        <w:t>详见专用条款1.1.3.2款。</w:t>
      </w:r>
    </w:p>
    <w:p w14:paraId="148F1CAB">
      <w:pPr>
        <w:pStyle w:val="46"/>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5.3.4 工作范围：</w:t>
      </w:r>
      <w:r>
        <w:rPr>
          <w:rFonts w:hint="eastAsia" w:ascii="宋体" w:hAnsi="宋体" w:eastAsia="宋体" w:cs="宋体"/>
          <w:color w:val="auto"/>
          <w:sz w:val="24"/>
          <w:szCs w:val="24"/>
          <w:highlight w:val="none"/>
          <w:u w:val="single"/>
        </w:rPr>
        <w:t>详见专用条款1.1.3.2款。</w:t>
      </w:r>
    </w:p>
    <w:p w14:paraId="664A8833">
      <w:pPr>
        <w:pStyle w:val="46"/>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6.开始设计和完成设计</w:t>
      </w:r>
    </w:p>
    <w:p w14:paraId="33813228">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6.1开始设计</w:t>
      </w:r>
    </w:p>
    <w:p w14:paraId="3BCB0AB5">
      <w:pPr>
        <w:pStyle w:val="46"/>
        <w:spacing w:line="360" w:lineRule="auto"/>
        <w:ind w:firstLine="480" w:firstLineChars="200"/>
        <w:jc w:val="left"/>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6.1.1开始设计时间：</w:t>
      </w:r>
      <w:r>
        <w:rPr>
          <w:rFonts w:hint="eastAsia" w:ascii="宋体" w:hAnsi="宋体" w:eastAsia="宋体" w:cs="宋体"/>
          <w:bCs/>
          <w:color w:val="auto"/>
          <w:sz w:val="24"/>
          <w:szCs w:val="24"/>
          <w:highlight w:val="none"/>
          <w:u w:val="single"/>
        </w:rPr>
        <w:t>设计人收到发包人的开工通知</w:t>
      </w:r>
    </w:p>
    <w:p w14:paraId="24571C40">
      <w:pPr>
        <w:pStyle w:val="4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6.1.2发包人原因造成合同签订之日起90天内未能发出开始设计通知的处理办法：如双方协商一致继续履行合同，工期顺延，费用不额外增加；如设计人要求解除合同的，双方互不索赔。</w:t>
      </w:r>
    </w:p>
    <w:p w14:paraId="4C57EC9C">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b/>
          <w:bCs/>
          <w:color w:val="auto"/>
          <w:sz w:val="24"/>
          <w:szCs w:val="24"/>
          <w:highlight w:val="none"/>
        </w:rPr>
        <w:t>发包人引起的周期延误：工期顺延，费用不额外增加。</w:t>
      </w:r>
    </w:p>
    <w:p w14:paraId="3B025D17">
      <w:pPr>
        <w:pStyle w:val="4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6.3设计人引起的周期延误：设计人应在发生进度延误的情形后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天内向发包人发出要求延期的书面通知，在发生该情形后</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天内提交要求延期的详细说明。</w:t>
      </w:r>
    </w:p>
    <w:p w14:paraId="21CD5E4E">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发包人收到设计人要求延期的详细说明后，应在</w:t>
      </w:r>
      <w:r>
        <w:rPr>
          <w:rFonts w:hint="eastAsia" w:ascii="宋体" w:hAnsi="宋体" w:eastAsia="宋体" w:cs="宋体"/>
          <w:color w:val="auto"/>
          <w:sz w:val="24"/>
          <w:szCs w:val="24"/>
          <w:highlight w:val="none"/>
          <w:u w:val="single"/>
        </w:rPr>
        <w:t xml:space="preserve"> 7 </w:t>
      </w:r>
      <w:r>
        <w:rPr>
          <w:rFonts w:hint="eastAsia" w:ascii="宋体" w:hAnsi="宋体" w:eastAsia="宋体" w:cs="宋体"/>
          <w:color w:val="auto"/>
          <w:sz w:val="24"/>
          <w:szCs w:val="24"/>
          <w:highlight w:val="none"/>
        </w:rPr>
        <w:t>天内进行审查并书面答复。</w:t>
      </w:r>
    </w:p>
    <w:p w14:paraId="21BA3991">
      <w:pPr>
        <w:pStyle w:val="46"/>
        <w:spacing w:line="360" w:lineRule="auto"/>
        <w:ind w:firstLine="482" w:firstLineChars="200"/>
        <w:jc w:val="lef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因设计人原因发生周期延误的，每延误一日，设计人向发包人支付人民币</w:t>
      </w:r>
      <w:r>
        <w:rPr>
          <w:rFonts w:hint="eastAsia" w:ascii="宋体" w:hAnsi="宋体" w:eastAsia="宋体" w:cs="宋体"/>
          <w:b/>
          <w:bCs/>
          <w:color w:val="auto"/>
          <w:sz w:val="24"/>
          <w:szCs w:val="24"/>
          <w:highlight w:val="none"/>
          <w:u w:val="single"/>
        </w:rPr>
        <w:t>1</w:t>
      </w:r>
      <w:r>
        <w:rPr>
          <w:rFonts w:hint="eastAsia" w:ascii="宋体" w:hAnsi="宋体" w:eastAsia="宋体" w:cs="宋体"/>
          <w:b/>
          <w:bCs/>
          <w:color w:val="auto"/>
          <w:sz w:val="24"/>
          <w:szCs w:val="24"/>
          <w:highlight w:val="none"/>
        </w:rPr>
        <w:t>万元作为违约金，违约金上限为合同总价的</w:t>
      </w:r>
      <w:r>
        <w:rPr>
          <w:rFonts w:hint="eastAsia" w:ascii="宋体" w:hAnsi="宋体" w:eastAsia="宋体" w:cs="宋体"/>
          <w:b/>
          <w:bCs/>
          <w:color w:val="auto"/>
          <w:sz w:val="24"/>
          <w:szCs w:val="24"/>
          <w:highlight w:val="none"/>
          <w:u w:val="single"/>
        </w:rPr>
        <w:t>10</w:t>
      </w:r>
      <w:r>
        <w:rPr>
          <w:rFonts w:hint="eastAsia" w:ascii="宋体" w:hAnsi="宋体" w:eastAsia="宋体" w:cs="宋体"/>
          <w:b/>
          <w:bCs/>
          <w:color w:val="auto"/>
          <w:sz w:val="24"/>
          <w:szCs w:val="24"/>
          <w:highlight w:val="none"/>
        </w:rPr>
        <w:t>%；逾期超过</w:t>
      </w:r>
      <w:r>
        <w:rPr>
          <w:rFonts w:hint="eastAsia" w:ascii="宋体" w:hAnsi="宋体" w:eastAsia="宋体" w:cs="宋体"/>
          <w:b/>
          <w:bCs/>
          <w:color w:val="auto"/>
          <w:sz w:val="24"/>
          <w:szCs w:val="24"/>
          <w:highlight w:val="none"/>
          <w:u w:val="single"/>
        </w:rPr>
        <w:t>56</w:t>
      </w:r>
      <w:r>
        <w:rPr>
          <w:rFonts w:hint="eastAsia" w:ascii="宋体" w:hAnsi="宋体" w:eastAsia="宋体" w:cs="宋体"/>
          <w:b/>
          <w:bCs/>
          <w:color w:val="auto"/>
          <w:sz w:val="24"/>
          <w:szCs w:val="24"/>
          <w:highlight w:val="none"/>
        </w:rPr>
        <w:t>天的，视为根本性违约，发包人有权解除合同。</w:t>
      </w:r>
    </w:p>
    <w:p w14:paraId="66BF15C0">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w:t>
      </w:r>
      <w:r>
        <w:rPr>
          <w:rFonts w:hint="eastAsia" w:ascii="宋体" w:hAnsi="宋体" w:eastAsia="宋体" w:cs="宋体"/>
          <w:b/>
          <w:bCs/>
          <w:color w:val="auto"/>
          <w:sz w:val="24"/>
          <w:szCs w:val="24"/>
          <w:highlight w:val="none"/>
        </w:rPr>
        <w:t>第三人引起的周期延误：工期顺延，费用不额外增加。</w:t>
      </w:r>
    </w:p>
    <w:p w14:paraId="0BCCBE35">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6.6提前完成设计</w:t>
      </w:r>
    </w:p>
    <w:p w14:paraId="1FF160F9">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6.6.1发包人接受设计人提前完成设计建议书导致设计费用增加的处理：费用不额外增加。</w:t>
      </w:r>
    </w:p>
    <w:p w14:paraId="13959283">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6.6.3设计人提前完成设计的奖励：</w:t>
      </w:r>
      <w:r>
        <w:rPr>
          <w:rFonts w:hint="eastAsia" w:ascii="宋体" w:hAnsi="宋体" w:eastAsia="宋体" w:cs="宋体"/>
          <w:color w:val="auto"/>
          <w:sz w:val="24"/>
          <w:szCs w:val="24"/>
          <w:highlight w:val="none"/>
          <w:u w:val="single"/>
        </w:rPr>
        <w:t xml:space="preserve">  无    </w:t>
      </w:r>
    </w:p>
    <w:p w14:paraId="1B3A2550">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7.暂停设计</w:t>
      </w:r>
    </w:p>
    <w:p w14:paraId="1379312B">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7.1发包人原因暂停设计：工期顺延，费用不额外增加。</w:t>
      </w:r>
    </w:p>
    <w:p w14:paraId="3E03553D">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7.2设计人原因暂停设计：因设计人原因暂停设计的，设计人应及时通知发包人并查明原因，采取补救措施。由此造成的周期延误，按专用条款6.3条执行。</w:t>
      </w:r>
    </w:p>
    <w:p w14:paraId="0808E5F9">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7.3暂停期间的文件照管：由设计人承担，相关费用已经包含在合同总价中，发包人不另行支付。</w:t>
      </w:r>
    </w:p>
    <w:p w14:paraId="11ADB3F2">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 有下述情形的，可以解除合同：暂停设计期限已连续超过</w:t>
      </w:r>
      <w:r>
        <w:rPr>
          <w:rFonts w:hint="eastAsia" w:ascii="宋体" w:hAnsi="宋体" w:eastAsia="宋体" w:cs="宋体"/>
          <w:color w:val="auto"/>
          <w:sz w:val="24"/>
          <w:szCs w:val="24"/>
          <w:highlight w:val="none"/>
          <w:u w:val="single"/>
        </w:rPr>
        <w:t>30</w:t>
      </w:r>
      <w:r>
        <w:rPr>
          <w:rFonts w:hint="eastAsia" w:ascii="宋体" w:hAnsi="宋体" w:eastAsia="宋体" w:cs="宋体"/>
          <w:color w:val="auto"/>
          <w:sz w:val="24"/>
          <w:szCs w:val="24"/>
          <w:highlight w:val="none"/>
        </w:rPr>
        <w:t>天。</w:t>
      </w:r>
    </w:p>
    <w:p w14:paraId="6FF1B3AB">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8.设计文件</w:t>
      </w:r>
    </w:p>
    <w:p w14:paraId="68FD3476">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8.1设计文件的接收</w:t>
      </w:r>
    </w:p>
    <w:p w14:paraId="4602BFFE">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8.1.3设计人向发包人交付的设计文件</w:t>
      </w:r>
      <w:r>
        <w:rPr>
          <w:rFonts w:hint="eastAsia" w:ascii="宋体" w:hAnsi="宋体" w:eastAsia="宋体" w:cs="宋体"/>
          <w:color w:val="auto"/>
          <w:sz w:val="24"/>
          <w:szCs w:val="24"/>
          <w:highlight w:val="none"/>
        </w:rPr>
        <w:t>，详见附件。</w:t>
      </w:r>
    </w:p>
    <w:p w14:paraId="23AB9645">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8.1.4上述设计文件的提交时间根据发包人要求设计人应当予以调整；提交份数根据发包人实际需要免费增加，费用已经包含在设计人的合同总价中，设计人不得因此而增加相关费用，发包人不另行支付。</w:t>
      </w:r>
    </w:p>
    <w:p w14:paraId="47754EC5">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8.2发包人审查设计文件</w:t>
      </w:r>
    </w:p>
    <w:p w14:paraId="0FBD7062">
      <w:pPr>
        <w:pStyle w:val="46"/>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8.2.1.1 审查的具体范围：</w:t>
      </w:r>
      <w:r>
        <w:rPr>
          <w:rFonts w:hint="eastAsia" w:ascii="宋体" w:hAnsi="宋体" w:eastAsia="宋体" w:cs="宋体"/>
          <w:color w:val="auto"/>
          <w:sz w:val="24"/>
          <w:szCs w:val="24"/>
          <w:highlight w:val="none"/>
          <w:u w:val="single"/>
        </w:rPr>
        <w:t>详见专用条款1.1.3.2款。</w:t>
      </w:r>
    </w:p>
    <w:p w14:paraId="031C0DC9">
      <w:pPr>
        <w:pStyle w:val="46"/>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8.2.1.2 审查的明细内容：</w:t>
      </w:r>
      <w:r>
        <w:rPr>
          <w:rFonts w:hint="eastAsia" w:ascii="宋体" w:hAnsi="宋体" w:eastAsia="宋体" w:cs="宋体"/>
          <w:color w:val="auto"/>
          <w:sz w:val="24"/>
          <w:szCs w:val="24"/>
          <w:highlight w:val="none"/>
          <w:u w:val="single"/>
        </w:rPr>
        <w:t>详见专用条款1.1.3.2款。</w:t>
      </w:r>
    </w:p>
    <w:p w14:paraId="27DB8019">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10.施工期间配合</w:t>
      </w:r>
    </w:p>
    <w:p w14:paraId="6CCD0CDA">
      <w:pPr>
        <w:pStyle w:val="46"/>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10.3关于设计期间和施工期间配合的其他约定：</w:t>
      </w:r>
      <w:r>
        <w:rPr>
          <w:rFonts w:hint="eastAsia" w:ascii="宋体" w:hAnsi="宋体" w:eastAsia="宋体" w:cs="宋体"/>
          <w:color w:val="auto"/>
          <w:sz w:val="24"/>
          <w:szCs w:val="24"/>
          <w:highlight w:val="none"/>
          <w:u w:val="single"/>
        </w:rPr>
        <w:t>/</w:t>
      </w:r>
    </w:p>
    <w:p w14:paraId="6641DE30">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11.合同变更</w:t>
      </w:r>
    </w:p>
    <w:p w14:paraId="0FEF0DCD">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11.1变更情形</w:t>
      </w:r>
    </w:p>
    <w:p w14:paraId="6BB7B3B6">
      <w:pPr>
        <w:pStyle w:val="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11.1.1.1合同变更后设计服务期限和设计费用的调整方法：</w:t>
      </w:r>
      <w:r>
        <w:rPr>
          <w:rFonts w:hint="eastAsia" w:ascii="宋体" w:hAnsi="宋体" w:eastAsia="宋体" w:cs="宋体"/>
          <w:color w:val="auto"/>
          <w:sz w:val="24"/>
          <w:szCs w:val="24"/>
          <w:highlight w:val="none"/>
          <w:u w:val="single"/>
        </w:rPr>
        <w:t>详见专用合同4.1.4其他义务（5）相关条款。</w:t>
      </w:r>
    </w:p>
    <w:p w14:paraId="44228E17">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11.2合理化建议</w:t>
      </w:r>
    </w:p>
    <w:p w14:paraId="6F029031">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11.2.2设</w:t>
      </w:r>
      <w:r>
        <w:rPr>
          <w:rFonts w:hint="eastAsia" w:ascii="宋体" w:hAnsi="宋体" w:eastAsia="宋体" w:cs="宋体"/>
          <w:snapToGrid w:val="0"/>
          <w:color w:val="auto"/>
          <w:kern w:val="0"/>
          <w:sz w:val="24"/>
          <w:szCs w:val="24"/>
          <w:highlight w:val="none"/>
        </w:rPr>
        <w:t>计人提出的合理化建议降低了工程投资、缩短了施工期限或者提高了工程经济效益的奖励：</w:t>
      </w:r>
      <w:r>
        <w:rPr>
          <w:rFonts w:hint="eastAsia" w:ascii="宋体" w:hAnsi="宋体" w:eastAsia="宋体" w:cs="宋体"/>
          <w:snapToGrid w:val="0"/>
          <w:color w:val="auto"/>
          <w:kern w:val="0"/>
          <w:sz w:val="24"/>
          <w:szCs w:val="24"/>
          <w:highlight w:val="none"/>
          <w:u w:val="single"/>
        </w:rPr>
        <w:t xml:space="preserve">无 </w:t>
      </w:r>
    </w:p>
    <w:p w14:paraId="551B144C">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12.合同价格和支付</w:t>
      </w:r>
    </w:p>
    <w:p w14:paraId="6FCED71A">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 合同价格</w:t>
      </w:r>
    </w:p>
    <w:p w14:paraId="4271D69F">
      <w:pPr>
        <w:pStyle w:val="66"/>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12.1.1.1 合同价款的确定方式：</w:t>
      </w:r>
      <w:r>
        <w:rPr>
          <w:rFonts w:hint="eastAsia" w:ascii="宋体" w:hAnsi="宋体" w:eastAsia="宋体" w:cs="宋体"/>
          <w:color w:val="auto"/>
          <w:kern w:val="2"/>
          <w:sz w:val="24"/>
          <w:szCs w:val="24"/>
          <w:highlight w:val="none"/>
          <w:u w:val="single"/>
          <w:lang w:val="en-US" w:eastAsia="zh-CN" w:bidi="ar-SA"/>
        </w:rPr>
        <w:t>固定总价合同；总价包含的风险范围：合同价款应是招标文件所确定的招标范围及设计内容的全部工作内容的价格体现，中国药科大学玄武门校区图书馆改造设计项目全过程设计，包含但不限于方案设计、初步设计、初步设计概算编制、施工图设计、主要材料及设备技术参数的审核、配合施工图审查、承担设计相关的专家评审、设计风险管控、设计答疑、勘察及施工配合(含专项深化设计图)等各项工作。全过程设计包括：各阶段招标配合和施工现场配合服务，施工期间派驻现场设计代表、提供设计交底、解决施工中设计技术问题、设计修改、变更、相关专题报告、各项验收等服务工作所有费用，组织费及专家论证费、管理费、利润、税金、政策性文件规定、风险、责任和参与投标等所有费用，已经包含在合同价款中。由于设计人设计文件出现遗漏，导致工程造价偏差金额较大，设计人除负责补充完善设计图纸外，应免收遗漏部分的设计费，并需及时提出相应金额的优化建议。设计变更、图纸调试、工程总投资额调整等均含在报价内，合同总价不予以调整。发包人提出的方案变更（工程同一部分重复设计）的部分，按变更部分工程（变更后图纸与图审版本）控制价差（单价统一采用施工招标控制价的单价，造价事务所出具的）为取费依据，按规定计取变更设计费，根据设计投标报价同比例下浮。</w:t>
      </w:r>
      <w:r>
        <w:rPr>
          <w:rFonts w:hint="eastAsia" w:ascii="宋体" w:hAnsi="宋体" w:eastAsia="宋体" w:cs="宋体"/>
          <w:color w:val="auto"/>
          <w:kern w:val="2"/>
          <w:sz w:val="24"/>
          <w:szCs w:val="24"/>
          <w:highlight w:val="none"/>
          <w:u w:val="single"/>
          <w:lang w:val="en-US" w:eastAsia="zh-CN" w:bidi="ar-SA"/>
        </w:rPr>
        <w:br w:type="textWrapping"/>
      </w:r>
      <w:r>
        <w:rPr>
          <w:rFonts w:hint="eastAsia" w:ascii="宋体" w:hAnsi="宋体" w:eastAsia="宋体" w:cs="宋体"/>
          <w:color w:val="auto"/>
          <w:sz w:val="24"/>
          <w:szCs w:val="24"/>
          <w:highlight w:val="none"/>
        </w:rPr>
        <w:t>中标设计费（含税）：</w:t>
      </w:r>
    </w:p>
    <w:p w14:paraId="504E33C3">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元）；适用税率： %。</w:t>
      </w:r>
    </w:p>
    <w:p w14:paraId="741FEF2A">
      <w:pPr>
        <w:pStyle w:val="45"/>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12.2定金或预付款：定金的比例 </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或预付款的比例</w:t>
      </w:r>
      <w:r>
        <w:rPr>
          <w:rFonts w:hint="eastAsia" w:ascii="宋体" w:hAnsi="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FB13F0">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 中期支付</w:t>
      </w:r>
    </w:p>
    <w:p w14:paraId="2DB47F06">
      <w:pPr>
        <w:pStyle w:val="91"/>
        <w:spacing w:line="360" w:lineRule="auto"/>
        <w:ind w:firstLine="448" w:firstLineChars="187"/>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1、本合同生效后，发包人向设计人支付合同总价的</w:t>
      </w:r>
      <w:r>
        <w:rPr>
          <w:rFonts w:hint="eastAsia" w:ascii="宋体" w:hAnsi="宋体" w:eastAsia="宋体" w:cs="宋体"/>
          <w:b w:val="0"/>
          <w:bCs w:val="0"/>
          <w:color w:val="auto"/>
          <w:sz w:val="24"/>
          <w:szCs w:val="24"/>
          <w:highlight w:val="none"/>
          <w:u w:val="single"/>
        </w:rPr>
        <w:t xml:space="preserve"> 10 </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计</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元。</w:t>
      </w:r>
    </w:p>
    <w:p w14:paraId="54AEFB93">
      <w:pPr>
        <w:pStyle w:val="91"/>
        <w:spacing w:line="360" w:lineRule="auto"/>
        <w:ind w:firstLine="448" w:firstLineChars="187"/>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2、</w:t>
      </w:r>
      <w:r>
        <w:rPr>
          <w:rFonts w:hint="eastAsia" w:ascii="宋体" w:hAnsi="宋体" w:eastAsia="宋体" w:cs="宋体"/>
          <w:b w:val="0"/>
          <w:bCs w:val="0"/>
          <w:color w:val="auto"/>
          <w:sz w:val="24"/>
          <w:szCs w:val="24"/>
          <w:highlight w:val="none"/>
          <w:lang w:val="en-US" w:eastAsia="zh-CN"/>
        </w:rPr>
        <w:t>发包人确认方案设计文件后</w:t>
      </w:r>
      <w:r>
        <w:rPr>
          <w:rFonts w:hint="eastAsia" w:ascii="宋体" w:hAnsi="宋体" w:eastAsia="宋体" w:cs="宋体"/>
          <w:b w:val="0"/>
          <w:bCs w:val="0"/>
          <w:color w:val="auto"/>
          <w:sz w:val="24"/>
          <w:szCs w:val="24"/>
          <w:highlight w:val="none"/>
        </w:rPr>
        <w:t>，发包人向设计人支付合同总价的</w:t>
      </w:r>
      <w:r>
        <w:rPr>
          <w:rFonts w:hint="eastAsia" w:ascii="宋体" w:hAnsi="宋体" w:eastAsia="宋体" w:cs="宋体"/>
          <w:b w:val="0"/>
          <w:bCs w:val="0"/>
          <w:color w:val="auto"/>
          <w:sz w:val="24"/>
          <w:szCs w:val="24"/>
          <w:highlight w:val="none"/>
          <w:u w:val="single"/>
        </w:rPr>
        <w:t>30%</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计</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元。</w:t>
      </w:r>
    </w:p>
    <w:p w14:paraId="7BF58C6B">
      <w:pPr>
        <w:pStyle w:val="91"/>
        <w:spacing w:line="360" w:lineRule="auto"/>
        <w:ind w:firstLine="448" w:firstLineChars="187"/>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3、本项目</w:t>
      </w:r>
      <w:r>
        <w:rPr>
          <w:rFonts w:hint="eastAsia" w:ascii="宋体" w:hAnsi="宋体" w:eastAsia="宋体" w:cs="宋体"/>
          <w:b w:val="0"/>
          <w:bCs w:val="0"/>
          <w:color w:val="auto"/>
          <w:sz w:val="24"/>
          <w:szCs w:val="24"/>
          <w:highlight w:val="none"/>
          <w:lang w:val="en-US" w:eastAsia="zh-CN"/>
        </w:rPr>
        <w:t>施工开工，</w:t>
      </w:r>
      <w:r>
        <w:rPr>
          <w:rFonts w:hint="eastAsia" w:ascii="宋体" w:hAnsi="宋体" w:eastAsia="宋体" w:cs="宋体"/>
          <w:b w:val="0"/>
          <w:bCs w:val="0"/>
          <w:color w:val="auto"/>
          <w:sz w:val="24"/>
          <w:szCs w:val="24"/>
          <w:highlight w:val="none"/>
        </w:rPr>
        <w:t>设计人</w:t>
      </w:r>
      <w:r>
        <w:rPr>
          <w:rFonts w:hint="eastAsia" w:ascii="宋体" w:hAnsi="宋体" w:eastAsia="宋体" w:cs="宋体"/>
          <w:b w:val="0"/>
          <w:bCs w:val="0"/>
          <w:color w:val="auto"/>
          <w:sz w:val="24"/>
          <w:szCs w:val="24"/>
          <w:highlight w:val="none"/>
          <w:lang w:val="en-US" w:eastAsia="zh-CN"/>
        </w:rPr>
        <w:t>提供全套的施工图纸后，发包人向设计人支付合同总价</w:t>
      </w:r>
      <w:r>
        <w:rPr>
          <w:rFonts w:hint="eastAsia" w:ascii="宋体" w:hAnsi="宋体" w:eastAsia="宋体" w:cs="宋体"/>
          <w:b w:val="0"/>
          <w:bCs w:val="0"/>
          <w:color w:val="auto"/>
          <w:sz w:val="24"/>
          <w:szCs w:val="24"/>
          <w:highlight w:val="none"/>
          <w:u w:val="single"/>
          <w:lang w:val="en-US" w:eastAsia="zh-CN"/>
        </w:rPr>
        <w:t>2</w:t>
      </w:r>
      <w:r>
        <w:rPr>
          <w:rFonts w:hint="eastAsia" w:ascii="宋体" w:hAnsi="宋体" w:eastAsia="宋体" w:cs="宋体"/>
          <w:b w:val="0"/>
          <w:bCs w:val="0"/>
          <w:color w:val="auto"/>
          <w:sz w:val="24"/>
          <w:szCs w:val="24"/>
          <w:highlight w:val="none"/>
          <w:u w:val="single"/>
        </w:rPr>
        <w:t>0%</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计</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元。</w:t>
      </w:r>
    </w:p>
    <w:p w14:paraId="47A8709C">
      <w:pPr>
        <w:pStyle w:val="6"/>
        <w:ind w:firstLine="240" w:firstLineChars="100"/>
        <w:jc w:val="left"/>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、本项目竣工验收合格</w:t>
      </w:r>
      <w:r>
        <w:rPr>
          <w:rFonts w:hint="eastAsia" w:ascii="宋体" w:hAnsi="宋体" w:eastAsia="宋体" w:cs="宋体"/>
          <w:b w:val="0"/>
          <w:bCs w:val="0"/>
          <w:color w:val="auto"/>
          <w:sz w:val="24"/>
          <w:szCs w:val="24"/>
          <w:highlight w:val="none"/>
          <w:lang w:val="en-US" w:eastAsia="zh-CN"/>
        </w:rPr>
        <w:t>,设计人支付违约金后，发包人</w:t>
      </w:r>
      <w:r>
        <w:rPr>
          <w:rFonts w:hint="eastAsia" w:ascii="宋体" w:hAnsi="宋体" w:eastAsia="宋体" w:cs="宋体"/>
          <w:b w:val="0"/>
          <w:bCs w:val="0"/>
          <w:color w:val="auto"/>
          <w:sz w:val="24"/>
          <w:szCs w:val="24"/>
          <w:highlight w:val="none"/>
        </w:rPr>
        <w:t>支付尾款。</w:t>
      </w:r>
    </w:p>
    <w:p w14:paraId="5109ABBF">
      <w:pPr>
        <w:pStyle w:val="6"/>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发包人向设计人支付已完工作设计费的期限为</w:t>
      </w:r>
      <w:r>
        <w:rPr>
          <w:rFonts w:hint="eastAsia" w:ascii="宋体" w:hAnsi="宋体" w:eastAsia="宋体" w:cs="宋体"/>
          <w:b w:val="0"/>
          <w:bCs w:val="0"/>
          <w:color w:val="auto"/>
          <w:sz w:val="24"/>
          <w:szCs w:val="24"/>
          <w:highlight w:val="none"/>
          <w:u w:val="single"/>
        </w:rPr>
        <w:t xml:space="preserve">收到设计人提供的增值税发票后30  </w:t>
      </w:r>
      <w:r>
        <w:rPr>
          <w:rFonts w:hint="eastAsia" w:ascii="宋体" w:hAnsi="宋体" w:eastAsia="宋体" w:cs="宋体"/>
          <w:b w:val="0"/>
          <w:bCs w:val="0"/>
          <w:color w:val="auto"/>
          <w:sz w:val="24"/>
          <w:szCs w:val="24"/>
          <w:highlight w:val="none"/>
        </w:rPr>
        <w:t>天内。</w:t>
      </w:r>
    </w:p>
    <w:p w14:paraId="7D9375F2">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12.4费用结算</w:t>
      </w:r>
    </w:p>
    <w:p w14:paraId="47416D9D">
      <w:pPr>
        <w:pStyle w:val="46"/>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u w:val="single"/>
        </w:rPr>
        <w:t>具体费用结算方式详见专用条款12.1合同价格条款和专用条款12.3中期支付。</w:t>
      </w:r>
      <w:r>
        <w:rPr>
          <w:rFonts w:hint="eastAsia" w:ascii="宋体" w:hAnsi="宋体" w:eastAsia="宋体" w:cs="宋体"/>
          <w:b/>
          <w:bCs/>
          <w:color w:val="auto"/>
          <w:sz w:val="24"/>
          <w:szCs w:val="24"/>
          <w:highlight w:val="none"/>
        </w:rPr>
        <w:t>每次付款前，设计人需提供符合发包人要求的</w:t>
      </w:r>
      <w:r>
        <w:rPr>
          <w:rFonts w:hint="eastAsia" w:ascii="宋体" w:hAnsi="宋体" w:eastAsia="宋体" w:cs="宋体"/>
          <w:b/>
          <w:bCs/>
          <w:color w:val="auto"/>
          <w:sz w:val="24"/>
          <w:szCs w:val="24"/>
          <w:highlight w:val="none"/>
          <w:u w:val="single"/>
        </w:rPr>
        <w:t>增值税</w:t>
      </w:r>
      <w:r>
        <w:rPr>
          <w:rFonts w:hint="eastAsia" w:ascii="宋体" w:hAnsi="宋体" w:eastAsia="宋体" w:cs="宋体"/>
          <w:b/>
          <w:bCs/>
          <w:color w:val="auto"/>
          <w:sz w:val="24"/>
          <w:szCs w:val="24"/>
          <w:highlight w:val="none"/>
        </w:rPr>
        <w:t>发票，否则发包人有权拒绝付款。</w:t>
      </w:r>
    </w:p>
    <w:p w14:paraId="1A6C9FA4">
      <w:pPr>
        <w:pStyle w:val="46"/>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13.不可抗力</w:t>
      </w:r>
    </w:p>
    <w:p w14:paraId="633B923B">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通用合同条款约定的不可抗力事件之外，视为不可抗力的其他情形：由于不可抗力因素（包括暴力、瘟疫、战争、地震、狂风、暴雪等）或者政府政策、政府行为等造成经济损失，双方均不承担经济责任，工期另议或顺延。</w:t>
      </w:r>
    </w:p>
    <w:p w14:paraId="033C3222">
      <w:pPr>
        <w:pStyle w:val="46"/>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14.违约</w:t>
      </w:r>
    </w:p>
    <w:p w14:paraId="498BDCF4">
      <w:pPr>
        <w:pStyle w:val="46"/>
        <w:spacing w:line="360" w:lineRule="auto"/>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14.1设计人违约</w:t>
      </w:r>
    </w:p>
    <w:p w14:paraId="4DC7CA2C">
      <w:pPr>
        <w:pStyle w:val="46"/>
        <w:spacing w:line="360" w:lineRule="auto"/>
        <w:ind w:firstLine="480" w:firstLineChars="200"/>
        <w:jc w:val="left"/>
        <w:rPr>
          <w:rFonts w:hint="eastAsia" w:ascii="宋体" w:hAnsi="宋体" w:eastAsia="宋体" w:cs="宋体"/>
          <w:b/>
          <w:i/>
          <w:iCs/>
          <w:color w:val="auto"/>
          <w:sz w:val="24"/>
          <w:szCs w:val="24"/>
          <w:highlight w:val="none"/>
        </w:rPr>
      </w:pPr>
      <w:r>
        <w:rPr>
          <w:rFonts w:hint="eastAsia" w:ascii="宋体" w:hAnsi="宋体" w:eastAsia="宋体" w:cs="宋体"/>
          <w:bCs/>
          <w:color w:val="auto"/>
          <w:sz w:val="24"/>
          <w:szCs w:val="24"/>
          <w:highlight w:val="none"/>
        </w:rPr>
        <w:t>14.1.3关于设计人违约的补充</w:t>
      </w:r>
    </w:p>
    <w:p w14:paraId="53BCB8FE">
      <w:pPr>
        <w:pStyle w:val="45"/>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14.1.3.1</w:t>
      </w:r>
      <w:r>
        <w:rPr>
          <w:rFonts w:hint="eastAsia" w:ascii="宋体" w:hAnsi="宋体" w:eastAsia="宋体" w:cs="宋体"/>
          <w:color w:val="auto"/>
          <w:sz w:val="24"/>
          <w:szCs w:val="24"/>
          <w:highlight w:val="none"/>
        </w:rPr>
        <w:t>设计人支付发包人的违约金：</w:t>
      </w:r>
    </w:p>
    <w:p w14:paraId="74E77109">
      <w:pPr>
        <w:pStyle w:val="91"/>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（1）由于设计人原因，未按发包人的要求在规定的时间内协调解决设计方面的相关问题，或未在规定时间内提交解决方案，按违约处理，</w:t>
      </w:r>
      <w:r>
        <w:rPr>
          <w:rFonts w:hint="eastAsia" w:ascii="宋体" w:hAnsi="宋体" w:eastAsia="宋体" w:cs="宋体"/>
          <w:color w:val="auto"/>
          <w:sz w:val="24"/>
          <w:szCs w:val="24"/>
          <w:highlight w:val="none"/>
          <w:u w:val="single"/>
          <w:lang w:eastAsia="zh-CN"/>
        </w:rPr>
        <w:t>设计人向发包人支付</w:t>
      </w:r>
      <w:r>
        <w:rPr>
          <w:rFonts w:hint="eastAsia" w:ascii="宋体" w:hAnsi="宋体" w:eastAsia="宋体" w:cs="宋体"/>
          <w:color w:val="auto"/>
          <w:sz w:val="24"/>
          <w:szCs w:val="24"/>
          <w:highlight w:val="none"/>
          <w:u w:val="single"/>
        </w:rPr>
        <w:t>2000元/次违约金。发包人有权寻求第三方予以解决上述情况，所需费用由设计人承担。</w:t>
      </w:r>
    </w:p>
    <w:p w14:paraId="442D7ABD">
      <w:pPr>
        <w:pStyle w:val="91"/>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（2）发包人组织的相关工程协调会通知而未参加的，按违约处理</w:t>
      </w:r>
      <w:r>
        <w:rPr>
          <w:rFonts w:hint="eastAsia" w:ascii="宋体" w:hAnsi="宋体" w:eastAsia="宋体" w:cs="宋体"/>
          <w:color w:val="auto"/>
          <w:sz w:val="24"/>
          <w:szCs w:val="24"/>
          <w:highlight w:val="none"/>
          <w:u w:val="single"/>
          <w:lang w:eastAsia="zh-CN"/>
        </w:rPr>
        <w:t>，设计人向发包人支付</w:t>
      </w:r>
      <w:r>
        <w:rPr>
          <w:rFonts w:hint="eastAsia" w:ascii="宋体" w:hAnsi="宋体" w:eastAsia="宋体" w:cs="宋体"/>
          <w:color w:val="auto"/>
          <w:sz w:val="24"/>
          <w:szCs w:val="24"/>
          <w:highlight w:val="none"/>
          <w:u w:val="single"/>
        </w:rPr>
        <w:t>2000元/次违约金。</w:t>
      </w:r>
    </w:p>
    <w:p w14:paraId="1FE62C33">
      <w:pPr>
        <w:pStyle w:val="91"/>
        <w:spacing w:line="360" w:lineRule="auto"/>
        <w:ind w:firstLine="480" w:firstLineChars="200"/>
        <w:jc w:val="left"/>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 xml:space="preserve">（3）设计人承诺的常驻现场的人员（在设计合同签订之日开始至工程竣工验收合格之日止）进行沟通对接（每天不低于 </w:t>
      </w:r>
      <w:r>
        <w:rPr>
          <w:rFonts w:hint="default" w:ascii="宋体" w:hAnsi="宋体" w:eastAsia="宋体" w:cs="宋体"/>
          <w:color w:val="auto"/>
          <w:sz w:val="24"/>
          <w:szCs w:val="24"/>
          <w:highlight w:val="none"/>
          <w:u w:val="single"/>
          <w:lang w:val="en-US" w:eastAsia="zh-CN"/>
        </w:rPr>
        <w:t xml:space="preserve">8 </w:t>
      </w:r>
      <w:r>
        <w:rPr>
          <w:rFonts w:hint="eastAsia" w:ascii="宋体" w:hAnsi="宋体" w:eastAsia="宋体" w:cs="宋体"/>
          <w:color w:val="auto"/>
          <w:sz w:val="24"/>
          <w:szCs w:val="24"/>
          <w:highlight w:val="none"/>
          <w:u w:val="single"/>
          <w:lang w:val="en-US" w:eastAsia="zh-CN"/>
        </w:rPr>
        <w:t>小时，每周不低于5</w:t>
      </w:r>
      <w:r>
        <w:rPr>
          <w:rFonts w:hint="default"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天），没有实际到场的，设计人向发包人支付2000元/天违约金。  </w:t>
      </w:r>
    </w:p>
    <w:p w14:paraId="66A4950C">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u w:val="single"/>
          <w:lang w:val="en-US" w:eastAsia="zh-CN"/>
        </w:rPr>
        <w:t>）设计人在报审、报规环节中，要安排专门的专业人员按照审批部门或发包人的时间要求驻场办公，每日报备行程及工作情况，及时改图、晒图直至报审、报规通过，由此产生的费用由设计人承担。如未按要求时间报审、报规，每延误一天，需向发包人支付违约金5000元。</w:t>
      </w:r>
    </w:p>
    <w:p w14:paraId="5EF62363">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5</w:t>
      </w:r>
      <w:r>
        <w:rPr>
          <w:rFonts w:hint="eastAsia" w:ascii="宋体" w:hAnsi="宋体" w:eastAsia="宋体" w:cs="宋体"/>
          <w:color w:val="auto"/>
          <w:sz w:val="24"/>
          <w:szCs w:val="24"/>
          <w:highlight w:val="none"/>
          <w:u w:val="single"/>
          <w:lang w:val="en-US" w:eastAsia="zh-CN"/>
        </w:rPr>
        <w:t>）设计人如未按发包人指令配合施工图审查工作，每次向发包人支付1万元违约金。</w:t>
      </w:r>
    </w:p>
    <w:p w14:paraId="5605C236">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6</w:t>
      </w:r>
      <w:r>
        <w:rPr>
          <w:rFonts w:hint="eastAsia" w:ascii="宋体" w:hAnsi="宋体" w:eastAsia="宋体" w:cs="宋体"/>
          <w:color w:val="auto"/>
          <w:sz w:val="24"/>
          <w:szCs w:val="24"/>
          <w:highlight w:val="none"/>
          <w:u w:val="single"/>
          <w:lang w:val="en-US" w:eastAsia="zh-CN"/>
        </w:rPr>
        <w:t>）设计人第三次图审审核仍未通过，设计人向发包人支付3万元违约金，发包人有权解除合同；</w:t>
      </w:r>
    </w:p>
    <w:p w14:paraId="7800B5BD">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（7）设计人提交的设计成果文件达不到设计合同所规定设计质量或设计深度的，设计人应负责修改完善，由此引起的设计工作量增加或重复的，发包人不予设计费补偿。</w:t>
      </w:r>
    </w:p>
    <w:p w14:paraId="68576CAB">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w:t>
      </w:r>
      <w:r>
        <w:rPr>
          <w:rFonts w:hint="eastAsia" w:ascii="宋体" w:hAnsi="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lang w:val="en-US" w:eastAsia="zh-CN"/>
        </w:rPr>
        <w:t xml:space="preserve">）设计阶段设计成果文件出现图纸错漏、设计缺项、施工方案或工艺做法不明确、选材要求不清、各专业图纸冲突或未按发包人要求设计等明显错误或遗漏的， 根据情节轻重按 </w:t>
      </w:r>
      <w:r>
        <w:rPr>
          <w:rFonts w:hint="eastAsia" w:ascii="宋体" w:hAnsi="宋体" w:cs="宋体"/>
          <w:color w:val="auto"/>
          <w:sz w:val="24"/>
          <w:szCs w:val="24"/>
          <w:highlight w:val="none"/>
          <w:u w:val="single"/>
          <w:lang w:val="en-US" w:eastAsia="zh-CN"/>
        </w:rPr>
        <w:t>200-1000</w:t>
      </w:r>
      <w:r>
        <w:rPr>
          <w:rFonts w:hint="eastAsia" w:ascii="宋体" w:hAnsi="宋体" w:eastAsia="宋体" w:cs="宋体"/>
          <w:color w:val="auto"/>
          <w:sz w:val="24"/>
          <w:szCs w:val="24"/>
          <w:highlight w:val="none"/>
          <w:u w:val="single"/>
          <w:lang w:val="en-US" w:eastAsia="zh-CN"/>
        </w:rPr>
        <w:t>元</w:t>
      </w:r>
      <w:r>
        <w:rPr>
          <w:rFonts w:hint="default"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 xml:space="preserve">项支付违约金。若修改完善后的设计成果文件的提交时间迟于设计合同约定时间，视为设计成果文件逾期提交，按 </w:t>
      </w:r>
      <w:r>
        <w:rPr>
          <w:rFonts w:hint="default" w:ascii="宋体" w:hAnsi="宋体" w:eastAsia="宋体" w:cs="宋体"/>
          <w:color w:val="auto"/>
          <w:sz w:val="24"/>
          <w:szCs w:val="24"/>
          <w:highlight w:val="none"/>
          <w:u w:val="single"/>
          <w:lang w:val="en-US" w:eastAsia="zh-CN"/>
        </w:rPr>
        <w:t>14.</w:t>
      </w:r>
      <w:r>
        <w:rPr>
          <w:rFonts w:hint="eastAsia" w:ascii="宋体" w:hAnsi="宋体" w:eastAsia="宋体" w:cs="宋体"/>
          <w:color w:val="auto"/>
          <w:sz w:val="24"/>
          <w:szCs w:val="24"/>
          <w:highlight w:val="none"/>
          <w:u w:val="single"/>
          <w:lang w:val="en-US" w:eastAsia="zh-CN"/>
        </w:rPr>
        <w:t>1.3.3</w:t>
      </w:r>
      <w:r>
        <w:rPr>
          <w:rFonts w:hint="default"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规定执行。 </w:t>
      </w:r>
    </w:p>
    <w:p w14:paraId="4B4B53E3">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（9）若因设计人责任造成工程结算金额超过工程合同金额3%的，超出部分每增加1%(不足1%，按1%计)，设计人支付设计费的 3%作为违约金。</w:t>
      </w:r>
    </w:p>
    <w:p w14:paraId="58A9EAEE">
      <w:pPr>
        <w:pStyle w:val="91"/>
        <w:spacing w:line="360" w:lineRule="auto"/>
        <w:ind w:firstLine="480" w:firstLineChars="200"/>
        <w:jc w:val="left"/>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u w:val="single"/>
          <w:lang w:val="en-US" w:eastAsia="zh-CN"/>
        </w:rPr>
        <w:t>（1</w:t>
      </w:r>
      <w:r>
        <w:rPr>
          <w:rFonts w:hint="eastAsia" w:ascii="宋体" w:hAnsi="宋体" w:cs="宋体"/>
          <w:color w:val="auto"/>
          <w:sz w:val="24"/>
          <w:szCs w:val="24"/>
          <w:highlight w:val="none"/>
          <w:u w:val="single"/>
          <w:lang w:val="en-US" w:eastAsia="zh-CN"/>
        </w:rPr>
        <w:t>0</w:t>
      </w:r>
      <w:r>
        <w:rPr>
          <w:rFonts w:hint="eastAsia" w:ascii="宋体" w:hAnsi="宋体" w:eastAsia="宋体" w:cs="宋体"/>
          <w:color w:val="auto"/>
          <w:sz w:val="24"/>
          <w:szCs w:val="24"/>
          <w:highlight w:val="none"/>
          <w:u w:val="single"/>
          <w:lang w:val="en-US" w:eastAsia="zh-CN"/>
        </w:rPr>
        <w:t>）设计人在设计中采用新材料和工艺的，需同时向发包人提供相关设计参考资料。对可能涉及市场独家或垄断性供应，设计人应提前书面告知发包人，否则由此引起的设计修改，发包人有权根据情节轻重处以设计人</w:t>
      </w:r>
      <w:r>
        <w:rPr>
          <w:rFonts w:hint="default" w:ascii="宋体" w:hAnsi="宋体" w:eastAsia="宋体" w:cs="宋体"/>
          <w:color w:val="auto"/>
          <w:sz w:val="24"/>
          <w:szCs w:val="24"/>
          <w:highlight w:val="none"/>
          <w:u w:val="single"/>
          <w:lang w:val="en-US" w:eastAsia="zh-CN"/>
        </w:rPr>
        <w:t>500</w:t>
      </w:r>
      <w:r>
        <w:rPr>
          <w:rFonts w:hint="eastAsia" w:ascii="宋体" w:hAnsi="宋体" w:eastAsia="宋体" w:cs="宋体"/>
          <w:color w:val="auto"/>
          <w:sz w:val="24"/>
          <w:szCs w:val="24"/>
          <w:highlight w:val="none"/>
          <w:u w:val="single"/>
          <w:lang w:val="en-US" w:eastAsia="zh-CN"/>
        </w:rPr>
        <w:t>0</w:t>
      </w:r>
      <w:r>
        <w:rPr>
          <w:rFonts w:hint="default"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10</w:t>
      </w:r>
      <w:r>
        <w:rPr>
          <w:rFonts w:hint="default" w:ascii="宋体" w:hAnsi="宋体" w:eastAsia="宋体" w:cs="宋体"/>
          <w:color w:val="auto"/>
          <w:sz w:val="24"/>
          <w:szCs w:val="24"/>
          <w:highlight w:val="none"/>
          <w:u w:val="single"/>
          <w:lang w:val="en-US" w:eastAsia="zh-CN"/>
        </w:rPr>
        <w:t xml:space="preserve">000 </w:t>
      </w:r>
      <w:r>
        <w:rPr>
          <w:rFonts w:hint="eastAsia" w:ascii="宋体" w:hAnsi="宋体" w:eastAsia="宋体" w:cs="宋体"/>
          <w:color w:val="auto"/>
          <w:sz w:val="24"/>
          <w:szCs w:val="24"/>
          <w:highlight w:val="none"/>
          <w:u w:val="single"/>
          <w:lang w:val="en-US" w:eastAsia="zh-CN"/>
        </w:rPr>
        <w:t>元</w:t>
      </w:r>
      <w:r>
        <w:rPr>
          <w:rFonts w:hint="default"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u w:val="single"/>
          <w:lang w:val="en-US" w:eastAsia="zh-CN"/>
        </w:rPr>
        <w:t>次违约金。</w:t>
      </w:r>
    </w:p>
    <w:p w14:paraId="4452D877">
      <w:pPr>
        <w:pStyle w:val="91"/>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14.1.3.2设计人逾期交付工程设计文件的违约金：</w:t>
      </w:r>
      <w:r>
        <w:rPr>
          <w:rFonts w:hint="eastAsia" w:ascii="宋体" w:hAnsi="宋体" w:eastAsia="宋体" w:cs="宋体"/>
          <w:color w:val="auto"/>
          <w:sz w:val="24"/>
          <w:szCs w:val="24"/>
          <w:highlight w:val="none"/>
          <w:u w:val="none"/>
          <w:lang w:eastAsia="zh-CN"/>
        </w:rPr>
        <w:t>由于设计人自身原因延误了按本合同规定的设计资料及设计文件的交付时间</w:t>
      </w:r>
      <w:r>
        <w:rPr>
          <w:rFonts w:hint="eastAsia" w:ascii="宋体" w:hAnsi="宋体" w:eastAsia="宋体" w:cs="宋体"/>
          <w:color w:val="auto"/>
          <w:sz w:val="24"/>
          <w:szCs w:val="24"/>
          <w:highlight w:val="none"/>
          <w:u w:val="none"/>
        </w:rPr>
        <w:t>，设计人向发包人支付人民币1万元</w:t>
      </w:r>
      <w:r>
        <w:rPr>
          <w:rFonts w:hint="eastAsia" w:ascii="宋体" w:hAnsi="宋体" w:eastAsia="宋体" w:cs="宋体"/>
          <w:color w:val="auto"/>
          <w:sz w:val="24"/>
          <w:szCs w:val="24"/>
          <w:highlight w:val="none"/>
          <w:u w:val="none"/>
          <w:lang w:val="en-US" w:eastAsia="zh-CN"/>
        </w:rPr>
        <w:t>/天</w:t>
      </w:r>
      <w:r>
        <w:rPr>
          <w:rFonts w:hint="eastAsia" w:ascii="宋体" w:hAnsi="宋体" w:eastAsia="宋体" w:cs="宋体"/>
          <w:color w:val="auto"/>
          <w:sz w:val="24"/>
          <w:szCs w:val="24"/>
          <w:highlight w:val="none"/>
          <w:u w:val="none"/>
        </w:rPr>
        <w:t>作为违约金，违约金上限为合同总价的 10%。延误超过56天的，发包人有权解除合同，设计人应退还已收取的费用并承担由此给发包人造成的损失。</w:t>
      </w:r>
    </w:p>
    <w:p w14:paraId="2B6D77B8">
      <w:pPr>
        <w:pStyle w:val="91"/>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14.1.3.3设计人逾期交付工程设计文件的违约金的上限：</w:t>
      </w:r>
      <w:r>
        <w:rPr>
          <w:rFonts w:hint="eastAsia" w:ascii="宋体" w:hAnsi="宋体" w:eastAsia="宋体" w:cs="宋体"/>
          <w:color w:val="auto"/>
          <w:sz w:val="24"/>
          <w:szCs w:val="24"/>
          <w:highlight w:val="none"/>
          <w:u w:val="single"/>
        </w:rPr>
        <w:t xml:space="preserve">合同总价的10% </w:t>
      </w:r>
      <w:r>
        <w:rPr>
          <w:rFonts w:hint="eastAsia" w:ascii="宋体" w:hAnsi="宋体" w:eastAsia="宋体" w:cs="宋体"/>
          <w:color w:val="auto"/>
          <w:sz w:val="24"/>
          <w:szCs w:val="24"/>
          <w:highlight w:val="none"/>
          <w:u w:val="none"/>
        </w:rPr>
        <w:t>。设计人设计文件不合格的损失赔偿金的上限：</w:t>
      </w:r>
      <w:r>
        <w:rPr>
          <w:rFonts w:hint="eastAsia" w:ascii="宋体" w:hAnsi="宋体" w:eastAsia="宋体" w:cs="宋体"/>
          <w:color w:val="auto"/>
          <w:sz w:val="24"/>
          <w:szCs w:val="24"/>
          <w:highlight w:val="none"/>
          <w:u w:val="single"/>
        </w:rPr>
        <w:t xml:space="preserve"> 合同总价的10% </w:t>
      </w:r>
      <w:r>
        <w:rPr>
          <w:rFonts w:hint="eastAsia" w:ascii="宋体" w:hAnsi="宋体" w:eastAsia="宋体" w:cs="宋体"/>
          <w:color w:val="auto"/>
          <w:sz w:val="24"/>
          <w:szCs w:val="24"/>
          <w:highlight w:val="none"/>
          <w:u w:val="none"/>
        </w:rPr>
        <w:t>。</w:t>
      </w:r>
    </w:p>
    <w:p w14:paraId="408A69AE">
      <w:pPr>
        <w:pStyle w:val="91"/>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14.1.3.4设计人工程设计文件超出主要技术指标控制值比例的违约责任：</w:t>
      </w:r>
      <w:r>
        <w:rPr>
          <w:rFonts w:hint="eastAsia" w:ascii="宋体" w:hAnsi="宋体" w:eastAsia="宋体" w:cs="宋体"/>
          <w:color w:val="auto"/>
          <w:sz w:val="24"/>
          <w:szCs w:val="24"/>
          <w:highlight w:val="none"/>
          <w:u w:val="single"/>
        </w:rPr>
        <w:t>合同总价的10%。</w:t>
      </w:r>
    </w:p>
    <w:p w14:paraId="1B36BF44">
      <w:pPr>
        <w:pStyle w:val="91"/>
        <w:spacing w:line="360" w:lineRule="auto"/>
        <w:ind w:firstLine="480" w:firstLineChars="200"/>
        <w:jc w:val="left"/>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rPr>
        <w:t>14.1.3.5设计人未经发包人同意擅自对工程设计进行分包的违约责任：</w:t>
      </w:r>
      <w:r>
        <w:rPr>
          <w:rFonts w:hint="eastAsia" w:ascii="宋体" w:hAnsi="宋体" w:eastAsia="宋体" w:cs="宋体"/>
          <w:color w:val="auto"/>
          <w:sz w:val="24"/>
          <w:szCs w:val="24"/>
          <w:highlight w:val="none"/>
          <w:u w:val="none"/>
          <w:lang w:val="en-US" w:eastAsia="zh-CN"/>
        </w:rPr>
        <w:t>动物房、洁净室等专项设计前，设计团队须经发包人认可。设计人 未经发包人同意擅自对工程设计进行分包的，设计人应立即纠正，并按合同总价的10%支付违约金；拒不纠正的，发包人有权要求终止合同执行，因此造成的损失由设计人承担</w:t>
      </w:r>
      <w:r>
        <w:rPr>
          <w:rFonts w:hint="eastAsia" w:ascii="宋体" w:hAnsi="宋体" w:cs="宋体"/>
          <w:color w:val="auto"/>
          <w:sz w:val="24"/>
          <w:szCs w:val="24"/>
          <w:highlight w:val="none"/>
          <w:u w:val="none"/>
          <w:lang w:val="en-US" w:eastAsia="zh-CN"/>
        </w:rPr>
        <w:t>。</w:t>
      </w:r>
    </w:p>
    <w:p w14:paraId="43E7238B">
      <w:pPr>
        <w:pStyle w:val="91"/>
        <w:spacing w:line="360" w:lineRule="auto"/>
        <w:ind w:firstLine="480" w:firstLineChars="200"/>
        <w:jc w:val="left"/>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14.2发包人违约</w:t>
      </w:r>
    </w:p>
    <w:p w14:paraId="2EB02DC5">
      <w:pPr>
        <w:pStyle w:val="46"/>
        <w:spacing w:line="360" w:lineRule="auto"/>
        <w:ind w:firstLine="480" w:firstLineChars="200"/>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14.2.3</w:t>
      </w:r>
      <w:r>
        <w:rPr>
          <w:rFonts w:hint="eastAsia" w:ascii="宋体" w:hAnsi="宋体" w:eastAsia="宋体" w:cs="宋体"/>
          <w:b/>
          <w:bCs/>
          <w:color w:val="auto"/>
          <w:sz w:val="24"/>
          <w:szCs w:val="24"/>
          <w:highlight w:val="none"/>
        </w:rPr>
        <w:t xml:space="preserve"> 因发包人原因造成设计停止、合同终止的，发包人按认可的工作量，与设计人一次性结清费用（无息），设计人不得因此向发包人提出其他任何补偿或赔偿。</w:t>
      </w:r>
    </w:p>
    <w:p w14:paraId="74A20F3B">
      <w:pPr>
        <w:pStyle w:val="46"/>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15.争议解决</w:t>
      </w:r>
    </w:p>
    <w:p w14:paraId="6AFC743B">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15.1因履行本合同引起的或与本合同有关的争议，发包人、设计人双方应首先通过友好协商解决，如果协商不能解决争议，则采取以下第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种方式解决争议：</w:t>
      </w:r>
    </w:p>
    <w:p w14:paraId="03A5667F">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（1）向</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委员会按其仲裁规则申请仲裁；</w:t>
      </w:r>
    </w:p>
    <w:p w14:paraId="216295F4">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（2）向</w:t>
      </w:r>
      <w:r>
        <w:rPr>
          <w:rFonts w:hint="eastAsia" w:ascii="宋体" w:hAnsi="宋体" w:eastAsia="宋体" w:cs="宋体"/>
          <w:color w:val="auto"/>
          <w:sz w:val="24"/>
          <w:szCs w:val="24"/>
          <w:highlight w:val="none"/>
          <w:u w:val="single"/>
        </w:rPr>
        <w:t>工程所在地</w:t>
      </w:r>
      <w:r>
        <w:rPr>
          <w:rFonts w:hint="eastAsia" w:ascii="宋体" w:hAnsi="宋体" w:eastAsia="宋体" w:cs="宋体"/>
          <w:color w:val="auto"/>
          <w:sz w:val="24"/>
          <w:szCs w:val="24"/>
          <w:highlight w:val="none"/>
        </w:rPr>
        <w:t>有管辖权的人民法院提起诉讼。</w:t>
      </w:r>
    </w:p>
    <w:p w14:paraId="42D9A798">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如没有约定，默认采取第2种方式解决争议。</w:t>
      </w:r>
    </w:p>
    <w:p w14:paraId="42042C78">
      <w:pPr>
        <w:pStyle w:val="46"/>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15.2其他说明：投标人需配合统筹衔接各产权单位设计文件。</w:t>
      </w:r>
    </w:p>
    <w:p w14:paraId="1A059648">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15.3合同当事人是否同意将工程争议提交争议评审小组决定：</w:t>
      </w:r>
      <w:r>
        <w:rPr>
          <w:rFonts w:hint="eastAsia" w:ascii="宋体" w:hAnsi="宋体" w:eastAsia="宋体" w:cs="宋体"/>
          <w:color w:val="auto"/>
          <w:sz w:val="24"/>
          <w:szCs w:val="24"/>
          <w:highlight w:val="none"/>
          <w:u w:val="single"/>
        </w:rPr>
        <w:t xml:space="preserve"> 否  </w:t>
      </w:r>
      <w:r>
        <w:rPr>
          <w:rFonts w:hint="eastAsia" w:ascii="宋体" w:hAnsi="宋体" w:eastAsia="宋体" w:cs="宋体"/>
          <w:color w:val="auto"/>
          <w:sz w:val="24"/>
          <w:szCs w:val="24"/>
          <w:highlight w:val="none"/>
        </w:rPr>
        <w:t>。</w:t>
      </w:r>
    </w:p>
    <w:p w14:paraId="087058CC">
      <w:pPr>
        <w:pStyle w:val="46"/>
        <w:spacing w:line="360" w:lineRule="auto"/>
        <w:ind w:firstLine="482" w:firstLineChars="20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16. 其他（如果没有，填“无”）</w:t>
      </w:r>
    </w:p>
    <w:p w14:paraId="63FA1827">
      <w:pPr>
        <w:pStyle w:val="93"/>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（1）本合同及合同注明附件、投标文件具有同等法律效力。</w:t>
      </w:r>
    </w:p>
    <w:p w14:paraId="35B5F4FC">
      <w:pPr>
        <w:pStyle w:val="93"/>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（2）双方签字认可的设计方案、其他经双方签字确认的书面材料、承诺书等均为本合同的组成部分，与本合同具有同等法律效力。</w:t>
      </w:r>
    </w:p>
    <w:p w14:paraId="64DAF42E">
      <w:pPr>
        <w:pStyle w:val="93"/>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（3）甲乙双方设计方案以外的所有变更或要求必须致函对方。</w:t>
      </w:r>
    </w:p>
    <w:p w14:paraId="137E05FF">
      <w:pPr>
        <w:pStyle w:val="93"/>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（4）本合同及其附件有效期为自双方签字、盖章之日起生效；自双方履约事务结束，结清所有工程款项后终止。</w:t>
      </w:r>
    </w:p>
    <w:p w14:paraId="4B53B483">
      <w:pPr>
        <w:pStyle w:val="93"/>
        <w:spacing w:line="360" w:lineRule="auto"/>
        <w:ind w:firstLine="480" w:firstLineChars="200"/>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（5）开始设计时间以发包人通知为准。</w:t>
      </w:r>
    </w:p>
    <w:p w14:paraId="39EBA79F">
      <w:pPr>
        <w:pStyle w:val="45"/>
        <w:rPr>
          <w:rFonts w:hint="eastAsia" w:ascii="宋体" w:hAnsi="宋体" w:eastAsia="宋体" w:cs="宋体"/>
          <w:color w:val="auto"/>
          <w:sz w:val="24"/>
          <w:szCs w:val="24"/>
          <w:highlight w:val="none"/>
        </w:rPr>
      </w:pPr>
    </w:p>
    <w:p w14:paraId="7F5E0A04">
      <w:pPr>
        <w:widowControl/>
        <w:jc w:val="left"/>
        <w:rPr>
          <w:rFonts w:hint="eastAsia" w:ascii="宋体" w:hAnsi="宋体" w:eastAsia="宋体" w:cs="宋体"/>
          <w:snapToGrid w:val="0"/>
          <w:color w:val="auto"/>
          <w:sz w:val="24"/>
          <w:szCs w:val="24"/>
          <w:highlight w:val="none"/>
        </w:rPr>
      </w:pPr>
      <w:r>
        <w:rPr>
          <w:rFonts w:hint="eastAsia" w:ascii="宋体" w:hAnsi="宋体" w:eastAsia="宋体" w:cs="宋体"/>
          <w:color w:val="auto"/>
          <w:sz w:val="24"/>
          <w:szCs w:val="24"/>
          <w:highlight w:val="none"/>
        </w:rPr>
        <w:br w:type="page"/>
      </w:r>
    </w:p>
    <w:p w14:paraId="6B079323">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14:paraId="01B86C3B">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：设计人向发包人交付的工程设计文件目录</w:t>
      </w:r>
    </w:p>
    <w:p w14:paraId="31E330F6">
      <w:pPr>
        <w:pStyle w:val="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cs="宋体"/>
          <w:color w:val="auto"/>
          <w:sz w:val="24"/>
          <w:szCs w:val="24"/>
          <w:highlight w:val="none"/>
          <w:lang w:val="en-US" w:eastAsia="zh-CN"/>
        </w:rPr>
        <w:t>2</w:t>
      </w:r>
      <w:r>
        <w:rPr>
          <w:rFonts w:hint="eastAsia" w:ascii="宋体" w:hAnsi="宋体" w:eastAsia="宋体" w:cs="宋体"/>
          <w:color w:val="auto"/>
          <w:sz w:val="24"/>
          <w:szCs w:val="24"/>
          <w:highlight w:val="none"/>
        </w:rPr>
        <w:t>：设计人主要设计人员表</w:t>
      </w:r>
    </w:p>
    <w:p w14:paraId="7A7B837F">
      <w:pPr>
        <w:pStyle w:val="45"/>
        <w:rPr>
          <w:rFonts w:hint="eastAsia" w:ascii="宋体" w:hAnsi="宋体" w:eastAsia="宋体" w:cs="宋体"/>
          <w:color w:val="auto"/>
          <w:sz w:val="24"/>
          <w:szCs w:val="24"/>
          <w:highlight w:val="none"/>
        </w:rPr>
      </w:pPr>
      <w:bookmarkStart w:id="26" w:name="_Toc278309718"/>
      <w:bookmarkStart w:id="27" w:name="_Toc278231958"/>
      <w:r>
        <w:rPr>
          <w:rFonts w:hint="eastAsia" w:ascii="宋体" w:hAnsi="宋体" w:eastAsia="宋体" w:cs="宋体"/>
          <w:color w:val="auto"/>
          <w:sz w:val="24"/>
          <w:szCs w:val="24"/>
          <w:highlight w:val="none"/>
        </w:rPr>
        <w:t>附件</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：廉政协议书</w:t>
      </w:r>
    </w:p>
    <w:bookmarkEnd w:id="26"/>
    <w:bookmarkEnd w:id="27"/>
    <w:p w14:paraId="65760410">
      <w:pPr>
        <w:pStyle w:val="45"/>
        <w:rPr>
          <w:rFonts w:hint="eastAsia" w:ascii="宋体" w:hAnsi="宋体" w:eastAsia="宋体" w:cs="宋体"/>
          <w:color w:val="auto"/>
          <w:highlight w:val="none"/>
        </w:rPr>
      </w:pPr>
      <w:bookmarkStart w:id="28" w:name="_Toc278309719"/>
      <w:bookmarkStart w:id="29" w:name="_Toc278231959"/>
      <w:r>
        <w:rPr>
          <w:rFonts w:hint="eastAsia" w:ascii="宋体" w:hAnsi="宋体" w:eastAsia="宋体" w:cs="宋体"/>
          <w:color w:val="auto"/>
          <w:highlight w:val="none"/>
        </w:rPr>
        <w:br w:type="page"/>
      </w:r>
      <w:r>
        <w:rPr>
          <w:rFonts w:hint="eastAsia" w:ascii="宋体" w:hAnsi="宋体" w:eastAsia="宋体" w:cs="宋体"/>
          <w:color w:val="auto"/>
          <w:highlight w:val="none"/>
        </w:rPr>
        <w:t>附件</w:t>
      </w:r>
      <w:r>
        <w:rPr>
          <w:rFonts w:hint="eastAsia" w:cs="宋体"/>
          <w:color w:val="auto"/>
          <w:highlight w:val="none"/>
          <w:lang w:val="en-US" w:eastAsia="zh-CN"/>
        </w:rPr>
        <w:t>1</w:t>
      </w:r>
      <w:r>
        <w:rPr>
          <w:rFonts w:hint="eastAsia" w:ascii="宋体" w:hAnsi="宋体" w:eastAsia="宋体" w:cs="宋体"/>
          <w:color w:val="auto"/>
          <w:highlight w:val="none"/>
        </w:rPr>
        <w:t xml:space="preserve"> ：</w:t>
      </w:r>
    </w:p>
    <w:bookmarkEnd w:id="28"/>
    <w:bookmarkEnd w:id="29"/>
    <w:p w14:paraId="2BCF51B2">
      <w:pPr>
        <w:pStyle w:val="45"/>
        <w:rPr>
          <w:rFonts w:hint="eastAsia" w:ascii="宋体" w:hAnsi="宋体" w:eastAsia="宋体" w:cs="宋体"/>
          <w:color w:val="auto"/>
          <w:highlight w:val="none"/>
        </w:rPr>
      </w:pPr>
      <w:r>
        <w:rPr>
          <w:rFonts w:hint="eastAsia" w:ascii="宋体" w:hAnsi="宋体" w:eastAsia="宋体" w:cs="宋体"/>
          <w:color w:val="auto"/>
          <w:highlight w:val="none"/>
        </w:rPr>
        <w:t>设计人向发包人交付的工程设计文件目录</w:t>
      </w:r>
    </w:p>
    <w:p w14:paraId="6C4398E8">
      <w:pPr>
        <w:pStyle w:val="45"/>
        <w:rPr>
          <w:rFonts w:hint="eastAsia" w:ascii="宋体" w:hAnsi="宋体" w:eastAsia="宋体" w:cs="宋体"/>
          <w:color w:val="auto"/>
          <w:highlight w:val="none"/>
        </w:rPr>
      </w:pPr>
    </w:p>
    <w:tbl>
      <w:tblPr>
        <w:tblStyle w:val="25"/>
        <w:tblW w:w="91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606"/>
        <w:gridCol w:w="720"/>
        <w:gridCol w:w="2620"/>
        <w:gridCol w:w="1352"/>
      </w:tblGrid>
      <w:tr w14:paraId="5764F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7" w:hRule="atLeast"/>
        </w:trPr>
        <w:tc>
          <w:tcPr>
            <w:tcW w:w="817" w:type="dxa"/>
            <w:noWrap w:val="0"/>
            <w:vAlign w:val="center"/>
          </w:tcPr>
          <w:p w14:paraId="163E356B">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606" w:type="dxa"/>
            <w:noWrap w:val="0"/>
            <w:vAlign w:val="center"/>
          </w:tcPr>
          <w:p w14:paraId="6A1FF398">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资料及文件名称</w:t>
            </w:r>
          </w:p>
        </w:tc>
        <w:tc>
          <w:tcPr>
            <w:tcW w:w="720" w:type="dxa"/>
            <w:noWrap w:val="0"/>
            <w:vAlign w:val="center"/>
          </w:tcPr>
          <w:p w14:paraId="302980BE">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份数</w:t>
            </w:r>
          </w:p>
        </w:tc>
        <w:tc>
          <w:tcPr>
            <w:tcW w:w="2620" w:type="dxa"/>
            <w:noWrap w:val="0"/>
            <w:vAlign w:val="center"/>
          </w:tcPr>
          <w:p w14:paraId="3278B38F">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提交日期</w:t>
            </w:r>
          </w:p>
        </w:tc>
        <w:tc>
          <w:tcPr>
            <w:tcW w:w="1352" w:type="dxa"/>
            <w:noWrap w:val="0"/>
            <w:vAlign w:val="center"/>
          </w:tcPr>
          <w:p w14:paraId="4D10188A">
            <w:pPr>
              <w:pStyle w:val="45"/>
              <w:spacing w:line="240" w:lineRule="auto"/>
              <w:ind w:firstLine="0" w:firstLineChars="0"/>
              <w:rPr>
                <w:rFonts w:hint="eastAsia" w:ascii="宋体" w:hAnsi="宋体" w:eastAsia="宋体" w:cs="宋体"/>
                <w:color w:val="auto"/>
                <w:highlight w:val="none"/>
              </w:rPr>
            </w:pPr>
            <w:r>
              <w:rPr>
                <w:rFonts w:hint="eastAsia" w:ascii="宋体" w:hAnsi="宋体" w:eastAsia="宋体" w:cs="宋体"/>
                <w:color w:val="auto"/>
                <w:highlight w:val="none"/>
              </w:rPr>
              <w:t>有关事宜</w:t>
            </w:r>
          </w:p>
        </w:tc>
      </w:tr>
      <w:tr w14:paraId="26FE2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817" w:type="dxa"/>
            <w:noWrap w:val="0"/>
            <w:vAlign w:val="center"/>
          </w:tcPr>
          <w:p w14:paraId="01C4F20D">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1</w:t>
            </w:r>
          </w:p>
        </w:tc>
        <w:tc>
          <w:tcPr>
            <w:tcW w:w="3606" w:type="dxa"/>
            <w:noWrap w:val="0"/>
            <w:vAlign w:val="center"/>
          </w:tcPr>
          <w:p w14:paraId="0A41D13B">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方案设计文件</w:t>
            </w:r>
          </w:p>
        </w:tc>
        <w:tc>
          <w:tcPr>
            <w:tcW w:w="720" w:type="dxa"/>
            <w:noWrap w:val="0"/>
            <w:vAlign w:val="center"/>
          </w:tcPr>
          <w:p w14:paraId="6E0B7CE8">
            <w:pPr>
              <w:pStyle w:val="45"/>
              <w:spacing w:line="240" w:lineRule="auto"/>
              <w:ind w:firstLine="0" w:firstLineChars="0"/>
              <w:jc w:val="center"/>
              <w:rPr>
                <w:rFonts w:hint="eastAsia" w:ascii="宋体" w:hAnsi="宋体" w:eastAsia="宋体" w:cs="宋体"/>
                <w:color w:val="auto"/>
                <w:highlight w:val="none"/>
                <w:lang w:eastAsia="zh-CN"/>
              </w:rPr>
            </w:pPr>
            <w:r>
              <w:rPr>
                <w:rFonts w:hint="eastAsia" w:cs="宋体"/>
                <w:color w:val="auto"/>
                <w:highlight w:val="none"/>
                <w:lang w:val="en-US" w:eastAsia="zh-CN"/>
              </w:rPr>
              <w:t>8</w:t>
            </w:r>
          </w:p>
        </w:tc>
        <w:tc>
          <w:tcPr>
            <w:tcW w:w="2620" w:type="dxa"/>
            <w:noWrap w:val="0"/>
            <w:vAlign w:val="center"/>
          </w:tcPr>
          <w:p w14:paraId="75785C13">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需求确定后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日历天内提交方案设计文件</w:t>
            </w:r>
          </w:p>
        </w:tc>
        <w:tc>
          <w:tcPr>
            <w:tcW w:w="1352" w:type="dxa"/>
            <w:vMerge w:val="restart"/>
            <w:noWrap w:val="0"/>
            <w:vAlign w:val="center"/>
          </w:tcPr>
          <w:p w14:paraId="73F76250">
            <w:pPr>
              <w:pStyle w:val="45"/>
              <w:spacing w:line="240" w:lineRule="auto"/>
              <w:rPr>
                <w:rFonts w:hint="eastAsia" w:ascii="宋体" w:hAnsi="宋体" w:eastAsia="宋体" w:cs="宋体"/>
                <w:color w:val="auto"/>
                <w:highlight w:val="none"/>
              </w:rPr>
            </w:pPr>
          </w:p>
        </w:tc>
      </w:tr>
      <w:tr w14:paraId="4CC28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817" w:type="dxa"/>
            <w:noWrap w:val="0"/>
            <w:vAlign w:val="center"/>
          </w:tcPr>
          <w:p w14:paraId="738DCCAE">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2</w:t>
            </w:r>
          </w:p>
        </w:tc>
        <w:tc>
          <w:tcPr>
            <w:tcW w:w="3606" w:type="dxa"/>
            <w:noWrap w:val="0"/>
            <w:vAlign w:val="center"/>
          </w:tcPr>
          <w:p w14:paraId="762CBB44">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初步设计文件（含概算）</w:t>
            </w:r>
          </w:p>
        </w:tc>
        <w:tc>
          <w:tcPr>
            <w:tcW w:w="720" w:type="dxa"/>
            <w:noWrap w:val="0"/>
            <w:vAlign w:val="center"/>
          </w:tcPr>
          <w:p w14:paraId="3ABEC963">
            <w:pPr>
              <w:pStyle w:val="45"/>
              <w:spacing w:line="240" w:lineRule="auto"/>
              <w:ind w:firstLine="0" w:firstLineChars="0"/>
              <w:jc w:val="center"/>
              <w:rPr>
                <w:rFonts w:hint="eastAsia" w:ascii="宋体" w:hAnsi="宋体" w:eastAsia="宋体" w:cs="宋体"/>
                <w:color w:val="auto"/>
                <w:highlight w:val="none"/>
                <w:lang w:eastAsia="zh-CN"/>
              </w:rPr>
            </w:pPr>
            <w:r>
              <w:rPr>
                <w:rFonts w:hint="eastAsia" w:cs="宋体"/>
                <w:color w:val="auto"/>
                <w:highlight w:val="none"/>
                <w:lang w:val="en-US" w:eastAsia="zh-CN"/>
              </w:rPr>
              <w:t>8</w:t>
            </w:r>
          </w:p>
        </w:tc>
        <w:tc>
          <w:tcPr>
            <w:tcW w:w="2620" w:type="dxa"/>
            <w:noWrap w:val="0"/>
            <w:vAlign w:val="center"/>
          </w:tcPr>
          <w:p w14:paraId="0B82DFC3">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方案确定后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日历天内提交初步设计文件（含概算）</w:t>
            </w:r>
          </w:p>
        </w:tc>
        <w:tc>
          <w:tcPr>
            <w:tcW w:w="1352" w:type="dxa"/>
            <w:vMerge w:val="continue"/>
            <w:noWrap w:val="0"/>
            <w:vAlign w:val="center"/>
          </w:tcPr>
          <w:p w14:paraId="56DA9895">
            <w:pPr>
              <w:pStyle w:val="45"/>
              <w:rPr>
                <w:rFonts w:hint="eastAsia" w:ascii="宋体" w:hAnsi="宋体" w:eastAsia="宋体" w:cs="宋体"/>
                <w:color w:val="auto"/>
                <w:highlight w:val="none"/>
              </w:rPr>
            </w:pPr>
          </w:p>
        </w:tc>
      </w:tr>
      <w:tr w14:paraId="22194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817" w:type="dxa"/>
            <w:noWrap w:val="0"/>
            <w:vAlign w:val="center"/>
          </w:tcPr>
          <w:p w14:paraId="58A6942B">
            <w:pPr>
              <w:pStyle w:val="45"/>
              <w:spacing w:line="240" w:lineRule="auto"/>
              <w:ind w:firstLine="0" w:firstLineChars="0"/>
              <w:jc w:val="center"/>
              <w:rPr>
                <w:rFonts w:hint="eastAsia" w:ascii="宋体" w:hAnsi="宋体" w:eastAsia="宋体" w:cs="宋体"/>
                <w:color w:val="auto"/>
                <w:highlight w:val="none"/>
              </w:rPr>
            </w:pPr>
            <w:r>
              <w:rPr>
                <w:rFonts w:hint="eastAsia" w:ascii="宋体" w:hAnsi="宋体" w:eastAsia="宋体" w:cs="宋体"/>
                <w:color w:val="auto"/>
                <w:highlight w:val="none"/>
              </w:rPr>
              <w:t>3</w:t>
            </w:r>
          </w:p>
        </w:tc>
        <w:tc>
          <w:tcPr>
            <w:tcW w:w="3606" w:type="dxa"/>
            <w:noWrap w:val="0"/>
            <w:vAlign w:val="center"/>
          </w:tcPr>
          <w:p w14:paraId="291C7CC0">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全套施工图纸</w:t>
            </w:r>
          </w:p>
        </w:tc>
        <w:tc>
          <w:tcPr>
            <w:tcW w:w="720" w:type="dxa"/>
            <w:noWrap w:val="0"/>
            <w:vAlign w:val="center"/>
          </w:tcPr>
          <w:p w14:paraId="1152D405">
            <w:pPr>
              <w:pStyle w:val="45"/>
              <w:spacing w:line="240" w:lineRule="auto"/>
              <w:ind w:firstLine="0" w:firstLineChars="0"/>
              <w:jc w:val="center"/>
              <w:rPr>
                <w:rFonts w:hint="default" w:ascii="宋体" w:hAnsi="宋体" w:eastAsia="宋体" w:cs="宋体"/>
                <w:color w:val="auto"/>
                <w:highlight w:val="none"/>
                <w:lang w:val="en-US" w:eastAsia="zh-CN"/>
              </w:rPr>
            </w:pPr>
            <w:r>
              <w:rPr>
                <w:rFonts w:hint="eastAsia" w:cs="宋体"/>
                <w:color w:val="auto"/>
                <w:highlight w:val="none"/>
                <w:lang w:val="en-US" w:eastAsia="zh-CN"/>
              </w:rPr>
              <w:t>12</w:t>
            </w:r>
          </w:p>
        </w:tc>
        <w:tc>
          <w:tcPr>
            <w:tcW w:w="2620" w:type="dxa"/>
            <w:noWrap w:val="0"/>
            <w:vAlign w:val="center"/>
          </w:tcPr>
          <w:p w14:paraId="58D6FF85">
            <w:pPr>
              <w:pStyle w:val="45"/>
              <w:spacing w:line="240" w:lineRule="auto"/>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初步设计文件确定后</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lang w:val="en-US" w:eastAsia="zh-CN"/>
              </w:rPr>
              <w:t>日历天内提交全套施工图纸</w:t>
            </w:r>
          </w:p>
        </w:tc>
        <w:tc>
          <w:tcPr>
            <w:tcW w:w="1352" w:type="dxa"/>
            <w:vMerge w:val="continue"/>
            <w:noWrap w:val="0"/>
            <w:vAlign w:val="center"/>
          </w:tcPr>
          <w:p w14:paraId="50C75F51">
            <w:pPr>
              <w:pStyle w:val="45"/>
              <w:rPr>
                <w:rFonts w:hint="eastAsia" w:ascii="宋体" w:hAnsi="宋体" w:eastAsia="宋体" w:cs="宋体"/>
                <w:color w:val="auto"/>
                <w:highlight w:val="none"/>
              </w:rPr>
            </w:pPr>
          </w:p>
        </w:tc>
      </w:tr>
    </w:tbl>
    <w:p w14:paraId="73454F0E">
      <w:pPr>
        <w:pStyle w:val="45"/>
        <w:rPr>
          <w:rFonts w:hint="eastAsia" w:ascii="宋体" w:hAnsi="宋体" w:eastAsia="宋体" w:cs="宋体"/>
          <w:color w:val="auto"/>
          <w:highlight w:val="none"/>
        </w:rPr>
      </w:pPr>
    </w:p>
    <w:p w14:paraId="4E352396">
      <w:pPr>
        <w:pStyle w:val="45"/>
        <w:rPr>
          <w:rFonts w:hint="eastAsia" w:ascii="宋体" w:hAnsi="宋体" w:eastAsia="宋体" w:cs="宋体"/>
          <w:color w:val="auto"/>
          <w:highlight w:val="none"/>
        </w:rPr>
      </w:pPr>
      <w:r>
        <w:rPr>
          <w:rFonts w:hint="eastAsia" w:ascii="宋体" w:hAnsi="宋体" w:eastAsia="宋体" w:cs="宋体"/>
          <w:color w:val="auto"/>
          <w:highlight w:val="none"/>
        </w:rPr>
        <w:t>特别约定：</w:t>
      </w:r>
    </w:p>
    <w:p w14:paraId="3BDB0580">
      <w:pPr>
        <w:pStyle w:val="45"/>
        <w:rPr>
          <w:rFonts w:hint="eastAsia" w:ascii="宋体" w:hAnsi="宋体" w:eastAsia="宋体" w:cs="宋体"/>
          <w:color w:val="auto"/>
          <w:highlight w:val="none"/>
        </w:rPr>
      </w:pPr>
      <w:r>
        <w:rPr>
          <w:rFonts w:hint="eastAsia" w:ascii="宋体" w:hAnsi="宋体" w:eastAsia="宋体" w:cs="宋体"/>
          <w:color w:val="auto"/>
          <w:highlight w:val="none"/>
        </w:rPr>
        <w:t>1.以发包人通知之日起开始计算设计工期。</w:t>
      </w:r>
    </w:p>
    <w:p w14:paraId="76ADAA12">
      <w:pPr>
        <w:pStyle w:val="45"/>
        <w:rPr>
          <w:rFonts w:hint="eastAsia" w:ascii="宋体" w:hAnsi="宋体" w:eastAsia="宋体" w:cs="宋体"/>
          <w:color w:val="auto"/>
          <w:highlight w:val="none"/>
        </w:rPr>
      </w:pPr>
      <w:r>
        <w:rPr>
          <w:rFonts w:hint="eastAsia" w:ascii="宋体" w:hAnsi="宋体" w:eastAsia="宋体" w:cs="宋体"/>
          <w:color w:val="auto"/>
          <w:highlight w:val="none"/>
        </w:rPr>
        <w:t>2.上述设计时间为日历日。</w:t>
      </w:r>
    </w:p>
    <w:p w14:paraId="2A7BE4FE">
      <w:pPr>
        <w:pStyle w:val="45"/>
        <w:rPr>
          <w:rFonts w:hint="eastAsia" w:ascii="宋体" w:hAnsi="宋体" w:eastAsia="宋体" w:cs="宋体"/>
          <w:color w:val="auto"/>
          <w:highlight w:val="none"/>
        </w:rPr>
      </w:pPr>
      <w:r>
        <w:rPr>
          <w:rFonts w:hint="eastAsia" w:ascii="宋体" w:hAnsi="宋体" w:eastAsia="宋体" w:cs="宋体"/>
          <w:color w:val="auto"/>
          <w:highlight w:val="none"/>
        </w:rPr>
        <w:t>3.图纸交付地点：发包人指定地点。</w:t>
      </w:r>
    </w:p>
    <w:p w14:paraId="5114D87D">
      <w:pPr>
        <w:pStyle w:val="45"/>
        <w:rPr>
          <w:rFonts w:hint="eastAsia" w:ascii="宋体" w:hAnsi="宋体" w:eastAsia="宋体" w:cs="宋体"/>
          <w:color w:val="auto"/>
          <w:highlight w:val="none"/>
        </w:rPr>
      </w:pPr>
      <w:r>
        <w:rPr>
          <w:rFonts w:hint="eastAsia" w:ascii="宋体" w:hAnsi="宋体" w:eastAsia="宋体" w:cs="宋体"/>
          <w:color w:val="auto"/>
          <w:highlight w:val="none"/>
        </w:rPr>
        <w:t>4.如发包人要求提供超过合同约定份数的工程设计文件，则设计人仍应按发包人的要求提供。</w:t>
      </w:r>
    </w:p>
    <w:p w14:paraId="49E47085">
      <w:pPr>
        <w:pStyle w:val="45"/>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color w:val="auto"/>
          <w:highlight w:val="none"/>
        </w:rPr>
        <w:t>附件</w:t>
      </w:r>
      <w:r>
        <w:rPr>
          <w:rFonts w:hint="eastAsia" w:cs="宋体"/>
          <w:color w:val="auto"/>
          <w:highlight w:val="none"/>
          <w:lang w:val="en-US" w:eastAsia="zh-CN"/>
        </w:rPr>
        <w:t>2</w:t>
      </w:r>
      <w:r>
        <w:rPr>
          <w:rFonts w:hint="eastAsia" w:ascii="宋体" w:hAnsi="宋体" w:eastAsia="宋体" w:cs="宋体"/>
          <w:color w:val="auto"/>
          <w:highlight w:val="none"/>
        </w:rPr>
        <w:t xml:space="preserve">：              </w:t>
      </w:r>
    </w:p>
    <w:p w14:paraId="4B2B1FCE">
      <w:pPr>
        <w:pStyle w:val="45"/>
        <w:rPr>
          <w:rFonts w:hint="eastAsia" w:ascii="宋体" w:hAnsi="宋体" w:eastAsia="宋体" w:cs="宋体"/>
          <w:color w:val="auto"/>
          <w:highlight w:val="none"/>
        </w:rPr>
      </w:pPr>
      <w:r>
        <w:rPr>
          <w:rFonts w:hint="eastAsia" w:ascii="宋体" w:hAnsi="宋体" w:eastAsia="宋体" w:cs="宋体"/>
          <w:color w:val="auto"/>
          <w:highlight w:val="none"/>
        </w:rPr>
        <w:t>设计人主要设计人员表</w:t>
      </w:r>
    </w:p>
    <w:p w14:paraId="01E2631C">
      <w:pPr>
        <w:pStyle w:val="45"/>
        <w:rPr>
          <w:rFonts w:hint="eastAsia" w:ascii="宋体" w:hAnsi="宋体" w:eastAsia="宋体" w:cs="宋体"/>
          <w:color w:val="auto"/>
          <w:highlight w:val="none"/>
        </w:rPr>
      </w:pPr>
    </w:p>
    <w:tbl>
      <w:tblPr>
        <w:tblStyle w:val="2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200"/>
        <w:gridCol w:w="1218"/>
        <w:gridCol w:w="1134"/>
        <w:gridCol w:w="1427"/>
        <w:gridCol w:w="3959"/>
      </w:tblGrid>
      <w:tr w14:paraId="126EB5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bottom w:val="double" w:color="auto" w:sz="6" w:space="0"/>
            </w:tcBorders>
            <w:noWrap w:val="0"/>
            <w:vAlign w:val="center"/>
          </w:tcPr>
          <w:p w14:paraId="715FDE0B">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名称</w:t>
            </w:r>
          </w:p>
        </w:tc>
        <w:tc>
          <w:tcPr>
            <w:tcW w:w="1218" w:type="dxa"/>
            <w:tcBorders>
              <w:bottom w:val="double" w:color="auto" w:sz="6" w:space="0"/>
            </w:tcBorders>
            <w:noWrap w:val="0"/>
            <w:vAlign w:val="center"/>
          </w:tcPr>
          <w:p w14:paraId="360E9B8A">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bottom w:val="double" w:color="auto" w:sz="6" w:space="0"/>
            </w:tcBorders>
            <w:noWrap w:val="0"/>
            <w:vAlign w:val="center"/>
          </w:tcPr>
          <w:p w14:paraId="099C070B">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职务</w:t>
            </w:r>
          </w:p>
        </w:tc>
        <w:tc>
          <w:tcPr>
            <w:tcW w:w="1427" w:type="dxa"/>
            <w:tcBorders>
              <w:bottom w:val="double" w:color="auto" w:sz="6" w:space="0"/>
            </w:tcBorders>
            <w:noWrap w:val="0"/>
            <w:vAlign w:val="center"/>
          </w:tcPr>
          <w:p w14:paraId="0D532E71">
            <w:pPr>
              <w:pStyle w:val="94"/>
              <w:ind w:left="0" w:leftChars="0" w:right="60"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注册执业资格</w:t>
            </w:r>
          </w:p>
        </w:tc>
        <w:tc>
          <w:tcPr>
            <w:tcW w:w="3959" w:type="dxa"/>
            <w:tcBorders>
              <w:bottom w:val="double" w:color="auto" w:sz="6" w:space="0"/>
            </w:tcBorders>
            <w:noWrap w:val="0"/>
            <w:vAlign w:val="center"/>
          </w:tcPr>
          <w:p w14:paraId="3A399A28">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承担过的主要项目</w:t>
            </w:r>
          </w:p>
        </w:tc>
      </w:tr>
      <w:tr w14:paraId="545025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6"/>
            <w:tcBorders>
              <w:top w:val="double" w:color="auto" w:sz="6" w:space="0"/>
              <w:bottom w:val="single" w:color="auto" w:sz="6" w:space="0"/>
            </w:tcBorders>
            <w:noWrap w:val="0"/>
            <w:vAlign w:val="center"/>
          </w:tcPr>
          <w:p w14:paraId="53A844B1">
            <w:pPr>
              <w:pStyle w:val="94"/>
              <w:keepNext/>
              <w:spacing w:after="0" w:line="360" w:lineRule="auto"/>
              <w:ind w:left="63" w:leftChars="30" w:right="63" w:rightChars="30" w:firstLine="480" w:firstLineChars="200"/>
              <w:rPr>
                <w:rFonts w:hint="eastAsia" w:ascii="宋体" w:hAnsi="宋体" w:eastAsia="宋体" w:cs="宋体"/>
                <w:color w:val="auto"/>
                <w:highlight w:val="none"/>
              </w:rPr>
            </w:pPr>
            <w:r>
              <w:rPr>
                <w:rFonts w:hint="eastAsia" w:ascii="宋体" w:hAnsi="宋体"/>
                <w:color w:val="auto"/>
                <w:sz w:val="24"/>
                <w:szCs w:val="24"/>
                <w:highlight w:val="none"/>
              </w:rPr>
              <w:t>一、总部人员</w:t>
            </w:r>
          </w:p>
        </w:tc>
      </w:tr>
      <w:tr w14:paraId="296F0E8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nil"/>
              <w:bottom w:val="single" w:color="auto" w:sz="4" w:space="0"/>
            </w:tcBorders>
            <w:noWrap w:val="0"/>
            <w:vAlign w:val="center"/>
          </w:tcPr>
          <w:p w14:paraId="53034213">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项目主管</w:t>
            </w:r>
          </w:p>
        </w:tc>
        <w:tc>
          <w:tcPr>
            <w:tcW w:w="1418" w:type="dxa"/>
            <w:gridSpan w:val="2"/>
            <w:tcBorders>
              <w:top w:val="nil"/>
            </w:tcBorders>
            <w:noWrap w:val="0"/>
            <w:vAlign w:val="center"/>
          </w:tcPr>
          <w:p w14:paraId="14DADF58">
            <w:pPr>
              <w:pStyle w:val="94"/>
              <w:ind w:left="60" w:right="60"/>
              <w:rPr>
                <w:rFonts w:hint="default" w:ascii="宋体" w:hAnsi="宋体" w:eastAsia="宋体" w:cs="宋体"/>
                <w:color w:val="auto"/>
                <w:highlight w:val="none"/>
                <w:lang w:val="en-US" w:eastAsia="zh-CN"/>
              </w:rPr>
            </w:pPr>
            <w:r>
              <w:rPr>
                <w:rFonts w:hint="eastAsia" w:cs="宋体"/>
                <w:color w:val="auto"/>
                <w:highlight w:val="none"/>
                <w:lang w:val="en-US" w:eastAsia="zh-CN"/>
              </w:rPr>
              <w:t>/</w:t>
            </w:r>
          </w:p>
        </w:tc>
        <w:tc>
          <w:tcPr>
            <w:tcW w:w="1134" w:type="dxa"/>
            <w:tcBorders>
              <w:top w:val="nil"/>
            </w:tcBorders>
            <w:noWrap w:val="0"/>
            <w:vAlign w:val="center"/>
          </w:tcPr>
          <w:p w14:paraId="68B3FEBF">
            <w:pPr>
              <w:pStyle w:val="94"/>
              <w:keepNext/>
              <w:spacing w:after="0" w:line="360" w:lineRule="auto"/>
              <w:ind w:left="63" w:leftChars="30" w:right="63" w:rightChars="30" w:firstLine="400" w:firstLineChars="200"/>
              <w:rPr>
                <w:rFonts w:hint="eastAsia" w:ascii="宋体" w:hAnsi="宋体" w:eastAsia="宋体" w:cs="宋体"/>
                <w:snapToGrid w:val="0"/>
                <w:color w:val="auto"/>
                <w:sz w:val="20"/>
                <w:szCs w:val="24"/>
                <w:highlight w:val="none"/>
                <w:lang w:val="en-US" w:eastAsia="zh-CN" w:bidi="ar-SA"/>
              </w:rPr>
            </w:pPr>
          </w:p>
        </w:tc>
        <w:tc>
          <w:tcPr>
            <w:tcW w:w="1427" w:type="dxa"/>
            <w:tcBorders>
              <w:top w:val="nil"/>
            </w:tcBorders>
            <w:noWrap w:val="0"/>
            <w:vAlign w:val="center"/>
          </w:tcPr>
          <w:p w14:paraId="4AC0FD8A">
            <w:pPr>
              <w:pStyle w:val="94"/>
              <w:keepNext/>
              <w:spacing w:after="0" w:line="360" w:lineRule="auto"/>
              <w:ind w:left="63" w:leftChars="30" w:right="63" w:rightChars="30" w:firstLine="400" w:firstLineChars="200"/>
              <w:rPr>
                <w:rFonts w:hint="eastAsia" w:ascii="宋体" w:hAnsi="宋体" w:eastAsia="宋体" w:cs="宋体"/>
                <w:snapToGrid w:val="0"/>
                <w:color w:val="auto"/>
                <w:sz w:val="20"/>
                <w:szCs w:val="24"/>
                <w:highlight w:val="none"/>
                <w:lang w:val="en-US" w:eastAsia="zh-CN" w:bidi="ar-SA"/>
              </w:rPr>
            </w:pPr>
          </w:p>
        </w:tc>
        <w:tc>
          <w:tcPr>
            <w:tcW w:w="3959" w:type="dxa"/>
            <w:tcBorders>
              <w:top w:val="nil"/>
            </w:tcBorders>
            <w:noWrap w:val="0"/>
            <w:vAlign w:val="center"/>
          </w:tcPr>
          <w:p w14:paraId="3E412BCB">
            <w:pPr>
              <w:pStyle w:val="94"/>
              <w:keepNext/>
              <w:spacing w:after="0" w:line="360" w:lineRule="auto"/>
              <w:ind w:left="63" w:leftChars="30" w:right="63" w:rightChars="30" w:firstLine="400" w:firstLineChars="200"/>
              <w:rPr>
                <w:rFonts w:hint="eastAsia" w:ascii="宋体" w:hAnsi="宋体" w:eastAsia="宋体" w:cs="宋体"/>
                <w:color w:val="auto"/>
                <w:highlight w:val="none"/>
              </w:rPr>
            </w:pPr>
          </w:p>
        </w:tc>
      </w:tr>
      <w:tr w14:paraId="331984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871" w:type="dxa"/>
            <w:tcBorders>
              <w:top w:val="single" w:color="auto" w:sz="4" w:space="0"/>
              <w:bottom w:val="nil"/>
            </w:tcBorders>
            <w:noWrap w:val="0"/>
            <w:vAlign w:val="center"/>
          </w:tcPr>
          <w:p w14:paraId="1F68580D">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其他人员</w:t>
            </w:r>
          </w:p>
        </w:tc>
        <w:tc>
          <w:tcPr>
            <w:tcW w:w="1418" w:type="dxa"/>
            <w:gridSpan w:val="2"/>
            <w:noWrap w:val="0"/>
            <w:vAlign w:val="center"/>
          </w:tcPr>
          <w:p w14:paraId="788FEC5A">
            <w:pPr>
              <w:pStyle w:val="94"/>
              <w:ind w:left="60" w:right="60"/>
              <w:rPr>
                <w:rFonts w:hint="eastAsia" w:ascii="宋体" w:hAnsi="宋体" w:eastAsia="宋体" w:cs="宋体"/>
                <w:color w:val="auto"/>
                <w:highlight w:val="none"/>
                <w:lang w:val="en-US" w:eastAsia="zh-CN"/>
              </w:rPr>
            </w:pPr>
            <w:r>
              <w:rPr>
                <w:rFonts w:hint="eastAsia" w:cs="宋体"/>
                <w:color w:val="auto"/>
                <w:highlight w:val="none"/>
                <w:lang w:val="en-US" w:eastAsia="zh-CN"/>
              </w:rPr>
              <w:t>/</w:t>
            </w:r>
          </w:p>
        </w:tc>
        <w:tc>
          <w:tcPr>
            <w:tcW w:w="1134" w:type="dxa"/>
            <w:noWrap w:val="0"/>
            <w:vAlign w:val="center"/>
          </w:tcPr>
          <w:p w14:paraId="36BD419F">
            <w:pPr>
              <w:pStyle w:val="94"/>
              <w:keepNext/>
              <w:spacing w:after="0" w:line="360" w:lineRule="auto"/>
              <w:ind w:left="63" w:leftChars="30" w:right="63" w:rightChars="30" w:firstLine="400" w:firstLineChars="200"/>
              <w:rPr>
                <w:rFonts w:hint="eastAsia" w:ascii="宋体" w:hAnsi="宋体" w:eastAsia="宋体" w:cs="宋体"/>
                <w:color w:val="auto"/>
                <w:highlight w:val="none"/>
              </w:rPr>
            </w:pPr>
          </w:p>
        </w:tc>
        <w:tc>
          <w:tcPr>
            <w:tcW w:w="1427" w:type="dxa"/>
            <w:noWrap w:val="0"/>
            <w:vAlign w:val="center"/>
          </w:tcPr>
          <w:p w14:paraId="34776BB5">
            <w:pPr>
              <w:pStyle w:val="94"/>
              <w:keepNext/>
              <w:spacing w:after="0" w:line="360" w:lineRule="auto"/>
              <w:ind w:left="63" w:leftChars="30" w:right="63" w:rightChars="30" w:firstLine="400" w:firstLineChars="200"/>
              <w:rPr>
                <w:rFonts w:hint="eastAsia" w:ascii="宋体" w:hAnsi="宋体" w:eastAsia="宋体" w:cs="宋体"/>
                <w:color w:val="auto"/>
                <w:highlight w:val="none"/>
              </w:rPr>
            </w:pPr>
          </w:p>
        </w:tc>
        <w:tc>
          <w:tcPr>
            <w:tcW w:w="3959" w:type="dxa"/>
            <w:noWrap w:val="0"/>
            <w:vAlign w:val="center"/>
          </w:tcPr>
          <w:p w14:paraId="74AB2613">
            <w:pPr>
              <w:pStyle w:val="94"/>
              <w:keepNext/>
              <w:spacing w:after="0" w:line="360" w:lineRule="auto"/>
              <w:ind w:left="63" w:leftChars="30" w:right="63" w:rightChars="30" w:firstLine="400" w:firstLineChars="200"/>
              <w:rPr>
                <w:rFonts w:hint="eastAsia" w:ascii="宋体" w:hAnsi="宋体" w:eastAsia="宋体" w:cs="宋体"/>
                <w:color w:val="auto"/>
                <w:highlight w:val="none"/>
              </w:rPr>
            </w:pPr>
          </w:p>
        </w:tc>
      </w:tr>
      <w:tr w14:paraId="1130F4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6"/>
            <w:tcBorders>
              <w:top w:val="single" w:color="auto" w:sz="6" w:space="0"/>
              <w:bottom w:val="single" w:color="auto" w:sz="6" w:space="0"/>
            </w:tcBorders>
            <w:noWrap w:val="0"/>
            <w:vAlign w:val="center"/>
          </w:tcPr>
          <w:p w14:paraId="4171B826">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二、项目组成员</w:t>
            </w:r>
          </w:p>
        </w:tc>
      </w:tr>
      <w:tr w14:paraId="5973A82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shd w:val="clear" w:color="auto" w:fill="auto"/>
            <w:noWrap w:val="0"/>
            <w:vAlign w:val="center"/>
          </w:tcPr>
          <w:p w14:paraId="7073B538">
            <w:pPr>
              <w:pStyle w:val="94"/>
              <w:ind w:left="60" w:right="6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项目负责人</w:t>
            </w:r>
          </w:p>
        </w:tc>
        <w:tc>
          <w:tcPr>
            <w:tcW w:w="1218" w:type="dxa"/>
            <w:noWrap w:val="0"/>
            <w:vAlign w:val="center"/>
          </w:tcPr>
          <w:p w14:paraId="5A7FE87B">
            <w:pPr>
              <w:jc w:val="center"/>
              <w:rPr>
                <w:rFonts w:hint="eastAsia" w:ascii="宋体" w:hAnsi="宋体" w:eastAsia="宋体" w:cs="宋体"/>
                <w:color w:val="auto"/>
                <w:sz w:val="21"/>
                <w:szCs w:val="21"/>
                <w:highlight w:val="none"/>
                <w:lang w:val="zh-CN" w:eastAsia="zh-CN" w:bidi="ar-SA"/>
              </w:rPr>
            </w:pPr>
          </w:p>
        </w:tc>
        <w:tc>
          <w:tcPr>
            <w:tcW w:w="1134" w:type="dxa"/>
            <w:noWrap w:val="0"/>
            <w:vAlign w:val="center"/>
          </w:tcPr>
          <w:p w14:paraId="1A757962">
            <w:pPr>
              <w:pStyle w:val="94"/>
              <w:ind w:left="60" w:right="60"/>
              <w:rPr>
                <w:rFonts w:hint="eastAsia" w:ascii="宋体" w:hAnsi="宋体" w:eastAsia="宋体" w:cs="宋体"/>
                <w:color w:val="auto"/>
                <w:highlight w:val="none"/>
              </w:rPr>
            </w:pPr>
          </w:p>
        </w:tc>
        <w:tc>
          <w:tcPr>
            <w:tcW w:w="1427" w:type="dxa"/>
            <w:noWrap w:val="0"/>
            <w:vAlign w:val="center"/>
          </w:tcPr>
          <w:p w14:paraId="557B0900">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0B564B8C">
            <w:pPr>
              <w:pStyle w:val="94"/>
              <w:ind w:left="60" w:right="60"/>
              <w:rPr>
                <w:rFonts w:hint="eastAsia" w:ascii="宋体" w:hAnsi="宋体" w:eastAsia="宋体" w:cs="宋体"/>
                <w:color w:val="auto"/>
                <w:highlight w:val="none"/>
              </w:rPr>
            </w:pPr>
          </w:p>
        </w:tc>
      </w:tr>
      <w:tr w14:paraId="07AD94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shd w:val="clear" w:color="auto" w:fill="auto"/>
            <w:noWrap w:val="0"/>
            <w:vAlign w:val="center"/>
          </w:tcPr>
          <w:p w14:paraId="00950C13">
            <w:pPr>
              <w:pStyle w:val="94"/>
              <w:ind w:left="60" w:right="6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项目副负责人</w:t>
            </w:r>
          </w:p>
        </w:tc>
        <w:tc>
          <w:tcPr>
            <w:tcW w:w="1218" w:type="dxa"/>
            <w:noWrap w:val="0"/>
            <w:vAlign w:val="center"/>
          </w:tcPr>
          <w:p w14:paraId="14AEA726">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w:t>
            </w:r>
          </w:p>
        </w:tc>
        <w:tc>
          <w:tcPr>
            <w:tcW w:w="1134" w:type="dxa"/>
            <w:noWrap w:val="0"/>
            <w:vAlign w:val="center"/>
          </w:tcPr>
          <w:p w14:paraId="36654271">
            <w:pPr>
              <w:pStyle w:val="94"/>
              <w:ind w:left="60" w:right="60"/>
              <w:rPr>
                <w:rFonts w:hint="eastAsia" w:ascii="宋体" w:hAnsi="宋体" w:eastAsia="宋体" w:cs="宋体"/>
                <w:color w:val="auto"/>
                <w:highlight w:val="none"/>
              </w:rPr>
            </w:pPr>
          </w:p>
        </w:tc>
        <w:tc>
          <w:tcPr>
            <w:tcW w:w="1427" w:type="dxa"/>
            <w:noWrap w:val="0"/>
            <w:vAlign w:val="center"/>
          </w:tcPr>
          <w:p w14:paraId="455B2816">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0B856808">
            <w:pPr>
              <w:pStyle w:val="94"/>
              <w:ind w:left="60" w:right="60"/>
              <w:rPr>
                <w:rFonts w:hint="eastAsia" w:ascii="宋体" w:hAnsi="宋体" w:eastAsia="宋体" w:cs="宋体"/>
                <w:color w:val="auto"/>
                <w:highlight w:val="none"/>
              </w:rPr>
            </w:pPr>
          </w:p>
        </w:tc>
      </w:tr>
      <w:tr w14:paraId="760746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noWrap w:val="0"/>
            <w:vAlign w:val="center"/>
          </w:tcPr>
          <w:p w14:paraId="3FE2A44C">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建筑专业</w:t>
            </w:r>
          </w:p>
        </w:tc>
        <w:tc>
          <w:tcPr>
            <w:tcW w:w="1218" w:type="dxa"/>
            <w:noWrap w:val="0"/>
            <w:vAlign w:val="center"/>
          </w:tcPr>
          <w:p w14:paraId="213BE98E">
            <w:pPr>
              <w:jc w:val="center"/>
              <w:rPr>
                <w:rFonts w:hint="eastAsia" w:ascii="宋体" w:hAnsi="宋体" w:eastAsia="宋体" w:cs="宋体"/>
                <w:color w:val="auto"/>
                <w:sz w:val="21"/>
                <w:szCs w:val="21"/>
                <w:highlight w:val="none"/>
                <w:lang w:val="zh-CN" w:eastAsia="zh-CN" w:bidi="ar-SA"/>
              </w:rPr>
            </w:pPr>
          </w:p>
        </w:tc>
        <w:tc>
          <w:tcPr>
            <w:tcW w:w="1134" w:type="dxa"/>
            <w:noWrap w:val="0"/>
            <w:vAlign w:val="center"/>
          </w:tcPr>
          <w:p w14:paraId="3EC4502C">
            <w:pPr>
              <w:pStyle w:val="94"/>
              <w:ind w:left="60" w:right="60"/>
              <w:rPr>
                <w:rFonts w:hint="eastAsia" w:ascii="宋体" w:hAnsi="宋体" w:eastAsia="宋体" w:cs="宋体"/>
                <w:color w:val="auto"/>
                <w:highlight w:val="none"/>
              </w:rPr>
            </w:pPr>
          </w:p>
        </w:tc>
        <w:tc>
          <w:tcPr>
            <w:tcW w:w="1427" w:type="dxa"/>
            <w:noWrap w:val="0"/>
            <w:vAlign w:val="center"/>
          </w:tcPr>
          <w:p w14:paraId="19D9B6F0">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07799102">
            <w:pPr>
              <w:pStyle w:val="94"/>
              <w:ind w:left="60" w:right="60"/>
              <w:rPr>
                <w:rFonts w:hint="eastAsia" w:ascii="宋体" w:hAnsi="宋体" w:eastAsia="宋体" w:cs="宋体"/>
                <w:color w:val="auto"/>
                <w:highlight w:val="none"/>
              </w:rPr>
            </w:pPr>
          </w:p>
        </w:tc>
      </w:tr>
      <w:tr w14:paraId="7C6460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noWrap w:val="0"/>
            <w:vAlign w:val="center"/>
          </w:tcPr>
          <w:p w14:paraId="73631501">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结构专业</w:t>
            </w:r>
          </w:p>
        </w:tc>
        <w:tc>
          <w:tcPr>
            <w:tcW w:w="1218" w:type="dxa"/>
            <w:noWrap w:val="0"/>
            <w:vAlign w:val="center"/>
          </w:tcPr>
          <w:p w14:paraId="7CAA751E">
            <w:pPr>
              <w:jc w:val="center"/>
              <w:rPr>
                <w:rFonts w:hint="eastAsia" w:ascii="宋体" w:hAnsi="宋体" w:eastAsia="宋体" w:cs="宋体"/>
                <w:color w:val="auto"/>
                <w:sz w:val="21"/>
                <w:szCs w:val="21"/>
                <w:highlight w:val="none"/>
                <w:lang w:val="zh-CN" w:eastAsia="zh-CN" w:bidi="ar-SA"/>
              </w:rPr>
            </w:pPr>
          </w:p>
        </w:tc>
        <w:tc>
          <w:tcPr>
            <w:tcW w:w="1134" w:type="dxa"/>
            <w:noWrap w:val="0"/>
            <w:vAlign w:val="center"/>
          </w:tcPr>
          <w:p w14:paraId="667C1CBC">
            <w:pPr>
              <w:pStyle w:val="94"/>
              <w:ind w:left="63" w:leftChars="30" w:right="63" w:rightChars="30" w:firstLine="0" w:firstLineChars="0"/>
              <w:rPr>
                <w:rFonts w:hint="eastAsia" w:ascii="宋体" w:hAnsi="宋体" w:eastAsia="宋体" w:cs="宋体"/>
                <w:snapToGrid w:val="0"/>
                <w:color w:val="auto"/>
                <w:sz w:val="20"/>
                <w:szCs w:val="24"/>
                <w:highlight w:val="none"/>
                <w:lang w:val="en-US" w:eastAsia="zh-CN" w:bidi="ar-SA"/>
              </w:rPr>
            </w:pPr>
          </w:p>
        </w:tc>
        <w:tc>
          <w:tcPr>
            <w:tcW w:w="1427" w:type="dxa"/>
            <w:noWrap w:val="0"/>
            <w:vAlign w:val="center"/>
          </w:tcPr>
          <w:p w14:paraId="28339C8B">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69CFCD44">
            <w:pPr>
              <w:pStyle w:val="38"/>
              <w:numPr>
                <w:ilvl w:val="0"/>
                <w:numId w:val="0"/>
              </w:numPr>
              <w:ind w:left="60" w:leftChars="0"/>
              <w:rPr>
                <w:rFonts w:hint="eastAsia" w:ascii="宋体" w:hAnsi="宋体" w:eastAsia="宋体" w:cs="宋体"/>
                <w:color w:val="auto"/>
                <w:szCs w:val="24"/>
                <w:highlight w:val="none"/>
                <w:lang w:val="zh-CN" w:eastAsia="zh-CN" w:bidi="ar-SA"/>
              </w:rPr>
            </w:pPr>
          </w:p>
        </w:tc>
      </w:tr>
      <w:tr w14:paraId="49A118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noWrap w:val="0"/>
            <w:vAlign w:val="center"/>
          </w:tcPr>
          <w:p w14:paraId="7BD9ADFF">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电气专业</w:t>
            </w:r>
          </w:p>
        </w:tc>
        <w:tc>
          <w:tcPr>
            <w:tcW w:w="1218" w:type="dxa"/>
            <w:noWrap w:val="0"/>
            <w:vAlign w:val="center"/>
          </w:tcPr>
          <w:p w14:paraId="7F48E4CA">
            <w:pPr>
              <w:jc w:val="center"/>
              <w:rPr>
                <w:rFonts w:hint="eastAsia" w:ascii="宋体" w:hAnsi="宋体" w:eastAsia="宋体" w:cs="宋体"/>
                <w:color w:val="auto"/>
                <w:sz w:val="21"/>
                <w:szCs w:val="21"/>
                <w:highlight w:val="none"/>
                <w:lang w:val="zh-CN" w:eastAsia="zh-CN" w:bidi="ar-SA"/>
              </w:rPr>
            </w:pPr>
          </w:p>
        </w:tc>
        <w:tc>
          <w:tcPr>
            <w:tcW w:w="1134" w:type="dxa"/>
            <w:noWrap w:val="0"/>
            <w:vAlign w:val="center"/>
          </w:tcPr>
          <w:p w14:paraId="71187D7B">
            <w:pPr>
              <w:pStyle w:val="94"/>
              <w:ind w:left="63" w:leftChars="30" w:right="63" w:rightChars="30" w:firstLine="0" w:firstLineChars="0"/>
              <w:rPr>
                <w:rFonts w:hint="eastAsia" w:ascii="宋体" w:hAnsi="宋体" w:eastAsia="宋体" w:cs="宋体"/>
                <w:snapToGrid w:val="0"/>
                <w:color w:val="auto"/>
                <w:sz w:val="20"/>
                <w:szCs w:val="24"/>
                <w:highlight w:val="none"/>
                <w:lang w:val="en-US" w:eastAsia="zh-CN" w:bidi="ar-SA"/>
              </w:rPr>
            </w:pPr>
          </w:p>
        </w:tc>
        <w:tc>
          <w:tcPr>
            <w:tcW w:w="1427" w:type="dxa"/>
            <w:noWrap w:val="0"/>
            <w:vAlign w:val="center"/>
          </w:tcPr>
          <w:p w14:paraId="7B627951">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55DBD378">
            <w:pPr>
              <w:pStyle w:val="38"/>
              <w:numPr>
                <w:ilvl w:val="0"/>
                <w:numId w:val="0"/>
              </w:numPr>
              <w:ind w:left="60" w:leftChars="0"/>
              <w:jc w:val="left"/>
              <w:rPr>
                <w:rFonts w:hint="eastAsia" w:ascii="宋体" w:hAnsi="宋体" w:eastAsia="宋体" w:cs="宋体"/>
                <w:color w:val="auto"/>
                <w:szCs w:val="24"/>
                <w:highlight w:val="none"/>
                <w:lang w:val="zh-CN" w:eastAsia="zh-CN" w:bidi="ar-SA"/>
              </w:rPr>
            </w:pPr>
          </w:p>
        </w:tc>
      </w:tr>
      <w:tr w14:paraId="236FCE6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noWrap w:val="0"/>
            <w:vAlign w:val="center"/>
          </w:tcPr>
          <w:p w14:paraId="7377CC45">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给排水专业</w:t>
            </w:r>
          </w:p>
        </w:tc>
        <w:tc>
          <w:tcPr>
            <w:tcW w:w="1218" w:type="dxa"/>
            <w:noWrap w:val="0"/>
            <w:vAlign w:val="center"/>
          </w:tcPr>
          <w:p w14:paraId="0783F1D9">
            <w:pPr>
              <w:jc w:val="center"/>
              <w:rPr>
                <w:rFonts w:hint="eastAsia" w:ascii="宋体" w:hAnsi="宋体" w:eastAsia="宋体" w:cs="宋体"/>
                <w:color w:val="auto"/>
                <w:sz w:val="21"/>
                <w:szCs w:val="21"/>
                <w:highlight w:val="none"/>
                <w:lang w:val="zh-CN" w:eastAsia="zh-CN" w:bidi="ar-SA"/>
              </w:rPr>
            </w:pPr>
          </w:p>
        </w:tc>
        <w:tc>
          <w:tcPr>
            <w:tcW w:w="1134" w:type="dxa"/>
            <w:noWrap w:val="0"/>
            <w:vAlign w:val="center"/>
          </w:tcPr>
          <w:p w14:paraId="6EEF531A">
            <w:pPr>
              <w:pStyle w:val="94"/>
              <w:ind w:left="63" w:leftChars="30" w:right="63" w:rightChars="30" w:firstLine="0" w:firstLineChars="0"/>
              <w:rPr>
                <w:rFonts w:hint="eastAsia" w:ascii="宋体" w:hAnsi="宋体" w:eastAsia="宋体" w:cs="宋体"/>
                <w:snapToGrid w:val="0"/>
                <w:color w:val="auto"/>
                <w:sz w:val="20"/>
                <w:szCs w:val="24"/>
                <w:highlight w:val="none"/>
                <w:lang w:val="en-US" w:eastAsia="zh-CN" w:bidi="ar-SA"/>
              </w:rPr>
            </w:pPr>
          </w:p>
        </w:tc>
        <w:tc>
          <w:tcPr>
            <w:tcW w:w="1427" w:type="dxa"/>
            <w:noWrap w:val="0"/>
            <w:vAlign w:val="center"/>
          </w:tcPr>
          <w:p w14:paraId="5F668907">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4FCF5F0C">
            <w:pPr>
              <w:pStyle w:val="94"/>
              <w:ind w:left="63" w:leftChars="30" w:right="63" w:rightChars="30" w:firstLine="0" w:firstLineChars="0"/>
              <w:jc w:val="left"/>
              <w:rPr>
                <w:rFonts w:hint="eastAsia" w:ascii="宋体" w:hAnsi="宋体" w:eastAsia="宋体" w:cs="宋体"/>
                <w:snapToGrid w:val="0"/>
                <w:color w:val="auto"/>
                <w:sz w:val="20"/>
                <w:szCs w:val="24"/>
                <w:highlight w:val="none"/>
                <w:lang w:val="en-US" w:eastAsia="zh-CN" w:bidi="ar-SA"/>
              </w:rPr>
            </w:pPr>
          </w:p>
        </w:tc>
      </w:tr>
      <w:tr w14:paraId="07098D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tcBorders>
              <w:top w:val="single" w:color="auto" w:sz="6" w:space="0"/>
              <w:bottom w:val="single" w:color="auto" w:sz="6" w:space="0"/>
            </w:tcBorders>
            <w:noWrap w:val="0"/>
            <w:vAlign w:val="center"/>
          </w:tcPr>
          <w:p w14:paraId="0589DF37">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暖通专业名</w:t>
            </w:r>
          </w:p>
        </w:tc>
        <w:tc>
          <w:tcPr>
            <w:tcW w:w="1218" w:type="dxa"/>
            <w:noWrap w:val="0"/>
            <w:vAlign w:val="center"/>
          </w:tcPr>
          <w:p w14:paraId="1830A004">
            <w:pPr>
              <w:pStyle w:val="94"/>
              <w:ind w:left="60" w:right="60"/>
              <w:rPr>
                <w:rFonts w:hint="eastAsia" w:ascii="宋体" w:hAnsi="宋体" w:eastAsia="宋体" w:cs="宋体"/>
                <w:color w:val="auto"/>
                <w:highlight w:val="none"/>
              </w:rPr>
            </w:pPr>
          </w:p>
        </w:tc>
        <w:tc>
          <w:tcPr>
            <w:tcW w:w="1134" w:type="dxa"/>
            <w:noWrap w:val="0"/>
            <w:vAlign w:val="center"/>
          </w:tcPr>
          <w:p w14:paraId="7CFB9205">
            <w:pPr>
              <w:pStyle w:val="94"/>
              <w:ind w:left="63" w:leftChars="30" w:right="63" w:rightChars="30" w:firstLine="0" w:firstLineChars="0"/>
              <w:rPr>
                <w:rFonts w:hint="eastAsia" w:ascii="宋体" w:hAnsi="宋体" w:eastAsia="宋体" w:cs="宋体"/>
                <w:snapToGrid w:val="0"/>
                <w:color w:val="auto"/>
                <w:sz w:val="20"/>
                <w:szCs w:val="24"/>
                <w:highlight w:val="none"/>
                <w:lang w:val="en-US" w:eastAsia="zh-CN" w:bidi="ar-SA"/>
              </w:rPr>
            </w:pPr>
          </w:p>
        </w:tc>
        <w:tc>
          <w:tcPr>
            <w:tcW w:w="1427" w:type="dxa"/>
            <w:noWrap w:val="0"/>
            <w:vAlign w:val="center"/>
          </w:tcPr>
          <w:p w14:paraId="4C1472E6">
            <w:pPr>
              <w:jc w:val="both"/>
              <w:rPr>
                <w:rFonts w:hint="eastAsia" w:ascii="宋体" w:hAnsi="宋体" w:eastAsia="宋体" w:cs="宋体"/>
                <w:color w:val="auto"/>
                <w:sz w:val="21"/>
                <w:szCs w:val="21"/>
                <w:highlight w:val="none"/>
                <w:lang w:val="zh-CN" w:eastAsia="zh-CN" w:bidi="ar-SA"/>
              </w:rPr>
            </w:pPr>
          </w:p>
        </w:tc>
        <w:tc>
          <w:tcPr>
            <w:tcW w:w="3959" w:type="dxa"/>
            <w:noWrap w:val="0"/>
            <w:vAlign w:val="center"/>
          </w:tcPr>
          <w:p w14:paraId="017FB690">
            <w:pPr>
              <w:pStyle w:val="38"/>
              <w:numPr>
                <w:ilvl w:val="0"/>
                <w:numId w:val="0"/>
              </w:numPr>
              <w:ind w:left="60" w:leftChars="0"/>
              <w:rPr>
                <w:rFonts w:hint="eastAsia" w:ascii="宋体" w:hAnsi="宋体" w:eastAsia="宋体" w:cs="宋体"/>
                <w:color w:val="auto"/>
                <w:szCs w:val="24"/>
                <w:highlight w:val="none"/>
                <w:lang w:val="zh-CN" w:eastAsia="zh-CN" w:bidi="ar-SA"/>
              </w:rPr>
            </w:pPr>
          </w:p>
        </w:tc>
      </w:tr>
      <w:tr w14:paraId="1D9E22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noWrap w:val="0"/>
            <w:vAlign w:val="center"/>
          </w:tcPr>
          <w:p w14:paraId="1FE53C33">
            <w:pPr>
              <w:pStyle w:val="94"/>
              <w:ind w:left="60" w:right="60"/>
              <w:rPr>
                <w:rFonts w:hint="eastAsia" w:ascii="宋体" w:hAnsi="宋体" w:eastAsia="宋体" w:cs="宋体"/>
                <w:color w:val="auto"/>
                <w:highlight w:val="none"/>
                <w:lang w:val="zh-CN" w:eastAsia="zh-CN"/>
              </w:rPr>
            </w:pPr>
            <w:r>
              <w:rPr>
                <w:rFonts w:hint="eastAsia" w:ascii="宋体" w:hAnsi="宋体" w:eastAsia="宋体" w:cs="宋体"/>
                <w:color w:val="auto"/>
                <w:highlight w:val="none"/>
              </w:rPr>
              <w:t>室内设计专业</w:t>
            </w:r>
          </w:p>
        </w:tc>
        <w:tc>
          <w:tcPr>
            <w:tcW w:w="0" w:type="auto"/>
            <w:noWrap w:val="0"/>
            <w:vAlign w:val="center"/>
          </w:tcPr>
          <w:p w14:paraId="56B7B111">
            <w:pPr>
              <w:jc w:val="center"/>
              <w:rPr>
                <w:rFonts w:hint="eastAsia" w:ascii="宋体" w:hAnsi="宋体" w:eastAsia="宋体" w:cs="宋体"/>
                <w:color w:val="auto"/>
                <w:sz w:val="21"/>
                <w:szCs w:val="21"/>
                <w:highlight w:val="none"/>
                <w:lang w:val="zh-CN" w:eastAsia="zh-CN" w:bidi="ar-SA"/>
              </w:rPr>
            </w:pPr>
          </w:p>
        </w:tc>
        <w:tc>
          <w:tcPr>
            <w:tcW w:w="0" w:type="auto"/>
            <w:noWrap w:val="0"/>
            <w:vAlign w:val="top"/>
          </w:tcPr>
          <w:p w14:paraId="5B1796DB">
            <w:pPr>
              <w:pStyle w:val="94"/>
              <w:ind w:left="60" w:right="60"/>
              <w:rPr>
                <w:rFonts w:hint="eastAsia" w:ascii="宋体" w:hAnsi="宋体" w:eastAsia="宋体" w:cs="宋体"/>
                <w:color w:val="auto"/>
                <w:highlight w:val="none"/>
              </w:rPr>
            </w:pPr>
          </w:p>
        </w:tc>
        <w:tc>
          <w:tcPr>
            <w:tcW w:w="0" w:type="auto"/>
            <w:noWrap w:val="0"/>
            <w:vAlign w:val="top"/>
          </w:tcPr>
          <w:p w14:paraId="20798407">
            <w:pPr>
              <w:pStyle w:val="94"/>
              <w:ind w:left="60" w:right="60"/>
              <w:rPr>
                <w:rFonts w:hint="eastAsia" w:ascii="宋体" w:hAnsi="宋体" w:eastAsia="宋体" w:cs="宋体"/>
                <w:color w:val="auto"/>
                <w:highlight w:val="none"/>
              </w:rPr>
            </w:pPr>
          </w:p>
        </w:tc>
        <w:tc>
          <w:tcPr>
            <w:tcW w:w="0" w:type="auto"/>
            <w:noWrap w:val="0"/>
            <w:vAlign w:val="top"/>
          </w:tcPr>
          <w:p w14:paraId="71303015">
            <w:pPr>
              <w:pStyle w:val="94"/>
              <w:ind w:left="60" w:right="60"/>
              <w:rPr>
                <w:rFonts w:hint="eastAsia" w:ascii="宋体" w:hAnsi="宋体" w:eastAsia="宋体" w:cs="宋体"/>
                <w:color w:val="auto"/>
                <w:highlight w:val="none"/>
              </w:rPr>
            </w:pPr>
          </w:p>
        </w:tc>
      </w:tr>
      <w:tr w14:paraId="5A99167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noWrap w:val="0"/>
            <w:vAlign w:val="center"/>
          </w:tcPr>
          <w:p w14:paraId="477B2123">
            <w:pPr>
              <w:pStyle w:val="94"/>
              <w:ind w:left="60" w:right="60"/>
              <w:rPr>
                <w:rFonts w:hint="eastAsia" w:ascii="宋体" w:hAnsi="宋体" w:eastAsia="宋体" w:cs="宋体"/>
                <w:color w:val="auto"/>
                <w:highlight w:val="none"/>
              </w:rPr>
            </w:pPr>
            <w:r>
              <w:rPr>
                <w:rFonts w:hint="eastAsia" w:ascii="宋体" w:hAnsi="宋体" w:eastAsia="宋体" w:cs="宋体"/>
                <w:color w:val="auto"/>
                <w:highlight w:val="none"/>
              </w:rPr>
              <w:t>造价人员</w:t>
            </w:r>
          </w:p>
        </w:tc>
        <w:tc>
          <w:tcPr>
            <w:tcW w:w="0" w:type="auto"/>
            <w:noWrap w:val="0"/>
            <w:vAlign w:val="center"/>
          </w:tcPr>
          <w:p w14:paraId="527EFF06">
            <w:pPr>
              <w:jc w:val="center"/>
              <w:rPr>
                <w:rFonts w:hint="eastAsia" w:ascii="宋体" w:hAnsi="宋体" w:eastAsia="宋体" w:cs="宋体"/>
                <w:color w:val="auto"/>
                <w:sz w:val="21"/>
                <w:szCs w:val="21"/>
                <w:highlight w:val="none"/>
                <w:lang w:val="zh-CN" w:eastAsia="zh-CN" w:bidi="ar-SA"/>
              </w:rPr>
            </w:pPr>
          </w:p>
        </w:tc>
        <w:tc>
          <w:tcPr>
            <w:tcW w:w="0" w:type="auto"/>
            <w:noWrap w:val="0"/>
            <w:vAlign w:val="top"/>
          </w:tcPr>
          <w:p w14:paraId="04E128E3">
            <w:pPr>
              <w:pStyle w:val="94"/>
              <w:ind w:left="60" w:right="60"/>
              <w:rPr>
                <w:rFonts w:hint="eastAsia" w:ascii="宋体" w:hAnsi="宋体" w:eastAsia="宋体" w:cs="宋体"/>
                <w:color w:val="auto"/>
                <w:highlight w:val="none"/>
              </w:rPr>
            </w:pPr>
          </w:p>
        </w:tc>
        <w:tc>
          <w:tcPr>
            <w:tcW w:w="0" w:type="auto"/>
            <w:noWrap w:val="0"/>
            <w:vAlign w:val="top"/>
          </w:tcPr>
          <w:p w14:paraId="0A7DADF5">
            <w:pPr>
              <w:pStyle w:val="94"/>
              <w:ind w:left="60" w:right="60"/>
              <w:rPr>
                <w:rFonts w:hint="eastAsia" w:ascii="宋体" w:hAnsi="宋体" w:eastAsia="宋体" w:cs="宋体"/>
                <w:color w:val="auto"/>
                <w:highlight w:val="none"/>
              </w:rPr>
            </w:pPr>
          </w:p>
        </w:tc>
        <w:tc>
          <w:tcPr>
            <w:tcW w:w="0" w:type="auto"/>
            <w:noWrap w:val="0"/>
            <w:vAlign w:val="top"/>
          </w:tcPr>
          <w:p w14:paraId="1E4033FD">
            <w:pPr>
              <w:pStyle w:val="94"/>
              <w:ind w:left="60" w:right="60"/>
              <w:rPr>
                <w:rFonts w:hint="eastAsia" w:ascii="宋体" w:hAnsi="宋体" w:eastAsia="宋体" w:cs="宋体"/>
                <w:color w:val="auto"/>
                <w:highlight w:val="none"/>
              </w:rPr>
            </w:pPr>
          </w:p>
        </w:tc>
      </w:tr>
      <w:tr w14:paraId="6613C6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71" w:type="dxa"/>
            <w:gridSpan w:val="2"/>
            <w:noWrap w:val="0"/>
            <w:vAlign w:val="center"/>
          </w:tcPr>
          <w:p w14:paraId="5A7FE4F0">
            <w:pPr>
              <w:pStyle w:val="94"/>
              <w:ind w:left="60" w:right="60"/>
              <w:rPr>
                <w:rFonts w:hint="eastAsia" w:ascii="宋体" w:hAnsi="宋体" w:eastAsia="宋体" w:cs="宋体"/>
                <w:color w:val="auto"/>
                <w:highlight w:val="none"/>
                <w:lang w:eastAsia="zh-CN"/>
              </w:rPr>
            </w:pPr>
            <w:r>
              <w:rPr>
                <w:rFonts w:hint="eastAsia" w:ascii="宋体" w:hAnsi="宋体" w:eastAsia="宋体" w:cs="宋体"/>
                <w:color w:val="auto"/>
                <w:highlight w:val="none"/>
              </w:rPr>
              <w:t>驻场</w:t>
            </w:r>
            <w:r>
              <w:rPr>
                <w:rFonts w:hint="eastAsia" w:ascii="宋体" w:hAnsi="宋体" w:eastAsia="宋体" w:cs="宋体"/>
                <w:color w:val="auto"/>
                <w:highlight w:val="none"/>
                <w:lang w:eastAsia="zh-CN"/>
              </w:rPr>
              <w:t>人员</w:t>
            </w:r>
          </w:p>
        </w:tc>
        <w:tc>
          <w:tcPr>
            <w:tcW w:w="0" w:type="auto"/>
            <w:noWrap w:val="0"/>
            <w:vAlign w:val="center"/>
          </w:tcPr>
          <w:p w14:paraId="39112CD3">
            <w:pPr>
              <w:jc w:val="center"/>
              <w:rPr>
                <w:rFonts w:hint="eastAsia" w:ascii="宋体" w:hAnsi="宋体" w:eastAsia="宋体" w:cs="宋体"/>
                <w:color w:val="auto"/>
                <w:sz w:val="21"/>
                <w:szCs w:val="21"/>
                <w:highlight w:val="none"/>
                <w:lang w:val="zh-CN" w:eastAsia="zh-CN" w:bidi="ar-SA"/>
              </w:rPr>
            </w:pPr>
          </w:p>
        </w:tc>
        <w:tc>
          <w:tcPr>
            <w:tcW w:w="0" w:type="auto"/>
            <w:noWrap w:val="0"/>
            <w:vAlign w:val="top"/>
          </w:tcPr>
          <w:p w14:paraId="4EAC12AB">
            <w:pPr>
              <w:pStyle w:val="94"/>
              <w:ind w:left="60" w:right="60"/>
              <w:rPr>
                <w:rFonts w:hint="eastAsia" w:ascii="宋体" w:hAnsi="宋体" w:eastAsia="宋体" w:cs="宋体"/>
                <w:color w:val="auto"/>
                <w:highlight w:val="none"/>
              </w:rPr>
            </w:pPr>
          </w:p>
        </w:tc>
        <w:tc>
          <w:tcPr>
            <w:tcW w:w="0" w:type="auto"/>
            <w:noWrap w:val="0"/>
            <w:vAlign w:val="top"/>
          </w:tcPr>
          <w:p w14:paraId="0D93A36E">
            <w:pPr>
              <w:pStyle w:val="94"/>
              <w:ind w:left="60" w:right="60"/>
              <w:rPr>
                <w:rFonts w:hint="eastAsia" w:ascii="宋体" w:hAnsi="宋体" w:eastAsia="宋体" w:cs="宋体"/>
                <w:color w:val="auto"/>
                <w:highlight w:val="none"/>
              </w:rPr>
            </w:pPr>
          </w:p>
        </w:tc>
        <w:tc>
          <w:tcPr>
            <w:tcW w:w="0" w:type="auto"/>
            <w:noWrap w:val="0"/>
            <w:vAlign w:val="top"/>
          </w:tcPr>
          <w:p w14:paraId="3241DBFE">
            <w:pPr>
              <w:pStyle w:val="94"/>
              <w:ind w:left="60" w:right="60"/>
              <w:rPr>
                <w:rFonts w:hint="eastAsia" w:ascii="宋体" w:hAnsi="宋体" w:eastAsia="宋体" w:cs="宋体"/>
                <w:color w:val="auto"/>
                <w:highlight w:val="none"/>
              </w:rPr>
            </w:pPr>
          </w:p>
        </w:tc>
      </w:tr>
    </w:tbl>
    <w:p w14:paraId="5E3D93B1">
      <w:pPr>
        <w:pStyle w:val="45"/>
        <w:rPr>
          <w:rFonts w:hint="eastAsia" w:ascii="宋体" w:hAnsi="宋体" w:eastAsia="宋体" w:cs="宋体"/>
          <w:color w:val="auto"/>
          <w:sz w:val="24"/>
          <w:szCs w:val="28"/>
          <w:highlight w:val="none"/>
        </w:rPr>
      </w:pPr>
      <w:r>
        <w:rPr>
          <w:rFonts w:hint="eastAsia" w:ascii="宋体" w:hAnsi="宋体" w:eastAsia="宋体" w:cs="宋体"/>
          <w:color w:val="auto"/>
          <w:highlight w:val="none"/>
        </w:rPr>
        <w:br w:type="page"/>
      </w:r>
      <w:bookmarkStart w:id="30" w:name="_Toc256000152"/>
      <w:bookmarkStart w:id="31" w:name="_Toc256000312"/>
      <w:r>
        <w:rPr>
          <w:rFonts w:hint="eastAsia" w:ascii="宋体" w:hAnsi="宋体" w:eastAsia="宋体" w:cs="宋体"/>
          <w:color w:val="auto"/>
          <w:sz w:val="24"/>
          <w:szCs w:val="28"/>
          <w:highlight w:val="none"/>
        </w:rPr>
        <w:t>附件</w:t>
      </w:r>
      <w:r>
        <w:rPr>
          <w:rFonts w:hint="eastAsia" w:cs="宋体"/>
          <w:color w:val="auto"/>
          <w:sz w:val="24"/>
          <w:szCs w:val="28"/>
          <w:highlight w:val="none"/>
          <w:lang w:val="en-US" w:eastAsia="zh-CN"/>
        </w:rPr>
        <w:t>3</w:t>
      </w:r>
      <w:r>
        <w:rPr>
          <w:rFonts w:hint="eastAsia" w:ascii="宋体" w:hAnsi="宋体" w:eastAsia="宋体" w:cs="宋体"/>
          <w:color w:val="auto"/>
          <w:sz w:val="24"/>
          <w:szCs w:val="28"/>
          <w:highlight w:val="none"/>
        </w:rPr>
        <w:t>：</w:t>
      </w:r>
    </w:p>
    <w:p w14:paraId="4A4F608A">
      <w:pPr>
        <w:pStyle w:val="45"/>
        <w:jc w:val="center"/>
        <w:rPr>
          <w:rFonts w:hint="eastAsia" w:ascii="宋体" w:hAnsi="宋体" w:eastAsia="宋体" w:cs="宋体"/>
          <w:color w:val="auto"/>
          <w:highlight w:val="none"/>
        </w:rPr>
      </w:pPr>
      <w:r>
        <w:rPr>
          <w:rFonts w:hint="eastAsia" w:ascii="宋体" w:hAnsi="宋体" w:eastAsia="宋体" w:cs="宋体"/>
          <w:color w:val="auto"/>
          <w:highlight w:val="none"/>
        </w:rPr>
        <w:t>廉政协议书</w:t>
      </w:r>
    </w:p>
    <w:bookmarkEnd w:id="30"/>
    <w:bookmarkEnd w:id="31"/>
    <w:p w14:paraId="3CB506CE">
      <w:pPr>
        <w:spacing w:line="360" w:lineRule="auto"/>
        <w:ind w:firstLine="420" w:firstLineChars="200"/>
        <w:jc w:val="left"/>
        <w:rPr>
          <w:rFonts w:hint="eastAsia" w:ascii="宋体" w:hAnsi="宋体" w:eastAsia="宋体" w:cs="宋体"/>
          <w:color w:val="auto"/>
          <w:sz w:val="21"/>
          <w:szCs w:val="21"/>
          <w:highlight w:val="none"/>
        </w:rPr>
      </w:pPr>
      <w:bookmarkStart w:id="32" w:name="_Toc120098644"/>
      <w:r>
        <w:rPr>
          <w:rFonts w:hint="eastAsia" w:ascii="宋体" w:hAnsi="宋体" w:eastAsia="宋体" w:cs="宋体"/>
          <w:color w:val="auto"/>
          <w:sz w:val="21"/>
          <w:szCs w:val="21"/>
          <w:highlight w:val="none"/>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eastAsia="宋体" w:cs="宋体"/>
          <w:color w:val="auto"/>
          <w:sz w:val="21"/>
          <w:szCs w:val="21"/>
          <w:highlight w:val="none"/>
          <w:u w:val="single"/>
          <w:lang w:eastAsia="zh-CN"/>
        </w:rPr>
        <w:t>中国药科大学玄武门校区图书馆改造设计项目</w:t>
      </w:r>
      <w:r>
        <w:rPr>
          <w:rFonts w:hint="eastAsia" w:ascii="宋体" w:hAnsi="宋体" w:eastAsia="宋体" w:cs="宋体"/>
          <w:color w:val="auto"/>
          <w:sz w:val="21"/>
          <w:szCs w:val="21"/>
          <w:highlight w:val="none"/>
        </w:rPr>
        <w:t>的单位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rPr>
        <w:t xml:space="preserve">     </w:t>
      </w:r>
      <w:r>
        <w:rPr>
          <w:rFonts w:hint="eastAsia" w:ascii="宋体" w:hAnsi="宋体" w:eastAsia="宋体" w:cs="宋体"/>
          <w:color w:val="auto"/>
          <w:sz w:val="21"/>
          <w:szCs w:val="21"/>
          <w:highlight w:val="none"/>
        </w:rPr>
        <w:t>（以下称乙方）特订立如下廉政协议书。</w:t>
      </w:r>
    </w:p>
    <w:p w14:paraId="4D67F31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第一条、甲乙双方约定</w:t>
      </w:r>
    </w:p>
    <w:p w14:paraId="43ED11E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l、甲乙双方应共同遵守国家和省、市以及行业主管部门关于加强工程建设管理及党风廉政建设的各项规定。</w:t>
      </w:r>
    </w:p>
    <w:p w14:paraId="6FF1CD7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2、甲乙双方应认真执行建设工程的合同文件,自觉按合同办事。</w:t>
      </w:r>
    </w:p>
    <w:p w14:paraId="42DA63DD">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3、除法律认定的商业秘密和合同文件另有规定之外,甲乙双方的业务活动应坚持公开、公正、透明的原则,严禁损害国家和甲乙双方集体利益、违反工程建设管理规章制度的不正当交易。</w:t>
      </w:r>
    </w:p>
    <w:p w14:paraId="793C078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4、甲乙双方应加强对本工程建设参加人员的廉政监督,建立和健全廉政制度,认真查处本方人员的违法违纪行为。</w:t>
      </w:r>
    </w:p>
    <w:p w14:paraId="7748FE1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5、甲乙双方有对本方人员开展廉政告知、廉政教育和职业道德教育的义务。</w:t>
      </w:r>
    </w:p>
    <w:p w14:paraId="6A8A6C0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6、甲乙双方如发现对方在业务活动中有不廉洁行为,有及时提醒对方并督促其纠正的权利和义务。</w:t>
      </w:r>
    </w:p>
    <w:p w14:paraId="498995C6">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第二条、甲方在廉政建设方面的责任</w:t>
      </w:r>
    </w:p>
    <w:p w14:paraId="30845E6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1、甲方及其工作人员不得以任何形式向乙方索要和收受回扣。</w:t>
      </w:r>
    </w:p>
    <w:p w14:paraId="5692211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2、甲方及其工作人员不得接受乙方的礼金、有价证券和贵重物品,不得在乙方报销任何应由个人支付的费用。</w:t>
      </w:r>
    </w:p>
    <w:p w14:paraId="7976E5E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3、甲方工作人员不得参加可能对公正执行公务有影响的宴请、娱乐、休闲、旅游等活动。</w:t>
      </w:r>
    </w:p>
    <w:p w14:paraId="251B999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4、甲方及其工作人员不得要求或者接受乙方为其住房装修、婚丧嫁娶、家属子女的工作安排以及出国、出境等提供方便。</w:t>
      </w:r>
    </w:p>
    <w:p w14:paraId="421163E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5、甲方及其工作人员不得向乙方介绍家属、亲友从事与甲方工程有关的材料设备供应、工程分包等经济活动。</w:t>
      </w:r>
    </w:p>
    <w:p w14:paraId="559B916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6、甲方工作人员不得在家里接待乙方有关工程事项的询访。</w:t>
      </w:r>
    </w:p>
    <w:p w14:paraId="336A3303">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第三条、乙方在廉政建设方面的责任</w:t>
      </w:r>
    </w:p>
    <w:p w14:paraId="19366C2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1、乙方不得以任何理由向甲方及其工作人员赠送礼金、有价证券和贵重物品等。</w:t>
      </w:r>
    </w:p>
    <w:p w14:paraId="21D985AF">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2、乙方不得以任何名义为甲方及其工作人员报支应由个人支付的任何费用。</w:t>
      </w:r>
    </w:p>
    <w:p w14:paraId="0833379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3、乙方不得以任何理由邀请甲方工作人员参加宴请、娱乐、休闲、旅游等活动。</w:t>
      </w:r>
    </w:p>
    <w:p w14:paraId="692E973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4、乙方不得为甲方单位和个人购置或提供通讯工具、交通工具、家电和高档办公用品或者为通讯工具充值。</w:t>
      </w:r>
    </w:p>
    <w:p w14:paraId="0CCF2CE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5、乙方人员不得到甲方人员家里询访有关工程建设事项。</w:t>
      </w:r>
    </w:p>
    <w:p w14:paraId="168160E0">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第四条、违约责任</w:t>
      </w:r>
    </w:p>
    <w:p w14:paraId="379A640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1、甲方及其工作人员有违反本廉政协议书第一条和第二条的,按甲方单位的廉政建设规定处罚，同时汇报检察机关。</w:t>
      </w:r>
    </w:p>
    <w:p w14:paraId="36ADE35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0DEC0D97">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第五条、中国药科大学廉政监督部门为中国药科大学纪检监察室，如出现廉政问题，由监督部门按相关法律法规进行处理。</w:t>
      </w:r>
    </w:p>
    <w:p w14:paraId="4F09F2A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第六条、本廉政协议书有效期为从甲乙双方签署之日起,到该工程项目竣工验收后止。</w:t>
      </w:r>
    </w:p>
    <w:p w14:paraId="2246C461">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第七条、本廉政协议书作为工程合同的附件,与工程承包合同具有同等的法律效力,经协议双方签署后立即生效。</w:t>
      </w:r>
    </w:p>
    <w:p w14:paraId="61AAA40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本协议书未尽事宜，参照国家相关法律规定及《中国药科大学基本建设和专项维修项目廉政建设管理细则》等。</w:t>
      </w:r>
    </w:p>
    <w:p w14:paraId="30309ADD">
      <w:pPr>
        <w:tabs>
          <w:tab w:val="left" w:pos="4515"/>
        </w:tabs>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1A685C6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                  法定代表人：</w:t>
      </w:r>
    </w:p>
    <w:p w14:paraId="2B34940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1890EC20">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3594B015">
      <w:pPr>
        <w:spacing w:line="360" w:lineRule="auto"/>
        <w:rPr>
          <w:rFonts w:hint="eastAsia" w:ascii="宋体" w:hAnsi="宋体" w:eastAsia="宋体" w:cs="宋体"/>
          <w:color w:val="auto"/>
          <w:sz w:val="21"/>
          <w:szCs w:val="21"/>
          <w:highlight w:val="none"/>
        </w:rPr>
        <w:sectPr>
          <w:pgSz w:w="11906" w:h="16838"/>
          <w:pgMar w:top="1440" w:right="1134" w:bottom="1440" w:left="1134" w:header="851" w:footer="992" w:gutter="0"/>
          <w:pgNumType w:fmt="decimal"/>
          <w:cols w:space="720" w:num="1"/>
          <w:docGrid w:type="lines" w:linePitch="312" w:charSpace="0"/>
        </w:sectPr>
      </w:pPr>
      <w:r>
        <w:rPr>
          <w:rFonts w:hint="eastAsia" w:ascii="宋体" w:hAnsi="宋体" w:eastAsia="宋体" w:cs="宋体"/>
          <w:color w:val="auto"/>
          <w:sz w:val="21"/>
          <w:szCs w:val="21"/>
          <w:highlight w:val="none"/>
        </w:rPr>
        <w:t xml:space="preserve">签约日期：   年  月  日       签约日期：  年  月   </w:t>
      </w:r>
      <w:bookmarkEnd w:id="32"/>
    </w:p>
    <w:p w14:paraId="2BECA622">
      <w:pPr>
        <w:jc w:val="center"/>
        <w:outlineLvl w:val="0"/>
        <w:rPr>
          <w:rFonts w:hint="eastAsia" w:ascii="宋体" w:hAnsi="宋体" w:eastAsia="宋体" w:cs="宋体"/>
          <w:color w:val="auto"/>
          <w:sz w:val="36"/>
          <w:szCs w:val="36"/>
          <w:highlight w:val="none"/>
          <w:lang w:val="zh-CN"/>
        </w:rPr>
      </w:pPr>
      <w:bookmarkStart w:id="33" w:name="_Toc20242"/>
      <w:r>
        <w:rPr>
          <w:rFonts w:hint="eastAsia" w:ascii="宋体" w:hAnsi="宋体" w:eastAsia="宋体" w:cs="宋体"/>
          <w:color w:val="auto"/>
          <w:sz w:val="36"/>
          <w:szCs w:val="36"/>
          <w:highlight w:val="none"/>
          <w:lang w:val="zh-CN"/>
        </w:rPr>
        <w:t>第六章</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lang w:val="zh-CN"/>
        </w:rPr>
        <w:t>投标文件格式及附件</w:t>
      </w:r>
      <w:bookmarkEnd w:id="33"/>
    </w:p>
    <w:p w14:paraId="1E159635">
      <w:pPr>
        <w:ind w:left="560"/>
        <w:jc w:val="center"/>
        <w:rPr>
          <w:rFonts w:hint="eastAsia" w:ascii="宋体" w:hAnsi="宋体" w:eastAsia="宋体" w:cs="宋体"/>
          <w:b/>
          <w:color w:val="auto"/>
          <w:sz w:val="36"/>
          <w:highlight w:val="none"/>
        </w:rPr>
      </w:pPr>
    </w:p>
    <w:p w14:paraId="176B41CE">
      <w:pPr>
        <w:jc w:val="center"/>
        <w:rPr>
          <w:rFonts w:hint="eastAsia" w:ascii="宋体" w:hAnsi="宋体" w:eastAsia="宋体" w:cs="宋体"/>
          <w:b/>
          <w:color w:val="auto"/>
          <w:sz w:val="72"/>
          <w:highlight w:val="none"/>
        </w:rPr>
      </w:pPr>
    </w:p>
    <w:p w14:paraId="5C416C69">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投标文件</w:t>
      </w:r>
    </w:p>
    <w:p w14:paraId="487B2404">
      <w:pPr>
        <w:ind w:firstLine="3708"/>
        <w:rPr>
          <w:rFonts w:hint="eastAsia" w:ascii="宋体" w:hAnsi="宋体" w:eastAsia="宋体" w:cs="宋体"/>
          <w:b/>
          <w:color w:val="auto"/>
          <w:sz w:val="36"/>
          <w:highlight w:val="none"/>
        </w:rPr>
      </w:pPr>
    </w:p>
    <w:p w14:paraId="4921DDC1">
      <w:pPr>
        <w:jc w:val="center"/>
        <w:rPr>
          <w:rFonts w:hint="eastAsia" w:ascii="宋体" w:hAnsi="宋体" w:eastAsia="宋体" w:cs="宋体"/>
          <w:b/>
          <w:color w:val="auto"/>
          <w:sz w:val="72"/>
          <w:highlight w:val="none"/>
        </w:rPr>
      </w:pPr>
    </w:p>
    <w:p w14:paraId="18BB5F8E">
      <w:pPr>
        <w:jc w:val="center"/>
        <w:rPr>
          <w:rFonts w:hint="eastAsia" w:ascii="宋体" w:hAnsi="宋体" w:eastAsia="宋体" w:cs="宋体"/>
          <w:b/>
          <w:color w:val="auto"/>
          <w:sz w:val="36"/>
          <w:highlight w:val="none"/>
        </w:rPr>
      </w:pPr>
    </w:p>
    <w:p w14:paraId="2BC2A7E4">
      <w:pPr>
        <w:jc w:val="center"/>
        <w:rPr>
          <w:rFonts w:hint="eastAsia" w:ascii="宋体" w:hAnsi="宋体" w:eastAsia="宋体" w:cs="宋体"/>
          <w:b/>
          <w:color w:val="auto"/>
          <w:sz w:val="36"/>
          <w:highlight w:val="none"/>
        </w:rPr>
      </w:pPr>
    </w:p>
    <w:p w14:paraId="682EEE2C">
      <w:pPr>
        <w:jc w:val="center"/>
        <w:rPr>
          <w:rFonts w:hint="eastAsia" w:ascii="宋体" w:hAnsi="宋体" w:eastAsia="宋体" w:cs="宋体"/>
          <w:b/>
          <w:color w:val="auto"/>
          <w:sz w:val="36"/>
          <w:highlight w:val="none"/>
        </w:rPr>
      </w:pPr>
    </w:p>
    <w:p w14:paraId="02E41ED6">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项目编号：</w:t>
      </w:r>
    </w:p>
    <w:p w14:paraId="6FAE629C">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项目名称：</w:t>
      </w:r>
    </w:p>
    <w:p w14:paraId="60F889A3">
      <w:pPr>
        <w:rPr>
          <w:rFonts w:hint="eastAsia" w:ascii="宋体" w:hAnsi="宋体" w:eastAsia="宋体" w:cs="宋体"/>
          <w:b/>
          <w:color w:val="auto"/>
          <w:sz w:val="36"/>
          <w:highlight w:val="none"/>
        </w:rPr>
      </w:pPr>
    </w:p>
    <w:p w14:paraId="716A1CB3">
      <w:pPr>
        <w:rPr>
          <w:rFonts w:hint="eastAsia" w:ascii="宋体" w:hAnsi="宋体" w:eastAsia="宋体" w:cs="宋体"/>
          <w:b/>
          <w:color w:val="auto"/>
          <w:sz w:val="36"/>
          <w:highlight w:val="none"/>
        </w:rPr>
      </w:pPr>
    </w:p>
    <w:p w14:paraId="2C53A1F4">
      <w:pPr>
        <w:rPr>
          <w:rFonts w:hint="eastAsia" w:ascii="宋体" w:hAnsi="宋体" w:eastAsia="宋体" w:cs="宋体"/>
          <w:b/>
          <w:color w:val="auto"/>
          <w:sz w:val="36"/>
          <w:highlight w:val="none"/>
        </w:rPr>
      </w:pPr>
    </w:p>
    <w:p w14:paraId="76F9A405">
      <w:pPr>
        <w:rPr>
          <w:rFonts w:hint="eastAsia" w:ascii="宋体" w:hAnsi="宋体" w:eastAsia="宋体" w:cs="宋体"/>
          <w:b/>
          <w:color w:val="auto"/>
          <w:sz w:val="36"/>
          <w:highlight w:val="none"/>
        </w:rPr>
      </w:pPr>
    </w:p>
    <w:p w14:paraId="09D79B0E">
      <w:pPr>
        <w:rPr>
          <w:rFonts w:hint="eastAsia" w:ascii="宋体" w:hAnsi="宋体" w:eastAsia="宋体" w:cs="宋体"/>
          <w:b/>
          <w:color w:val="auto"/>
          <w:sz w:val="36"/>
          <w:highlight w:val="none"/>
        </w:rPr>
      </w:pPr>
    </w:p>
    <w:p w14:paraId="51BDC4A6">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投标人名称：</w:t>
      </w:r>
    </w:p>
    <w:p w14:paraId="0FA426D1">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日期：</w:t>
      </w:r>
    </w:p>
    <w:p w14:paraId="49517261">
      <w:pPr>
        <w:widowControl/>
        <w:jc w:val="left"/>
        <w:rPr>
          <w:rFonts w:hint="eastAsia" w:ascii="宋体" w:hAnsi="宋体" w:eastAsia="宋体" w:cs="宋体"/>
          <w:b/>
          <w:color w:val="auto"/>
          <w:sz w:val="30"/>
          <w:highlight w:val="none"/>
        </w:rPr>
      </w:pPr>
    </w:p>
    <w:p w14:paraId="33DCC961">
      <w:pPr>
        <w:rPr>
          <w:rFonts w:hint="eastAsia" w:ascii="宋体" w:hAnsi="宋体" w:eastAsia="宋体" w:cs="宋体"/>
          <w:b/>
          <w:color w:val="auto"/>
          <w:sz w:val="30"/>
          <w:highlight w:val="none"/>
        </w:rPr>
      </w:pPr>
      <w:r>
        <w:rPr>
          <w:rFonts w:hint="eastAsia" w:ascii="宋体" w:hAnsi="宋体" w:eastAsia="宋体" w:cs="宋体"/>
          <w:b/>
          <w:color w:val="auto"/>
          <w:sz w:val="30"/>
          <w:highlight w:val="none"/>
        </w:rPr>
        <w:br w:type="page"/>
      </w:r>
    </w:p>
    <w:p w14:paraId="400942F3">
      <w:pPr>
        <w:jc w:val="center"/>
        <w:rPr>
          <w:rFonts w:hint="eastAsia" w:ascii="宋体" w:hAnsi="宋体" w:eastAsia="宋体" w:cs="宋体"/>
          <w:b/>
          <w:color w:val="auto"/>
          <w:sz w:val="30"/>
          <w:highlight w:val="none"/>
        </w:rPr>
      </w:pPr>
      <w:r>
        <w:rPr>
          <w:rFonts w:hint="eastAsia" w:ascii="宋体" w:hAnsi="宋体" w:eastAsia="宋体" w:cs="宋体"/>
          <w:b/>
          <w:color w:val="auto"/>
          <w:sz w:val="30"/>
          <w:highlight w:val="none"/>
        </w:rPr>
        <w:t>评分索引表</w:t>
      </w:r>
    </w:p>
    <w:tbl>
      <w:tblPr>
        <w:tblStyle w:val="25"/>
        <w:tblW w:w="4986" w:type="pct"/>
        <w:jc w:val="center"/>
        <w:tblLayout w:type="fixed"/>
        <w:tblCellMar>
          <w:top w:w="0" w:type="dxa"/>
          <w:left w:w="10" w:type="dxa"/>
          <w:bottom w:w="0" w:type="dxa"/>
          <w:right w:w="10" w:type="dxa"/>
        </w:tblCellMar>
      </w:tblPr>
      <w:tblGrid>
        <w:gridCol w:w="6024"/>
        <w:gridCol w:w="3802"/>
      </w:tblGrid>
      <w:tr w14:paraId="49875E14">
        <w:tblPrEx>
          <w:tblCellMar>
            <w:top w:w="0" w:type="dxa"/>
            <w:left w:w="10" w:type="dxa"/>
            <w:bottom w:w="0" w:type="dxa"/>
            <w:right w:w="10" w:type="dxa"/>
          </w:tblCellMar>
        </w:tblPrEx>
        <w:trPr>
          <w:trHeight w:val="42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A156CCB">
            <w:pPr>
              <w:jc w:val="center"/>
              <w:rPr>
                <w:rFonts w:hint="eastAsia" w:ascii="宋体" w:hAnsi="宋体" w:eastAsia="宋体" w:cs="宋体"/>
                <w:color w:val="auto"/>
                <w:highlight w:val="none"/>
              </w:rPr>
            </w:pPr>
            <w:r>
              <w:rPr>
                <w:rFonts w:hint="eastAsia" w:ascii="宋体" w:hAnsi="宋体" w:eastAsia="宋体" w:cs="宋体"/>
                <w:b/>
                <w:color w:val="auto"/>
                <w:highlight w:val="none"/>
              </w:rPr>
              <w:t>评分项目</w:t>
            </w: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2223D95">
            <w:pPr>
              <w:jc w:val="center"/>
              <w:rPr>
                <w:rFonts w:hint="eastAsia" w:ascii="宋体" w:hAnsi="宋体" w:eastAsia="宋体" w:cs="宋体"/>
                <w:color w:val="auto"/>
                <w:highlight w:val="none"/>
              </w:rPr>
            </w:pPr>
            <w:r>
              <w:rPr>
                <w:rFonts w:hint="eastAsia" w:ascii="宋体" w:hAnsi="宋体" w:eastAsia="宋体" w:cs="宋体"/>
                <w:b/>
                <w:color w:val="auto"/>
                <w:highlight w:val="none"/>
              </w:rPr>
              <w:t>在投标文件中的页码位置</w:t>
            </w:r>
          </w:p>
        </w:tc>
      </w:tr>
      <w:tr w14:paraId="4D92B6E9">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6D81C60">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494DB82">
            <w:pPr>
              <w:rPr>
                <w:rFonts w:hint="eastAsia" w:ascii="宋体" w:hAnsi="宋体" w:eastAsia="宋体" w:cs="宋体"/>
                <w:color w:val="auto"/>
                <w:sz w:val="22"/>
                <w:highlight w:val="none"/>
              </w:rPr>
            </w:pPr>
          </w:p>
        </w:tc>
      </w:tr>
      <w:tr w14:paraId="0002DED1">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C26C903">
            <w:pPr>
              <w:rPr>
                <w:rFonts w:hint="eastAsia" w:ascii="宋体" w:hAnsi="宋体" w:eastAsia="宋体" w:cs="宋体"/>
                <w:color w:val="auto"/>
                <w:sz w:val="22"/>
                <w:highlight w:val="none"/>
              </w:rPr>
            </w:pPr>
          </w:p>
        </w:tc>
      </w:tr>
      <w:tr w14:paraId="1ABFC5B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E5792F6">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8408C0">
            <w:pPr>
              <w:rPr>
                <w:rFonts w:hint="eastAsia" w:ascii="宋体" w:hAnsi="宋体" w:eastAsia="宋体" w:cs="宋体"/>
                <w:color w:val="auto"/>
                <w:sz w:val="22"/>
                <w:highlight w:val="none"/>
              </w:rPr>
            </w:pPr>
          </w:p>
        </w:tc>
      </w:tr>
      <w:tr w14:paraId="14EFC78B">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48F67C4">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077763F">
            <w:pPr>
              <w:rPr>
                <w:rFonts w:hint="eastAsia" w:ascii="宋体" w:hAnsi="宋体" w:eastAsia="宋体" w:cs="宋体"/>
                <w:color w:val="auto"/>
                <w:sz w:val="22"/>
                <w:highlight w:val="none"/>
              </w:rPr>
            </w:pPr>
          </w:p>
        </w:tc>
      </w:tr>
      <w:tr w14:paraId="096F04F1">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5BDC503">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CE26947">
            <w:pPr>
              <w:rPr>
                <w:rFonts w:hint="eastAsia" w:ascii="宋体" w:hAnsi="宋体" w:eastAsia="宋体" w:cs="宋体"/>
                <w:color w:val="auto"/>
                <w:sz w:val="22"/>
                <w:highlight w:val="none"/>
              </w:rPr>
            </w:pPr>
          </w:p>
        </w:tc>
      </w:tr>
      <w:tr w14:paraId="44B36289">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3CC17FB">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0F045A">
            <w:pPr>
              <w:rPr>
                <w:rFonts w:hint="eastAsia" w:ascii="宋体" w:hAnsi="宋体" w:eastAsia="宋体" w:cs="宋体"/>
                <w:color w:val="auto"/>
                <w:sz w:val="22"/>
                <w:highlight w:val="none"/>
              </w:rPr>
            </w:pPr>
          </w:p>
        </w:tc>
      </w:tr>
      <w:tr w14:paraId="5AC94B4D">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EFF6E2A">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589F6FF">
            <w:pPr>
              <w:rPr>
                <w:rFonts w:hint="eastAsia" w:ascii="宋体" w:hAnsi="宋体" w:eastAsia="宋体" w:cs="宋体"/>
                <w:color w:val="auto"/>
                <w:sz w:val="22"/>
                <w:highlight w:val="none"/>
              </w:rPr>
            </w:pPr>
          </w:p>
        </w:tc>
      </w:tr>
      <w:tr w14:paraId="1657133E">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15B1121">
            <w:pPr>
              <w:rPr>
                <w:rFonts w:hint="eastAsia" w:ascii="宋体" w:hAnsi="宋体" w:eastAsia="宋体" w:cs="宋体"/>
                <w:color w:val="auto"/>
                <w:sz w:val="22"/>
                <w:highlight w:val="none"/>
              </w:rPr>
            </w:pPr>
          </w:p>
        </w:tc>
      </w:tr>
      <w:tr w14:paraId="47935CD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8920DF8">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3BD09EF">
            <w:pPr>
              <w:rPr>
                <w:rFonts w:hint="eastAsia" w:ascii="宋体" w:hAnsi="宋体" w:eastAsia="宋体" w:cs="宋体"/>
                <w:color w:val="auto"/>
                <w:sz w:val="22"/>
                <w:highlight w:val="none"/>
              </w:rPr>
            </w:pPr>
          </w:p>
        </w:tc>
      </w:tr>
      <w:tr w14:paraId="114AE72F">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51B16896">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3E0001">
            <w:pPr>
              <w:rPr>
                <w:rFonts w:hint="eastAsia" w:ascii="宋体" w:hAnsi="宋体" w:eastAsia="宋体" w:cs="宋体"/>
                <w:color w:val="auto"/>
                <w:sz w:val="22"/>
                <w:highlight w:val="none"/>
              </w:rPr>
            </w:pPr>
          </w:p>
        </w:tc>
      </w:tr>
      <w:tr w14:paraId="1C2ED6EA">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B7730F4">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ED2303E">
            <w:pPr>
              <w:rPr>
                <w:rFonts w:hint="eastAsia" w:ascii="宋体" w:hAnsi="宋体" w:eastAsia="宋体" w:cs="宋体"/>
                <w:color w:val="auto"/>
                <w:sz w:val="22"/>
                <w:highlight w:val="none"/>
              </w:rPr>
            </w:pPr>
          </w:p>
        </w:tc>
      </w:tr>
      <w:tr w14:paraId="1B50A72C">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4FEAE79">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5506A48">
            <w:pPr>
              <w:rPr>
                <w:rFonts w:hint="eastAsia" w:ascii="宋体" w:hAnsi="宋体" w:eastAsia="宋体" w:cs="宋体"/>
                <w:color w:val="auto"/>
                <w:sz w:val="22"/>
                <w:highlight w:val="none"/>
              </w:rPr>
            </w:pPr>
          </w:p>
        </w:tc>
      </w:tr>
      <w:tr w14:paraId="381DB0F5">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C2DC3A">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125D24C">
            <w:pPr>
              <w:rPr>
                <w:rFonts w:hint="eastAsia" w:ascii="宋体" w:hAnsi="宋体" w:eastAsia="宋体" w:cs="宋体"/>
                <w:color w:val="auto"/>
                <w:sz w:val="22"/>
                <w:highlight w:val="none"/>
              </w:rPr>
            </w:pPr>
          </w:p>
        </w:tc>
      </w:tr>
      <w:tr w14:paraId="020FDCF1">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99AA6CB">
            <w:pPr>
              <w:rPr>
                <w:rFonts w:hint="eastAsia" w:ascii="宋体" w:hAnsi="宋体" w:eastAsia="宋体" w:cs="宋体"/>
                <w:color w:val="auto"/>
                <w:sz w:val="22"/>
                <w:highlight w:val="none"/>
              </w:rPr>
            </w:pPr>
          </w:p>
        </w:tc>
      </w:tr>
      <w:tr w14:paraId="31C021D2">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858D7D4">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17B6CD4">
            <w:pPr>
              <w:rPr>
                <w:rFonts w:hint="eastAsia" w:ascii="宋体" w:hAnsi="宋体" w:eastAsia="宋体" w:cs="宋体"/>
                <w:color w:val="auto"/>
                <w:sz w:val="22"/>
                <w:highlight w:val="none"/>
              </w:rPr>
            </w:pPr>
          </w:p>
        </w:tc>
      </w:tr>
      <w:tr w14:paraId="65E20152">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70DC809">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69C714F">
            <w:pPr>
              <w:rPr>
                <w:rFonts w:hint="eastAsia" w:ascii="宋体" w:hAnsi="宋体" w:eastAsia="宋体" w:cs="宋体"/>
                <w:color w:val="auto"/>
                <w:sz w:val="22"/>
                <w:highlight w:val="none"/>
              </w:rPr>
            </w:pPr>
          </w:p>
        </w:tc>
      </w:tr>
      <w:tr w14:paraId="5C1B9F34">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D8ADBD8">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F1CC4D9">
            <w:pPr>
              <w:rPr>
                <w:rFonts w:hint="eastAsia" w:ascii="宋体" w:hAnsi="宋体" w:eastAsia="宋体" w:cs="宋体"/>
                <w:color w:val="auto"/>
                <w:sz w:val="22"/>
                <w:highlight w:val="none"/>
              </w:rPr>
            </w:pPr>
          </w:p>
        </w:tc>
      </w:tr>
      <w:tr w14:paraId="3BAF750F">
        <w:tblPrEx>
          <w:tblCellMar>
            <w:top w:w="0" w:type="dxa"/>
            <w:left w:w="10" w:type="dxa"/>
            <w:bottom w:w="0" w:type="dxa"/>
            <w:right w:w="10" w:type="dxa"/>
          </w:tblCellMar>
        </w:tblPrEx>
        <w:trPr>
          <w:trHeight w:val="441" w:hRule="atLeast"/>
          <w:jc w:val="center"/>
        </w:trPr>
        <w:tc>
          <w:tcPr>
            <w:tcW w:w="8499"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D0E5213">
            <w:pPr>
              <w:rPr>
                <w:rFonts w:hint="eastAsia" w:ascii="宋体" w:hAnsi="宋体" w:eastAsia="宋体" w:cs="宋体"/>
                <w:color w:val="auto"/>
                <w:sz w:val="22"/>
                <w:highlight w:val="none"/>
              </w:rPr>
            </w:pPr>
          </w:p>
        </w:tc>
      </w:tr>
      <w:tr w14:paraId="05AE8FD5">
        <w:tblPrEx>
          <w:tblCellMar>
            <w:top w:w="0" w:type="dxa"/>
            <w:left w:w="10" w:type="dxa"/>
            <w:bottom w:w="0" w:type="dxa"/>
            <w:right w:w="10" w:type="dxa"/>
          </w:tblCellMar>
        </w:tblPrEx>
        <w:trPr>
          <w:trHeight w:val="441"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BACEBF4">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9D52F48">
            <w:pPr>
              <w:rPr>
                <w:rFonts w:hint="eastAsia" w:ascii="宋体" w:hAnsi="宋体" w:eastAsia="宋体" w:cs="宋体"/>
                <w:color w:val="auto"/>
                <w:sz w:val="22"/>
                <w:highlight w:val="none"/>
              </w:rPr>
            </w:pPr>
          </w:p>
        </w:tc>
      </w:tr>
      <w:tr w14:paraId="1049F44C">
        <w:tblPrEx>
          <w:tblCellMar>
            <w:top w:w="0" w:type="dxa"/>
            <w:left w:w="10" w:type="dxa"/>
            <w:bottom w:w="0" w:type="dxa"/>
            <w:right w:w="10" w:type="dxa"/>
          </w:tblCellMar>
        </w:tblPrEx>
        <w:trPr>
          <w:trHeight w:val="456" w:hRule="atLeast"/>
          <w:jc w:val="center"/>
        </w:trPr>
        <w:tc>
          <w:tcPr>
            <w:tcW w:w="521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244F9E93">
            <w:pPr>
              <w:rPr>
                <w:rFonts w:hint="eastAsia" w:ascii="宋体" w:hAnsi="宋体" w:eastAsia="宋体" w:cs="宋体"/>
                <w:color w:val="auto"/>
                <w:sz w:val="22"/>
                <w:highlight w:val="none"/>
              </w:rPr>
            </w:pPr>
          </w:p>
        </w:tc>
        <w:tc>
          <w:tcPr>
            <w:tcW w:w="328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399D335">
            <w:pPr>
              <w:rPr>
                <w:rFonts w:hint="eastAsia" w:ascii="宋体" w:hAnsi="宋体" w:eastAsia="宋体" w:cs="宋体"/>
                <w:color w:val="auto"/>
                <w:sz w:val="22"/>
                <w:highlight w:val="none"/>
              </w:rPr>
            </w:pPr>
          </w:p>
        </w:tc>
      </w:tr>
    </w:tbl>
    <w:p w14:paraId="45A35BA5">
      <w:pPr>
        <w:rPr>
          <w:rFonts w:hint="eastAsia" w:ascii="宋体" w:hAnsi="宋体" w:eastAsia="宋体" w:cs="宋体"/>
          <w:color w:val="auto"/>
          <w:highlight w:val="none"/>
        </w:rPr>
      </w:pPr>
    </w:p>
    <w:p w14:paraId="412C163C">
      <w:pPr>
        <w:spacing w:line="440" w:lineRule="auto"/>
        <w:ind w:firstLine="420"/>
        <w:rPr>
          <w:rFonts w:hint="eastAsia" w:ascii="宋体" w:hAnsi="宋体" w:eastAsia="宋体" w:cs="宋体"/>
          <w:b/>
          <w:color w:val="auto"/>
          <w:sz w:val="36"/>
          <w:highlight w:val="none"/>
        </w:rPr>
      </w:pPr>
    </w:p>
    <w:p w14:paraId="354AD743">
      <w:pPr>
        <w:rPr>
          <w:rFonts w:hint="eastAsia" w:ascii="宋体" w:hAnsi="宋体" w:eastAsia="宋体" w:cs="宋体"/>
          <w:b/>
          <w:color w:val="auto"/>
          <w:sz w:val="32"/>
          <w:highlight w:val="none"/>
        </w:rPr>
      </w:pPr>
      <w:r>
        <w:rPr>
          <w:rFonts w:hint="eastAsia" w:ascii="宋体" w:hAnsi="宋体" w:eastAsia="宋体" w:cs="宋体"/>
          <w:b/>
          <w:color w:val="auto"/>
          <w:sz w:val="32"/>
          <w:highlight w:val="none"/>
        </w:rPr>
        <w:br w:type="page"/>
      </w:r>
    </w:p>
    <w:p w14:paraId="4E045CC5">
      <w:pPr>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投标文件主要目录及相关证明材料格式、附件</w:t>
      </w:r>
    </w:p>
    <w:p w14:paraId="3127AD80">
      <w:pPr>
        <w:rPr>
          <w:rFonts w:hint="eastAsia" w:ascii="宋体" w:hAnsi="宋体" w:eastAsia="宋体" w:cs="宋体"/>
          <w:color w:val="auto"/>
          <w:sz w:val="28"/>
          <w:highlight w:val="none"/>
        </w:rPr>
      </w:pPr>
    </w:p>
    <w:p w14:paraId="5982C6CF">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投标申请及声明</w:t>
      </w:r>
    </w:p>
    <w:p w14:paraId="25030F9D">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法定代表人授权书</w:t>
      </w:r>
    </w:p>
    <w:p w14:paraId="3C5D5121">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开标一览表</w:t>
      </w:r>
    </w:p>
    <w:p w14:paraId="0F811B60">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分项报价表</w:t>
      </w:r>
    </w:p>
    <w:p w14:paraId="280FBDB5">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技术条款偏离表</w:t>
      </w:r>
    </w:p>
    <w:p w14:paraId="6B60E9B7">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商务条款偏离表</w:t>
      </w:r>
    </w:p>
    <w:p w14:paraId="7694D795">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sz w:val="28"/>
          <w:highlight w:val="none"/>
          <w:lang w:val="en-US" w:eastAsia="zh-CN"/>
        </w:rPr>
        <w:t>•拟委任的主要人员汇总表及主要人员简历表</w:t>
      </w:r>
    </w:p>
    <w:p w14:paraId="371562E0">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lang w:val="en-US" w:eastAsia="zh-CN"/>
        </w:rPr>
      </w:pPr>
      <w:r>
        <w:rPr>
          <w:rFonts w:hint="eastAsia" w:ascii="宋体" w:hAnsi="宋体" w:eastAsia="宋体" w:cs="宋体"/>
          <w:color w:val="auto"/>
          <w:sz w:val="28"/>
          <w:highlight w:val="none"/>
          <w:lang w:val="en-US" w:eastAsia="zh-CN"/>
        </w:rPr>
        <w:t>•类似业绩情况表格</w:t>
      </w:r>
    </w:p>
    <w:p w14:paraId="5165B97E">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项目整体实施方案</w:t>
      </w:r>
    </w:p>
    <w:p w14:paraId="1332A881">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资格证明文件</w:t>
      </w:r>
    </w:p>
    <w:p w14:paraId="71583DD7">
      <w:pPr>
        <w:numPr>
          <w:ilvl w:val="0"/>
          <w:numId w:val="0"/>
        </w:numPr>
        <w:tabs>
          <w:tab w:val="left" w:pos="2280"/>
        </w:tabs>
        <w:spacing w:line="360" w:lineRule="auto"/>
        <w:ind w:left="2280" w:leftChars="0" w:hanging="720" w:firstLineChars="0"/>
        <w:rPr>
          <w:rFonts w:hint="eastAsia" w:ascii="宋体" w:hAnsi="宋体" w:eastAsia="宋体" w:cs="宋体"/>
          <w:color w:val="auto"/>
          <w:sz w:val="28"/>
          <w:highlight w:val="none"/>
        </w:rPr>
      </w:pPr>
      <w:r>
        <w:rPr>
          <w:rFonts w:hint="eastAsia" w:ascii="宋体" w:hAnsi="宋体" w:eastAsia="宋体" w:cs="宋体"/>
          <w:color w:val="auto"/>
          <w:kern w:val="2"/>
          <w:sz w:val="28"/>
          <w:szCs w:val="22"/>
          <w:highlight w:val="none"/>
          <w:lang w:val="en-US" w:eastAsia="zh-CN" w:bidi="ar-SA"/>
        </w:rPr>
        <w:t>•</w:t>
      </w:r>
      <w:r>
        <w:rPr>
          <w:rFonts w:hint="eastAsia" w:ascii="宋体" w:hAnsi="宋体" w:eastAsia="宋体" w:cs="宋体"/>
          <w:color w:val="auto"/>
          <w:sz w:val="28"/>
          <w:highlight w:val="none"/>
        </w:rPr>
        <w:t>投标需要的其他证明文件及材料（若有)</w:t>
      </w:r>
    </w:p>
    <w:p w14:paraId="5DACC064">
      <w:pPr>
        <w:spacing w:line="360" w:lineRule="auto"/>
        <w:rPr>
          <w:rFonts w:hint="eastAsia" w:ascii="宋体" w:hAnsi="宋体" w:eastAsia="宋体" w:cs="宋体"/>
          <w:color w:val="auto"/>
          <w:sz w:val="28"/>
          <w:highlight w:val="none"/>
        </w:rPr>
      </w:pPr>
    </w:p>
    <w:p w14:paraId="7621AC59">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附件一、中小企业声明函格式</w:t>
      </w:r>
    </w:p>
    <w:p w14:paraId="0F1849EC">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附件二、无重大违法记录声明格式</w:t>
      </w:r>
    </w:p>
    <w:p w14:paraId="7FD73802">
      <w:pPr>
        <w:keepNext w:val="0"/>
        <w:keepLines w:val="0"/>
        <w:pageBreakBefore w:val="0"/>
        <w:widowControl w:val="0"/>
        <w:kinsoku/>
        <w:wordWrap/>
        <w:overflowPunct/>
        <w:topLinePunct w:val="0"/>
        <w:bidi w:val="0"/>
        <w:adjustRightInd/>
        <w:snapToGrid/>
        <w:spacing w:line="480" w:lineRule="exact"/>
        <w:ind w:left="1679" w:leftChars="266" w:hanging="1120" w:hangingChars="400"/>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附件三、具备履行合同所必需的设备和专业技术能力的声明格式及证明材料</w:t>
      </w:r>
    </w:p>
    <w:p w14:paraId="2D9F15AA">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lang w:val="en-US"/>
        </w:rPr>
      </w:pPr>
      <w:r>
        <w:rPr>
          <w:rFonts w:hint="eastAsia" w:ascii="宋体" w:hAnsi="宋体" w:eastAsia="宋体" w:cs="宋体"/>
          <w:color w:val="auto"/>
          <w:sz w:val="28"/>
          <w:highlight w:val="none"/>
          <w:lang w:val="en-US"/>
        </w:rPr>
        <w:t>附件四、残疾人福利性单位声明函格式</w:t>
      </w:r>
    </w:p>
    <w:p w14:paraId="53F5D106">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lang w:val="en-US"/>
        </w:rPr>
      </w:pPr>
      <w:r>
        <w:rPr>
          <w:rFonts w:hint="eastAsia" w:ascii="宋体" w:hAnsi="宋体" w:eastAsia="宋体" w:cs="宋体"/>
          <w:color w:val="auto"/>
          <w:sz w:val="28"/>
          <w:highlight w:val="none"/>
          <w:lang w:val="en-US"/>
        </w:rPr>
        <w:t>附件五、属于监狱企业的证明文件</w:t>
      </w:r>
    </w:p>
    <w:p w14:paraId="50A873C9">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lang w:val="en-US"/>
        </w:rPr>
      </w:pPr>
      <w:r>
        <w:rPr>
          <w:rFonts w:hint="eastAsia" w:ascii="宋体" w:hAnsi="宋体" w:eastAsia="宋体" w:cs="宋体"/>
          <w:color w:val="auto"/>
          <w:sz w:val="28"/>
          <w:highlight w:val="none"/>
          <w:lang w:val="en-US"/>
        </w:rPr>
        <w:t>附件六、投标单位廉政承诺书</w:t>
      </w:r>
    </w:p>
    <w:p w14:paraId="06EC245A">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rPr>
        <w:t>附件七、承诺书</w:t>
      </w:r>
    </w:p>
    <w:p w14:paraId="04960E84">
      <w:pPr>
        <w:keepNext w:val="0"/>
        <w:keepLines w:val="0"/>
        <w:pageBreakBefore w:val="0"/>
        <w:widowControl w:val="0"/>
        <w:kinsoku/>
        <w:wordWrap/>
        <w:overflowPunct/>
        <w:topLinePunct w:val="0"/>
        <w:bidi w:val="0"/>
        <w:adjustRightInd/>
        <w:snapToGrid/>
        <w:spacing w:line="480" w:lineRule="exact"/>
        <w:ind w:firstLine="560" w:firstLineChars="200"/>
        <w:textAlignment w:val="auto"/>
        <w:rPr>
          <w:rFonts w:hint="eastAsia" w:ascii="宋体" w:hAnsi="宋体" w:eastAsia="宋体" w:cs="宋体"/>
          <w:color w:val="auto"/>
          <w:sz w:val="28"/>
          <w:highlight w:val="none"/>
        </w:rPr>
      </w:pPr>
      <w:r>
        <w:rPr>
          <w:rFonts w:hint="eastAsia" w:ascii="宋体" w:hAnsi="宋体" w:eastAsia="宋体" w:cs="宋体"/>
          <w:color w:val="auto"/>
          <w:sz w:val="28"/>
          <w:highlight w:val="none"/>
          <w:lang w:val="zh-CN"/>
        </w:rPr>
        <w:t>附件八、符合法律、行政法规规定的其他条件承诺书格式</w:t>
      </w:r>
    </w:p>
    <w:p w14:paraId="40F65539">
      <w:pPr>
        <w:widowControl/>
        <w:jc w:val="left"/>
        <w:rPr>
          <w:rFonts w:hint="eastAsia" w:ascii="宋体" w:hAnsi="宋体" w:eastAsia="宋体" w:cs="宋体"/>
          <w:b/>
          <w:color w:val="auto"/>
          <w:highlight w:val="none"/>
        </w:rPr>
      </w:pPr>
    </w:p>
    <w:p w14:paraId="3E3A49C3">
      <w:pPr>
        <w:widowControl/>
        <w:jc w:val="left"/>
        <w:rPr>
          <w:rFonts w:hint="eastAsia" w:ascii="宋体" w:hAnsi="宋体" w:eastAsia="宋体" w:cs="宋体"/>
          <w:b/>
          <w:color w:val="auto"/>
          <w:highlight w:val="none"/>
        </w:rPr>
        <w:sectPr>
          <w:headerReference r:id="rId11" w:type="default"/>
          <w:footerReference r:id="rId12" w:type="default"/>
          <w:pgSz w:w="11906" w:h="16838"/>
          <w:pgMar w:top="1440" w:right="1134" w:bottom="1440" w:left="1134" w:header="851" w:footer="992" w:gutter="0"/>
          <w:pgNumType w:fmt="decimal"/>
          <w:cols w:space="425" w:num="1"/>
          <w:docGrid w:type="lines" w:linePitch="312" w:charSpace="0"/>
        </w:sectPr>
      </w:pPr>
    </w:p>
    <w:p w14:paraId="69E28EB2">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t>目录一、投标申请及声明格式</w:t>
      </w:r>
    </w:p>
    <w:p w14:paraId="31661C36">
      <w:pPr>
        <w:spacing w:line="360" w:lineRule="auto"/>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投标申请及声明</w:t>
      </w:r>
    </w:p>
    <w:p w14:paraId="1571B0CE">
      <w:pPr>
        <w:spacing w:line="400" w:lineRule="atLeast"/>
        <w:rPr>
          <w:rFonts w:hint="eastAsia" w:ascii="宋体" w:hAnsi="宋体" w:eastAsia="宋体" w:cs="宋体"/>
          <w:color w:val="auto"/>
          <w:highlight w:val="none"/>
        </w:rPr>
      </w:pPr>
      <w:r>
        <w:rPr>
          <w:rFonts w:hint="eastAsia" w:ascii="宋体" w:hAnsi="宋体" w:eastAsia="宋体" w:cs="宋体"/>
          <w:color w:val="auto"/>
          <w:highlight w:val="none"/>
        </w:rPr>
        <w:t>致：中国药科大学</w:t>
      </w:r>
    </w:p>
    <w:p w14:paraId="570BA2F0">
      <w:pPr>
        <w:spacing w:line="40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w:t>根据贵方（项目名称）（项目编号）投标邀请，正式授权下述签字人(姓名和职务)代表投标人（投标人名称），提交投标文件。</w:t>
      </w:r>
    </w:p>
    <w:p w14:paraId="45F6CFEC">
      <w:pPr>
        <w:spacing w:line="40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w:t>据此函，签字人兹宣布声明和承诺如下：</w:t>
      </w:r>
    </w:p>
    <w:p w14:paraId="62C24731">
      <w:pPr>
        <w:spacing w:line="40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eastAsia="宋体" w:cs="宋体"/>
          <w:b/>
          <w:color w:val="auto"/>
          <w:highlight w:val="none"/>
        </w:rPr>
        <w:t>我们的资格条件完全符合政府采购法和本次招标要求</w:t>
      </w:r>
      <w:r>
        <w:rPr>
          <w:rFonts w:hint="eastAsia" w:ascii="宋体" w:hAnsi="宋体" w:eastAsia="宋体" w:cs="宋体"/>
          <w:color w:val="auto"/>
          <w:highlight w:val="none"/>
        </w:rPr>
        <w:t>，我们同意并向贵方提供了与投标有关的所有证据和资料。</w:t>
      </w:r>
    </w:p>
    <w:p w14:paraId="0EC32BD5">
      <w:pPr>
        <w:spacing w:line="400" w:lineRule="atLeast"/>
        <w:ind w:firstLine="420" w:firstLineChars="200"/>
        <w:contextualSpacing/>
        <w:rPr>
          <w:rFonts w:hint="eastAsia" w:ascii="宋体" w:hAnsi="宋体" w:eastAsia="宋体" w:cs="宋体"/>
          <w:b/>
          <w:bCs/>
          <w:color w:val="auto"/>
          <w:sz w:val="21"/>
          <w:szCs w:val="21"/>
          <w:highlight w:val="none"/>
        </w:rPr>
      </w:pPr>
      <w:r>
        <w:rPr>
          <w:rFonts w:hint="eastAsia" w:ascii="宋体" w:hAnsi="宋体" w:eastAsia="宋体" w:cs="宋体"/>
          <w:color w:val="auto"/>
          <w:highlight w:val="none"/>
        </w:rPr>
        <w:t>2、</w:t>
      </w:r>
      <w:r>
        <w:rPr>
          <w:rFonts w:hint="eastAsia" w:ascii="宋体" w:hAnsi="宋体" w:eastAsia="宋体" w:cs="宋体"/>
          <w:color w:val="auto"/>
          <w:szCs w:val="21"/>
          <w:highlight w:val="none"/>
          <w:lang w:val="zh-CN"/>
        </w:rPr>
        <w:t>按招</w:t>
      </w:r>
      <w:r>
        <w:rPr>
          <w:rFonts w:hint="eastAsia" w:ascii="宋体" w:hAnsi="宋体" w:eastAsia="宋体" w:cs="宋体"/>
          <w:color w:val="auto"/>
          <w:sz w:val="21"/>
          <w:szCs w:val="21"/>
          <w:highlight w:val="none"/>
          <w:lang w:val="zh-CN"/>
        </w:rPr>
        <w:t>标要求，</w:t>
      </w:r>
      <w:r>
        <w:rPr>
          <w:rFonts w:hint="eastAsia" w:ascii="宋体" w:hAnsi="宋体" w:eastAsia="宋体" w:cs="宋体"/>
          <w:b/>
          <w:bCs/>
          <w:color w:val="auto"/>
          <w:sz w:val="21"/>
          <w:szCs w:val="21"/>
          <w:highlight w:val="none"/>
        </w:rPr>
        <w:t>我方承诺愿意按照贵方招标文件中提出的各项要求，</w:t>
      </w:r>
      <w:r>
        <w:rPr>
          <w:rFonts w:hint="eastAsia" w:ascii="宋体" w:hAnsi="宋体" w:eastAsia="宋体" w:cs="宋体"/>
          <w:b/>
          <w:bCs/>
          <w:color w:val="auto"/>
          <w:sz w:val="21"/>
          <w:szCs w:val="21"/>
          <w:highlight w:val="none"/>
          <w:lang w:val="en-US" w:eastAsia="zh-CN"/>
        </w:rPr>
        <w:t>投标报价按照</w:t>
      </w:r>
      <w:r>
        <w:rPr>
          <w:rFonts w:hint="eastAsia" w:ascii="宋体" w:hAnsi="宋体" w:cs="宋体"/>
          <w:color w:val="auto"/>
          <w:highlight w:val="none"/>
          <w:lang w:val="zh-CN"/>
        </w:rPr>
        <w:t>（大写）</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zh-CN"/>
        </w:rPr>
        <w:t>，（小写）</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lang w:val="zh-CN"/>
        </w:rPr>
        <w:t>。</w:t>
      </w:r>
    </w:p>
    <w:p w14:paraId="66E5CEF0">
      <w:pPr>
        <w:spacing w:line="400" w:lineRule="atLeast"/>
        <w:ind w:firstLine="420"/>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3、</w:t>
      </w:r>
      <w:r>
        <w:rPr>
          <w:rFonts w:hint="eastAsia" w:ascii="宋体" w:hAnsi="宋体" w:eastAsia="宋体" w:cs="宋体"/>
          <w:color w:val="auto"/>
          <w:szCs w:val="21"/>
          <w:highlight w:val="none"/>
          <w:lang w:val="en-US" w:eastAsia="zh-CN"/>
        </w:rPr>
        <w:t>合同履行期限</w:t>
      </w:r>
      <w:r>
        <w:rPr>
          <w:rFonts w:hint="eastAsia" w:ascii="宋体" w:hAnsi="宋体" w:eastAsia="宋体" w:cs="宋体"/>
          <w:color w:val="auto"/>
          <w:szCs w:val="21"/>
          <w:highlight w:val="none"/>
          <w:lang w:val="zh-CN"/>
        </w:rPr>
        <w:t>：</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r>
        <w:rPr>
          <w:rFonts w:hint="eastAsia" w:ascii="宋体" w:hAnsi="宋体" w:eastAsia="宋体" w:cs="宋体"/>
          <w:color w:val="auto"/>
          <w:szCs w:val="21"/>
          <w:highlight w:val="none"/>
          <w:u w:val="single"/>
          <w:lang w:val="en-US" w:eastAsia="zh-CN"/>
        </w:rPr>
        <w:t xml:space="preserve">   </w:t>
      </w:r>
    </w:p>
    <w:p w14:paraId="37513BFF">
      <w:pPr>
        <w:spacing w:line="400" w:lineRule="atLeast"/>
        <w:ind w:firstLine="420"/>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4、项目负责人：</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none"/>
          <w:lang w:val="en-US" w:eastAsia="zh-CN"/>
        </w:rPr>
        <w:t>。</w:t>
      </w:r>
    </w:p>
    <w:p w14:paraId="38DDF32D">
      <w:pPr>
        <w:spacing w:line="400" w:lineRule="atLeast"/>
        <w:ind w:firstLine="420"/>
        <w:rPr>
          <w:rFonts w:hint="eastAsia" w:ascii="宋体" w:hAnsi="宋体" w:eastAsia="宋体" w:cs="宋体"/>
          <w:color w:val="auto"/>
          <w:highlight w:val="none"/>
        </w:rPr>
      </w:pPr>
      <w:r>
        <w:rPr>
          <w:rFonts w:hint="eastAsia" w:ascii="宋体" w:hAnsi="宋体" w:eastAsia="宋体" w:cs="宋体"/>
          <w:color w:val="auto"/>
          <w:highlight w:val="none"/>
        </w:rPr>
        <w:t>5、我们已详细审核全部招标文件及其有效补充文件，我们放弃对招标文件任何误解的权利，提交投标文件后，</w:t>
      </w:r>
      <w:r>
        <w:rPr>
          <w:rFonts w:hint="eastAsia" w:ascii="宋体" w:hAnsi="宋体" w:eastAsia="宋体" w:cs="宋体"/>
          <w:b/>
          <w:color w:val="auto"/>
          <w:highlight w:val="none"/>
        </w:rPr>
        <w:t>不对招标文件本身提出质疑</w:t>
      </w:r>
      <w:r>
        <w:rPr>
          <w:rFonts w:hint="eastAsia" w:ascii="宋体" w:hAnsi="宋体" w:eastAsia="宋体" w:cs="宋体"/>
          <w:color w:val="auto"/>
          <w:highlight w:val="none"/>
        </w:rPr>
        <w:t>。否则，属于不诚信和故意扰乱政府采购活动行为，我们将无条件接受处罚。</w:t>
      </w:r>
    </w:p>
    <w:p w14:paraId="2722EA4E">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6、我们同意从规定的开标日期起遵循本投标文件，并在规定的投标有效期期满之前均具有约束力。</w:t>
      </w:r>
    </w:p>
    <w:p w14:paraId="77B4AA92">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7、一旦我方中标，我方将根据招标文件的规定严格履行合同，并保证于承诺的时间完成服务的启动/集成、调试等服务，交付采购人验收、使用。</w:t>
      </w:r>
    </w:p>
    <w:p w14:paraId="1EE79E18">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5632F9E">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9、与本投标有关的正式联系方式为：</w:t>
      </w:r>
    </w:p>
    <w:p w14:paraId="046A73A1">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地址：</w:t>
      </w:r>
    </w:p>
    <w:p w14:paraId="06379F68">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电话：</w:t>
      </w:r>
    </w:p>
    <w:p w14:paraId="7FC3EB46">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传真：</w:t>
      </w:r>
    </w:p>
    <w:p w14:paraId="38D5FF4A">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开户银行：</w:t>
      </w:r>
    </w:p>
    <w:p w14:paraId="0E1235BD">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银行账号：</w:t>
      </w:r>
    </w:p>
    <w:p w14:paraId="6C12A058">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供应商授权代表姓名（签字）：</w:t>
      </w:r>
    </w:p>
    <w:p w14:paraId="779C3927">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供应商名称（盖章）：</w:t>
      </w:r>
    </w:p>
    <w:p w14:paraId="61815DC7">
      <w:pPr>
        <w:spacing w:line="400" w:lineRule="atLeast"/>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日期：年月日</w:t>
      </w:r>
    </w:p>
    <w:p w14:paraId="74A721F7">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3C287594">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t>目录二、法定代表人授权书格式</w:t>
      </w:r>
    </w:p>
    <w:p w14:paraId="316B513A">
      <w:pPr>
        <w:spacing w:line="360" w:lineRule="auto"/>
        <w:ind w:firstLine="720"/>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法定代表人授权委托书</w:t>
      </w:r>
    </w:p>
    <w:p w14:paraId="6A5EA842">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中国药科大学：</w:t>
      </w:r>
    </w:p>
    <w:p w14:paraId="506E3ABA">
      <w:pPr>
        <w:spacing w:line="360" w:lineRule="auto"/>
        <w:ind w:firstLine="420"/>
        <w:jc w:val="left"/>
        <w:rPr>
          <w:rFonts w:hint="eastAsia" w:ascii="宋体" w:hAnsi="宋体" w:eastAsia="宋体" w:cs="宋体"/>
          <w:color w:val="auto"/>
          <w:highlight w:val="none"/>
        </w:rPr>
      </w:pPr>
      <w:r>
        <w:rPr>
          <w:rFonts w:hint="eastAsia" w:ascii="宋体" w:hAnsi="宋体" w:eastAsia="宋体" w:cs="宋体"/>
          <w:color w:val="auto"/>
          <w:highlight w:val="none"/>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14:paraId="604DD925">
      <w:pPr>
        <w:spacing w:line="360" w:lineRule="auto"/>
        <w:ind w:firstLine="408"/>
        <w:jc w:val="left"/>
        <w:rPr>
          <w:rFonts w:hint="eastAsia" w:ascii="宋体" w:hAnsi="宋体" w:eastAsia="宋体" w:cs="宋体"/>
          <w:color w:val="auto"/>
          <w:highlight w:val="none"/>
        </w:rPr>
      </w:pPr>
      <w:r>
        <w:rPr>
          <w:rFonts w:hint="eastAsia" w:ascii="宋体" w:hAnsi="宋体" w:eastAsia="宋体" w:cs="宋体"/>
          <w:color w:val="auto"/>
          <w:highlight w:val="none"/>
        </w:rPr>
        <w:t>本授权书于年月日签字生效，特此声明。</w:t>
      </w:r>
    </w:p>
    <w:p w14:paraId="7104E7FF">
      <w:pPr>
        <w:spacing w:line="360" w:lineRule="auto"/>
        <w:ind w:firstLine="408"/>
        <w:jc w:val="left"/>
        <w:rPr>
          <w:rFonts w:hint="eastAsia" w:ascii="宋体" w:hAnsi="宋体" w:eastAsia="宋体" w:cs="宋体"/>
          <w:color w:val="auto"/>
          <w:highlight w:val="none"/>
        </w:rPr>
      </w:pPr>
    </w:p>
    <w:p w14:paraId="337F71C3">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供应商名称（盖章）：</w:t>
      </w:r>
    </w:p>
    <w:p w14:paraId="1133D156">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法定代表人（签字或盖章）：</w:t>
      </w:r>
    </w:p>
    <w:p w14:paraId="3E735641">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被授权人签字：</w:t>
      </w:r>
    </w:p>
    <w:p w14:paraId="2210145E">
      <w:pPr>
        <w:tabs>
          <w:tab w:val="left" w:pos="1440"/>
        </w:tabs>
        <w:autoSpaceDE w:val="0"/>
        <w:autoSpaceDN w:val="0"/>
        <w:adjustRightInd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日期：年月日</w:t>
      </w:r>
    </w:p>
    <w:p w14:paraId="3EF65AE2">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法定代表人身份证：</w:t>
      </w:r>
    </w:p>
    <w:p w14:paraId="64AAB623">
      <w:pPr>
        <w:autoSpaceDE w:val="0"/>
        <w:autoSpaceDN w:val="0"/>
        <w:adjustRightInd w:val="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被授权人身份证：</w:t>
      </w:r>
    </w:p>
    <w:p w14:paraId="1BC78A72">
      <w:pPr>
        <w:spacing w:line="360" w:lineRule="auto"/>
        <w:jc w:val="left"/>
        <w:rPr>
          <w:rFonts w:hint="eastAsia" w:ascii="宋体" w:hAnsi="宋体" w:eastAsia="宋体" w:cs="宋体"/>
          <w:b/>
          <w:color w:val="auto"/>
          <w:highlight w:val="none"/>
        </w:rPr>
      </w:pPr>
    </w:p>
    <w:p w14:paraId="73B10AA9">
      <w:pPr>
        <w:spacing w:line="360" w:lineRule="auto"/>
        <w:jc w:val="left"/>
        <w:rPr>
          <w:rFonts w:hint="eastAsia" w:ascii="宋体" w:hAnsi="宋体" w:eastAsia="宋体" w:cs="宋体"/>
          <w:b/>
          <w:color w:val="auto"/>
          <w:highlight w:val="none"/>
        </w:rPr>
      </w:pPr>
    </w:p>
    <w:p w14:paraId="46CEE404">
      <w:pPr>
        <w:spacing w:line="360" w:lineRule="auto"/>
        <w:jc w:val="left"/>
        <w:rPr>
          <w:rFonts w:hint="eastAsia" w:ascii="宋体" w:hAnsi="宋体" w:eastAsia="宋体" w:cs="宋体"/>
          <w:b/>
          <w:color w:val="auto"/>
          <w:highlight w:val="none"/>
        </w:rPr>
      </w:pPr>
    </w:p>
    <w:p w14:paraId="259C4398">
      <w:pPr>
        <w:spacing w:line="360" w:lineRule="auto"/>
        <w:jc w:val="left"/>
        <w:rPr>
          <w:rFonts w:hint="eastAsia" w:ascii="宋体" w:hAnsi="宋体" w:eastAsia="宋体" w:cs="宋体"/>
          <w:b/>
          <w:color w:val="auto"/>
          <w:highlight w:val="none"/>
        </w:rPr>
      </w:pPr>
    </w:p>
    <w:p w14:paraId="3B01345C">
      <w:pPr>
        <w:spacing w:line="360" w:lineRule="auto"/>
        <w:jc w:val="left"/>
        <w:rPr>
          <w:rFonts w:hint="eastAsia" w:ascii="宋体" w:hAnsi="宋体" w:eastAsia="宋体" w:cs="宋体"/>
          <w:b/>
          <w:color w:val="auto"/>
          <w:highlight w:val="none"/>
        </w:rPr>
      </w:pPr>
    </w:p>
    <w:p w14:paraId="267EAC4D">
      <w:pPr>
        <w:spacing w:line="360" w:lineRule="auto"/>
        <w:jc w:val="left"/>
        <w:rPr>
          <w:rFonts w:hint="eastAsia" w:ascii="宋体" w:hAnsi="宋体" w:eastAsia="宋体" w:cs="宋体"/>
          <w:b/>
          <w:color w:val="auto"/>
          <w:highlight w:val="none"/>
        </w:rPr>
      </w:pPr>
    </w:p>
    <w:p w14:paraId="5AF1AD37">
      <w:pPr>
        <w:spacing w:line="360" w:lineRule="auto"/>
        <w:jc w:val="left"/>
        <w:rPr>
          <w:rFonts w:hint="eastAsia" w:ascii="宋体" w:hAnsi="宋体" w:eastAsia="宋体" w:cs="宋体"/>
          <w:b/>
          <w:color w:val="auto"/>
          <w:highlight w:val="none"/>
        </w:rPr>
      </w:pPr>
    </w:p>
    <w:p w14:paraId="04E33673">
      <w:pPr>
        <w:spacing w:line="360" w:lineRule="auto"/>
        <w:jc w:val="left"/>
        <w:rPr>
          <w:rFonts w:hint="eastAsia" w:ascii="宋体" w:hAnsi="宋体" w:eastAsia="宋体" w:cs="宋体"/>
          <w:b/>
          <w:color w:val="auto"/>
          <w:highlight w:val="none"/>
        </w:rPr>
      </w:pPr>
    </w:p>
    <w:p w14:paraId="5C162086">
      <w:pPr>
        <w:spacing w:line="360" w:lineRule="auto"/>
        <w:jc w:val="left"/>
        <w:rPr>
          <w:rFonts w:hint="eastAsia" w:ascii="宋体" w:hAnsi="宋体" w:eastAsia="宋体" w:cs="宋体"/>
          <w:b/>
          <w:color w:val="auto"/>
          <w:highlight w:val="none"/>
        </w:rPr>
      </w:pPr>
    </w:p>
    <w:p w14:paraId="19347166">
      <w:pPr>
        <w:spacing w:line="360" w:lineRule="auto"/>
        <w:jc w:val="left"/>
        <w:rPr>
          <w:rFonts w:hint="eastAsia" w:ascii="宋体" w:hAnsi="宋体" w:eastAsia="宋体" w:cs="宋体"/>
          <w:b/>
          <w:color w:val="auto"/>
          <w:highlight w:val="none"/>
        </w:rPr>
      </w:pPr>
    </w:p>
    <w:p w14:paraId="12DD3ED6">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30D7F65B">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t>目录三、开标一览表格式</w:t>
      </w:r>
    </w:p>
    <w:p w14:paraId="529354AD">
      <w:pPr>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开标一览表</w:t>
      </w:r>
    </w:p>
    <w:p w14:paraId="1952BB4C">
      <w:pPr>
        <w:pStyle w:val="7"/>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1CDC497F">
      <w:pPr>
        <w:pStyle w:val="7"/>
        <w:keepNext w:val="0"/>
        <w:keepLines w:val="0"/>
        <w:pageBreakBefore w:val="0"/>
        <w:widowControl w:val="0"/>
        <w:kinsoku/>
        <w:wordWrap w:val="0"/>
        <w:overflowPunct/>
        <w:topLinePunct w:val="0"/>
        <w:autoSpaceDE/>
        <w:autoSpaceDN/>
        <w:bidi w:val="0"/>
        <w:adjustRightInd/>
        <w:snapToGrid/>
        <w:textAlignment w:val="auto"/>
        <w:rPr>
          <w:rFonts w:hint="eastAsia" w:ascii="宋体" w:hAnsi="宋体" w:eastAsia="宋体" w:cs="宋体"/>
          <w:color w:val="auto"/>
          <w:highlight w:val="none"/>
        </w:rPr>
      </w:pPr>
      <w:r>
        <w:rPr>
          <w:rFonts w:hint="eastAsia" w:ascii="宋体" w:hAnsi="宋体" w:eastAsia="宋体" w:cs="宋体"/>
          <w:color w:val="auto"/>
          <w:highlight w:val="none"/>
        </w:rPr>
        <w:t>项目编号：</w:t>
      </w:r>
    </w:p>
    <w:tbl>
      <w:tblPr>
        <w:tblStyle w:val="25"/>
        <w:tblW w:w="5000" w:type="pct"/>
        <w:jc w:val="center"/>
        <w:tblLayout w:type="fixed"/>
        <w:tblCellMar>
          <w:top w:w="0" w:type="dxa"/>
          <w:left w:w="108" w:type="dxa"/>
          <w:bottom w:w="0" w:type="dxa"/>
          <w:right w:w="108" w:type="dxa"/>
        </w:tblCellMar>
      </w:tblPr>
      <w:tblGrid>
        <w:gridCol w:w="2833"/>
        <w:gridCol w:w="7021"/>
      </w:tblGrid>
      <w:tr w14:paraId="7F7E0E04">
        <w:tblPrEx>
          <w:tblCellMar>
            <w:top w:w="0" w:type="dxa"/>
            <w:left w:w="108" w:type="dxa"/>
            <w:bottom w:w="0" w:type="dxa"/>
            <w:right w:w="108" w:type="dxa"/>
          </w:tblCellMar>
        </w:tblPrEx>
        <w:trPr>
          <w:trHeight w:val="1425" w:hRule="atLeast"/>
          <w:jc w:val="center"/>
        </w:trPr>
        <w:tc>
          <w:tcPr>
            <w:tcW w:w="2405" w:type="dxa"/>
            <w:tcBorders>
              <w:top w:val="single" w:color="000000" w:sz="4" w:space="0"/>
              <w:left w:val="single" w:color="auto" w:sz="4" w:space="0"/>
              <w:bottom w:val="single" w:color="auto" w:sz="4" w:space="0"/>
              <w:right w:val="single" w:color="auto" w:sz="4" w:space="0"/>
            </w:tcBorders>
            <w:vAlign w:val="center"/>
          </w:tcPr>
          <w:p w14:paraId="578836D0">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投标报价</w:t>
            </w:r>
          </w:p>
        </w:tc>
        <w:tc>
          <w:tcPr>
            <w:tcW w:w="5959" w:type="dxa"/>
            <w:tcBorders>
              <w:top w:val="single" w:color="auto" w:sz="4" w:space="0"/>
              <w:left w:val="nil"/>
              <w:bottom w:val="single" w:color="auto" w:sz="4" w:space="0"/>
              <w:right w:val="single" w:color="auto" w:sz="4" w:space="0"/>
            </w:tcBorders>
            <w:vAlign w:val="center"/>
          </w:tcPr>
          <w:p w14:paraId="65D5D56A">
            <w:pPr>
              <w:spacing w:line="360" w:lineRule="auto"/>
              <w:rPr>
                <w:rFonts w:hint="eastAsia" w:ascii="宋体" w:hAnsi="宋体" w:eastAsia="宋体" w:cs="宋体"/>
                <w:color w:val="auto"/>
                <w:kern w:val="10"/>
                <w:sz w:val="24"/>
                <w:szCs w:val="24"/>
                <w:highlight w:val="none"/>
                <w:lang w:val="en-US" w:eastAsia="zh-CN"/>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（大写）元人民币，小写：</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元</w:t>
            </w:r>
          </w:p>
        </w:tc>
      </w:tr>
      <w:tr w14:paraId="5573EEB7">
        <w:tblPrEx>
          <w:tblCellMar>
            <w:top w:w="0" w:type="dxa"/>
            <w:left w:w="108" w:type="dxa"/>
            <w:bottom w:w="0" w:type="dxa"/>
            <w:right w:w="108" w:type="dxa"/>
          </w:tblCellMar>
        </w:tblPrEx>
        <w:trPr>
          <w:trHeight w:val="527" w:hRule="atLeast"/>
          <w:jc w:val="center"/>
        </w:trPr>
        <w:tc>
          <w:tcPr>
            <w:tcW w:w="2405" w:type="dxa"/>
            <w:tcBorders>
              <w:top w:val="single" w:color="auto" w:sz="4" w:space="0"/>
              <w:left w:val="single" w:color="auto" w:sz="4" w:space="0"/>
              <w:right w:val="single" w:color="auto" w:sz="4" w:space="0"/>
            </w:tcBorders>
            <w:vAlign w:val="center"/>
          </w:tcPr>
          <w:p w14:paraId="200DEF14">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项目负责人</w:t>
            </w:r>
          </w:p>
        </w:tc>
        <w:tc>
          <w:tcPr>
            <w:tcW w:w="5959" w:type="dxa"/>
            <w:tcBorders>
              <w:top w:val="single" w:color="auto" w:sz="4" w:space="0"/>
              <w:left w:val="nil"/>
              <w:bottom w:val="single" w:color="auto" w:sz="4" w:space="0"/>
              <w:right w:val="single" w:color="auto" w:sz="4" w:space="0"/>
            </w:tcBorders>
            <w:vAlign w:val="center"/>
          </w:tcPr>
          <w:p w14:paraId="6EFC4E8D">
            <w:pPr>
              <w:spacing w:line="600" w:lineRule="auto"/>
              <w:rPr>
                <w:rFonts w:hint="eastAsia" w:ascii="宋体" w:hAnsi="宋体" w:eastAsia="宋体" w:cs="宋体"/>
                <w:color w:val="auto"/>
                <w:sz w:val="24"/>
                <w:szCs w:val="24"/>
                <w:highlight w:val="none"/>
              </w:rPr>
            </w:pPr>
          </w:p>
        </w:tc>
      </w:tr>
      <w:tr w14:paraId="2F79EFFA">
        <w:tblPrEx>
          <w:tblCellMar>
            <w:top w:w="0" w:type="dxa"/>
            <w:left w:w="108" w:type="dxa"/>
            <w:bottom w:w="0" w:type="dxa"/>
            <w:right w:w="108" w:type="dxa"/>
          </w:tblCellMar>
        </w:tblPrEx>
        <w:trPr>
          <w:trHeight w:val="1099"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4CDBF4CD">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合同履行期</w:t>
            </w:r>
            <w:r>
              <w:rPr>
                <w:rFonts w:hint="eastAsia" w:ascii="宋体" w:hAnsi="宋体" w:eastAsia="宋体" w:cs="宋体"/>
                <w:b/>
                <w:color w:val="auto"/>
                <w:sz w:val="24"/>
                <w:szCs w:val="24"/>
                <w:highlight w:val="none"/>
                <w:lang w:val="en-US" w:eastAsia="zh-CN"/>
              </w:rPr>
              <w:t>限</w:t>
            </w:r>
          </w:p>
        </w:tc>
        <w:tc>
          <w:tcPr>
            <w:tcW w:w="5959" w:type="dxa"/>
            <w:tcBorders>
              <w:top w:val="single" w:color="auto" w:sz="4" w:space="0"/>
              <w:left w:val="nil"/>
              <w:bottom w:val="single" w:color="auto" w:sz="4" w:space="0"/>
              <w:right w:val="single" w:color="auto" w:sz="4" w:space="0"/>
            </w:tcBorders>
            <w:vAlign w:val="center"/>
          </w:tcPr>
          <w:p w14:paraId="770B84C0">
            <w:pPr>
              <w:pStyle w:val="12"/>
              <w:spacing w:line="480" w:lineRule="auto"/>
              <w:rPr>
                <w:rFonts w:hint="eastAsia" w:ascii="宋体" w:hAnsi="宋体" w:eastAsia="宋体" w:cs="宋体"/>
                <w:color w:val="auto"/>
                <w:sz w:val="24"/>
                <w:szCs w:val="24"/>
                <w:highlight w:val="none"/>
              </w:rPr>
            </w:pPr>
          </w:p>
        </w:tc>
      </w:tr>
      <w:tr w14:paraId="7EE921AC">
        <w:tblPrEx>
          <w:tblCellMar>
            <w:top w:w="0" w:type="dxa"/>
            <w:left w:w="108" w:type="dxa"/>
            <w:bottom w:w="0" w:type="dxa"/>
            <w:right w:w="108" w:type="dxa"/>
          </w:tblCellMar>
        </w:tblPrEx>
        <w:trPr>
          <w:trHeight w:val="117"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0DF3B3C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质量要求</w:t>
            </w:r>
          </w:p>
        </w:tc>
        <w:tc>
          <w:tcPr>
            <w:tcW w:w="5959" w:type="dxa"/>
            <w:tcBorders>
              <w:top w:val="single" w:color="auto" w:sz="4" w:space="0"/>
              <w:left w:val="nil"/>
              <w:bottom w:val="single" w:color="auto" w:sz="4" w:space="0"/>
              <w:right w:val="single" w:color="auto" w:sz="4" w:space="0"/>
            </w:tcBorders>
            <w:vAlign w:val="center"/>
          </w:tcPr>
          <w:p w14:paraId="3C4D545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满足招标文件要求。</w:t>
            </w:r>
          </w:p>
        </w:tc>
      </w:tr>
      <w:tr w14:paraId="7ACCD1F0">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15F267C6">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w:t>
            </w:r>
            <w:r>
              <w:rPr>
                <w:rFonts w:hint="eastAsia" w:ascii="宋体" w:hAnsi="宋体" w:eastAsia="宋体" w:cs="宋体"/>
                <w:b/>
                <w:color w:val="auto"/>
                <w:sz w:val="24"/>
                <w:szCs w:val="24"/>
                <w:highlight w:val="none"/>
                <w:lang w:val="en-US" w:eastAsia="zh-CN"/>
              </w:rPr>
              <w:t>属于</w:t>
            </w:r>
            <w:r>
              <w:rPr>
                <w:rFonts w:hint="eastAsia" w:ascii="宋体" w:hAnsi="宋体" w:eastAsia="宋体" w:cs="宋体"/>
                <w:b/>
                <w:color w:val="auto"/>
                <w:sz w:val="24"/>
                <w:szCs w:val="24"/>
                <w:highlight w:val="none"/>
              </w:rPr>
              <w:t>小微企业</w:t>
            </w:r>
          </w:p>
        </w:tc>
        <w:tc>
          <w:tcPr>
            <w:tcW w:w="5959" w:type="dxa"/>
            <w:tcBorders>
              <w:top w:val="single" w:color="auto" w:sz="4" w:space="0"/>
              <w:left w:val="nil"/>
              <w:bottom w:val="single" w:color="auto" w:sz="4" w:space="0"/>
              <w:right w:val="single" w:color="auto" w:sz="4" w:space="0"/>
            </w:tcBorders>
            <w:vAlign w:val="center"/>
          </w:tcPr>
          <w:p w14:paraId="0917DF7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填写“是”或“否”</w:t>
            </w:r>
            <w:r>
              <w:rPr>
                <w:rFonts w:hint="eastAsia" w:ascii="宋体" w:hAnsi="宋体" w:eastAsia="宋体" w:cs="宋体"/>
                <w:color w:val="auto"/>
                <w:sz w:val="24"/>
                <w:szCs w:val="24"/>
                <w:highlight w:val="none"/>
              </w:rPr>
              <w:t>）</w:t>
            </w:r>
          </w:p>
        </w:tc>
      </w:tr>
      <w:tr w14:paraId="25F0C897">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505D227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w:t>
            </w:r>
            <w:r>
              <w:rPr>
                <w:rFonts w:hint="eastAsia" w:ascii="宋体" w:hAnsi="宋体" w:eastAsia="宋体" w:cs="宋体"/>
                <w:b/>
                <w:color w:val="auto"/>
                <w:sz w:val="24"/>
                <w:szCs w:val="24"/>
                <w:highlight w:val="none"/>
                <w:lang w:val="en-US" w:eastAsia="zh-CN"/>
              </w:rPr>
              <w:t>属于</w:t>
            </w:r>
            <w:r>
              <w:rPr>
                <w:rFonts w:hint="eastAsia" w:ascii="宋体" w:hAnsi="宋体" w:eastAsia="宋体" w:cs="宋体"/>
                <w:b/>
                <w:color w:val="auto"/>
                <w:sz w:val="24"/>
                <w:szCs w:val="24"/>
                <w:highlight w:val="none"/>
              </w:rPr>
              <w:t>残疾人福利性单位</w:t>
            </w:r>
          </w:p>
        </w:tc>
        <w:tc>
          <w:tcPr>
            <w:tcW w:w="5959" w:type="dxa"/>
            <w:tcBorders>
              <w:top w:val="single" w:color="auto" w:sz="4" w:space="0"/>
              <w:left w:val="nil"/>
              <w:bottom w:val="single" w:color="auto" w:sz="4" w:space="0"/>
              <w:right w:val="single" w:color="auto" w:sz="4" w:space="0"/>
            </w:tcBorders>
            <w:vAlign w:val="center"/>
          </w:tcPr>
          <w:p w14:paraId="5BD86D5C">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填写“是”或“否”</w:t>
            </w:r>
            <w:r>
              <w:rPr>
                <w:rFonts w:hint="eastAsia" w:ascii="宋体" w:hAnsi="宋体" w:eastAsia="宋体" w:cs="宋体"/>
                <w:color w:val="auto"/>
                <w:sz w:val="24"/>
                <w:szCs w:val="24"/>
                <w:highlight w:val="none"/>
              </w:rPr>
              <w:t>）</w:t>
            </w:r>
          </w:p>
        </w:tc>
      </w:tr>
      <w:tr w14:paraId="1FCA242E">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1D12211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w:t>
            </w:r>
            <w:r>
              <w:rPr>
                <w:rFonts w:hint="eastAsia" w:ascii="宋体" w:hAnsi="宋体" w:eastAsia="宋体" w:cs="宋体"/>
                <w:b/>
                <w:color w:val="auto"/>
                <w:sz w:val="24"/>
                <w:szCs w:val="24"/>
                <w:highlight w:val="none"/>
                <w:lang w:val="en-US" w:eastAsia="zh-CN"/>
              </w:rPr>
              <w:t>属于</w:t>
            </w:r>
            <w:r>
              <w:rPr>
                <w:rFonts w:hint="eastAsia" w:ascii="宋体" w:hAnsi="宋体" w:eastAsia="宋体" w:cs="宋体"/>
                <w:b/>
                <w:color w:val="auto"/>
                <w:sz w:val="24"/>
                <w:szCs w:val="24"/>
                <w:highlight w:val="none"/>
              </w:rPr>
              <w:t>监狱企业</w:t>
            </w:r>
          </w:p>
        </w:tc>
        <w:tc>
          <w:tcPr>
            <w:tcW w:w="5959" w:type="dxa"/>
            <w:tcBorders>
              <w:top w:val="single" w:color="auto" w:sz="4" w:space="0"/>
              <w:left w:val="nil"/>
              <w:bottom w:val="single" w:color="auto" w:sz="4" w:space="0"/>
              <w:right w:val="single" w:color="auto" w:sz="4" w:space="0"/>
            </w:tcBorders>
            <w:vAlign w:val="center"/>
          </w:tcPr>
          <w:p w14:paraId="57995068">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zh-CN"/>
              </w:rPr>
              <w:t>填写“是”或“否”</w:t>
            </w:r>
            <w:r>
              <w:rPr>
                <w:rFonts w:hint="eastAsia" w:ascii="宋体" w:hAnsi="宋体" w:eastAsia="宋体" w:cs="宋体"/>
                <w:color w:val="auto"/>
                <w:sz w:val="24"/>
                <w:szCs w:val="24"/>
                <w:highlight w:val="none"/>
              </w:rPr>
              <w:t>）</w:t>
            </w:r>
          </w:p>
        </w:tc>
      </w:tr>
      <w:tr w14:paraId="6C84D0B2">
        <w:tblPrEx>
          <w:tblCellMar>
            <w:top w:w="0" w:type="dxa"/>
            <w:left w:w="108" w:type="dxa"/>
            <w:bottom w:w="0" w:type="dxa"/>
            <w:right w:w="108" w:type="dxa"/>
          </w:tblCellMar>
        </w:tblPrEx>
        <w:trPr>
          <w:trHeight w:val="40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7AFEDDD7">
            <w:pPr>
              <w:jc w:val="center"/>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投标保证金</w:t>
            </w:r>
          </w:p>
        </w:tc>
        <w:tc>
          <w:tcPr>
            <w:tcW w:w="5959" w:type="dxa"/>
            <w:tcBorders>
              <w:top w:val="single" w:color="auto" w:sz="4" w:space="0"/>
              <w:left w:val="nil"/>
              <w:bottom w:val="single" w:color="auto" w:sz="4" w:space="0"/>
              <w:right w:val="single" w:color="auto" w:sz="4" w:space="0"/>
            </w:tcBorders>
            <w:vAlign w:val="center"/>
          </w:tcPr>
          <w:p w14:paraId="6DFCEA5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是否缴纳：</w:t>
            </w:r>
          </w:p>
        </w:tc>
      </w:tr>
      <w:tr w14:paraId="509F6C53">
        <w:tblPrEx>
          <w:tblCellMar>
            <w:top w:w="0" w:type="dxa"/>
            <w:left w:w="108" w:type="dxa"/>
            <w:bottom w:w="0" w:type="dxa"/>
            <w:right w:w="108" w:type="dxa"/>
          </w:tblCellMar>
        </w:tblPrEx>
        <w:trPr>
          <w:trHeight w:val="576" w:hRule="atLeast"/>
          <w:jc w:val="center"/>
        </w:trPr>
        <w:tc>
          <w:tcPr>
            <w:tcW w:w="2405" w:type="dxa"/>
            <w:tcBorders>
              <w:top w:val="single" w:color="auto" w:sz="4" w:space="0"/>
              <w:left w:val="single" w:color="auto" w:sz="4" w:space="0"/>
              <w:bottom w:val="single" w:color="auto" w:sz="4" w:space="0"/>
              <w:right w:val="single" w:color="auto" w:sz="4" w:space="0"/>
            </w:tcBorders>
            <w:vAlign w:val="center"/>
          </w:tcPr>
          <w:p w14:paraId="324BE791">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备注</w:t>
            </w:r>
          </w:p>
        </w:tc>
        <w:tc>
          <w:tcPr>
            <w:tcW w:w="5959" w:type="dxa"/>
            <w:tcBorders>
              <w:top w:val="single" w:color="auto" w:sz="4" w:space="0"/>
              <w:left w:val="nil"/>
              <w:bottom w:val="single" w:color="auto" w:sz="4" w:space="0"/>
              <w:right w:val="single" w:color="auto" w:sz="4" w:space="0"/>
            </w:tcBorders>
            <w:vAlign w:val="center"/>
          </w:tcPr>
          <w:p w14:paraId="74523B73">
            <w:pPr>
              <w:pStyle w:val="81"/>
              <w:spacing w:line="600" w:lineRule="auto"/>
              <w:ind w:firstLine="0" w:firstLineChars="0"/>
              <w:rPr>
                <w:rFonts w:hint="eastAsia" w:ascii="宋体" w:hAnsi="宋体" w:eastAsia="宋体" w:cs="宋体"/>
                <w:color w:val="auto"/>
                <w:kern w:val="2"/>
                <w:sz w:val="24"/>
                <w:highlight w:val="none"/>
              </w:rPr>
            </w:pPr>
          </w:p>
        </w:tc>
      </w:tr>
    </w:tbl>
    <w:p w14:paraId="345AD709">
      <w:pPr>
        <w:pStyle w:val="7"/>
        <w:rPr>
          <w:rFonts w:hint="eastAsia" w:ascii="宋体" w:hAnsi="宋体" w:eastAsia="宋体" w:cs="宋体"/>
          <w:color w:val="auto"/>
          <w:highlight w:val="none"/>
        </w:rPr>
      </w:pPr>
    </w:p>
    <w:p w14:paraId="4BD4CD4E">
      <w:pPr>
        <w:pStyle w:val="7"/>
        <w:rPr>
          <w:rFonts w:hint="eastAsia" w:ascii="宋体" w:hAnsi="宋体" w:eastAsia="宋体" w:cs="宋体"/>
          <w:color w:val="auto"/>
          <w:highlight w:val="none"/>
        </w:rPr>
      </w:pPr>
    </w:p>
    <w:p w14:paraId="3778A6E9">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供应商名称:（盖章）</w:t>
      </w:r>
    </w:p>
    <w:p w14:paraId="0D095E8F">
      <w:pP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 </w:t>
      </w:r>
    </w:p>
    <w:p w14:paraId="55C54C6D">
      <w:pPr>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1、本项目仅接受一个价格，不得填报有选择性报价方案。若有优惠条款须注明，但不得影响报价，影响产品整体功能。</w:t>
      </w:r>
    </w:p>
    <w:p w14:paraId="1B9309C2">
      <w:pPr>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2、</w:t>
      </w:r>
      <w:r>
        <w:rPr>
          <w:rFonts w:hint="eastAsia" w:ascii="宋体" w:hAnsi="宋体" w:eastAsia="宋体" w:cs="宋体"/>
          <w:b/>
          <w:color w:val="auto"/>
          <w:szCs w:val="21"/>
          <w:highlight w:val="none"/>
          <w:lang w:val="zh-CN"/>
        </w:rPr>
        <w:t>在“</w:t>
      </w:r>
      <w:r>
        <w:rPr>
          <w:rFonts w:hint="eastAsia" w:ascii="宋体" w:hAnsi="宋体" w:eastAsia="宋体" w:cs="宋体"/>
          <w:b/>
          <w:color w:val="auto"/>
          <w:szCs w:val="21"/>
          <w:highlight w:val="none"/>
        </w:rPr>
        <w:t>是否属于小微型企业</w:t>
      </w:r>
      <w:r>
        <w:rPr>
          <w:rFonts w:hint="eastAsia" w:ascii="宋体" w:hAnsi="宋体" w:eastAsia="宋体" w:cs="宋体"/>
          <w:b/>
          <w:color w:val="auto"/>
          <w:szCs w:val="21"/>
          <w:highlight w:val="none"/>
          <w:lang w:val="zh-CN"/>
        </w:rPr>
        <w:t>”“</w:t>
      </w:r>
      <w:r>
        <w:rPr>
          <w:rFonts w:hint="eastAsia" w:ascii="宋体" w:hAnsi="宋体" w:eastAsia="宋体" w:cs="宋体"/>
          <w:b/>
          <w:color w:val="auto"/>
          <w:szCs w:val="21"/>
          <w:highlight w:val="none"/>
        </w:rPr>
        <w:t>是否属于残疾人福利单位</w:t>
      </w:r>
      <w:r>
        <w:rPr>
          <w:rFonts w:hint="eastAsia" w:ascii="宋体" w:hAnsi="宋体" w:eastAsia="宋体" w:cs="宋体"/>
          <w:b/>
          <w:color w:val="auto"/>
          <w:szCs w:val="21"/>
          <w:highlight w:val="none"/>
          <w:lang w:val="zh-CN"/>
        </w:rPr>
        <w:t>”“</w:t>
      </w:r>
      <w:r>
        <w:rPr>
          <w:rFonts w:hint="eastAsia" w:ascii="宋体" w:hAnsi="宋体" w:eastAsia="宋体" w:cs="宋体"/>
          <w:b/>
          <w:color w:val="auto"/>
          <w:szCs w:val="21"/>
          <w:highlight w:val="none"/>
        </w:rPr>
        <w:t>是否监狱企业</w:t>
      </w:r>
      <w:r>
        <w:rPr>
          <w:rFonts w:hint="eastAsia" w:ascii="宋体" w:hAnsi="宋体" w:eastAsia="宋体" w:cs="宋体"/>
          <w:b/>
          <w:color w:val="auto"/>
          <w:szCs w:val="21"/>
          <w:highlight w:val="none"/>
          <w:lang w:val="zh-CN"/>
        </w:rPr>
        <w:t>”栏内</w:t>
      </w:r>
      <w:r>
        <w:rPr>
          <w:rFonts w:hint="eastAsia" w:ascii="宋体" w:hAnsi="宋体" w:eastAsia="宋体" w:cs="宋体"/>
          <w:b/>
          <w:color w:val="auto"/>
          <w:szCs w:val="21"/>
          <w:highlight w:val="none"/>
        </w:rPr>
        <w:t>栏内填写“是”或“否”。如填写“是”，供应商需提供《中小企业声明函》、《残疾人福利性单位声明函》、《属于监狱企业的证明文件》。</w:t>
      </w:r>
    </w:p>
    <w:p w14:paraId="6101BCBA">
      <w:pPr>
        <w:widowControl/>
        <w:adjustRightInd w:val="0"/>
        <w:spacing w:line="360" w:lineRule="auto"/>
        <w:jc w:val="left"/>
        <w:rPr>
          <w:rFonts w:hint="eastAsia" w:ascii="宋体" w:hAnsi="宋体" w:eastAsia="宋体" w:cs="宋体"/>
          <w:b/>
          <w:color w:val="auto"/>
          <w:kern w:val="0"/>
          <w:szCs w:val="21"/>
          <w:highlight w:val="none"/>
          <w:lang w:val="en-US" w:eastAsia="zh-CN"/>
        </w:rPr>
      </w:pPr>
    </w:p>
    <w:p w14:paraId="32B36C7F">
      <w:pPr>
        <w:widowControl/>
        <w:adjustRightInd w:val="0"/>
        <w:spacing w:line="360" w:lineRule="auto"/>
        <w:jc w:val="left"/>
        <w:rPr>
          <w:rFonts w:hint="eastAsia" w:ascii="宋体" w:hAnsi="宋体" w:eastAsia="宋体" w:cs="宋体"/>
          <w:b/>
          <w:color w:val="auto"/>
          <w:kern w:val="0"/>
          <w:szCs w:val="21"/>
          <w:highlight w:val="none"/>
          <w:lang w:val="zh-CN"/>
        </w:rPr>
      </w:pPr>
      <w:r>
        <w:rPr>
          <w:rFonts w:hint="eastAsia" w:ascii="宋体" w:hAnsi="宋体" w:eastAsia="宋体" w:cs="宋体"/>
          <w:b/>
          <w:color w:val="auto"/>
          <w:kern w:val="0"/>
          <w:szCs w:val="21"/>
          <w:highlight w:val="none"/>
          <w:lang w:val="en-US" w:eastAsia="zh-CN"/>
        </w:rPr>
        <w:t>目录四</w:t>
      </w:r>
      <w:r>
        <w:rPr>
          <w:rFonts w:hint="eastAsia" w:ascii="宋体" w:hAnsi="宋体" w:eastAsia="宋体" w:cs="宋体"/>
          <w:b/>
          <w:color w:val="auto"/>
          <w:kern w:val="0"/>
          <w:szCs w:val="21"/>
          <w:highlight w:val="none"/>
          <w:lang w:val="zh-CN"/>
        </w:rPr>
        <w:t>、分项报价表格式</w:t>
      </w:r>
    </w:p>
    <w:p w14:paraId="7217FA5C">
      <w:pPr>
        <w:widowControl/>
        <w:adjustRightInd w:val="0"/>
        <w:spacing w:line="360" w:lineRule="auto"/>
        <w:jc w:val="left"/>
        <w:rPr>
          <w:rFonts w:hint="eastAsia" w:ascii="宋体" w:hAnsi="宋体" w:eastAsia="宋体" w:cs="宋体"/>
          <w:b/>
          <w:color w:val="auto"/>
          <w:kern w:val="0"/>
          <w:szCs w:val="21"/>
          <w:highlight w:val="none"/>
          <w:lang w:val="zh-CN"/>
        </w:rPr>
      </w:pPr>
    </w:p>
    <w:p w14:paraId="3FFEE292">
      <w:pPr>
        <w:widowControl/>
        <w:adjustRightInd w:val="0"/>
        <w:spacing w:line="360" w:lineRule="auto"/>
        <w:jc w:val="center"/>
        <w:rPr>
          <w:rFonts w:hint="eastAsia" w:ascii="宋体" w:hAnsi="宋体" w:eastAsia="宋体" w:cs="宋体"/>
          <w:b/>
          <w:bCs/>
          <w:color w:val="auto"/>
          <w:kern w:val="0"/>
          <w:sz w:val="32"/>
          <w:szCs w:val="32"/>
          <w:highlight w:val="none"/>
          <w:lang w:val="zh-CN"/>
        </w:rPr>
      </w:pPr>
      <w:r>
        <w:rPr>
          <w:rFonts w:hint="eastAsia" w:ascii="宋体" w:hAnsi="宋体" w:eastAsia="宋体" w:cs="宋体"/>
          <w:b/>
          <w:bCs/>
          <w:color w:val="auto"/>
          <w:kern w:val="0"/>
          <w:sz w:val="32"/>
          <w:szCs w:val="32"/>
          <w:highlight w:val="none"/>
          <w:lang w:val="zh-CN"/>
        </w:rPr>
        <w:t>分项报价表</w:t>
      </w:r>
    </w:p>
    <w:p w14:paraId="733DE25B">
      <w:pPr>
        <w:outlineLvl w:val="9"/>
        <w:rPr>
          <w:rFonts w:hint="eastAsia" w:ascii="宋体" w:hAnsi="宋体" w:eastAsia="宋体" w:cs="宋体"/>
          <w:color w:val="auto"/>
          <w:highlight w:val="none"/>
          <w:lang w:val="en-US" w:eastAsia="zh-CN"/>
        </w:rPr>
      </w:pPr>
      <w:r>
        <w:rPr>
          <w:rFonts w:hint="eastAsia" w:ascii="宋体" w:hAnsi="宋体" w:eastAsia="宋体" w:cs="宋体"/>
          <w:b/>
          <w:bCs/>
          <w:color w:val="auto"/>
          <w:kern w:val="0"/>
          <w:sz w:val="32"/>
          <w:szCs w:val="32"/>
          <w:highlight w:val="none"/>
          <w:lang w:val="en-US" w:eastAsia="zh-CN"/>
        </w:rPr>
        <w:t>格式自拟</w:t>
      </w:r>
    </w:p>
    <w:p w14:paraId="3C5FE146">
      <w:pPr>
        <w:spacing w:line="360" w:lineRule="auto"/>
        <w:ind w:left="420" w:leftChars="200"/>
        <w:jc w:val="left"/>
        <w:rPr>
          <w:rFonts w:hint="eastAsia" w:ascii="宋体" w:hAnsi="宋体" w:eastAsia="宋体" w:cs="宋体"/>
          <w:color w:val="auto"/>
          <w:sz w:val="24"/>
          <w:szCs w:val="24"/>
          <w:highlight w:val="none"/>
        </w:rPr>
      </w:pPr>
    </w:p>
    <w:p w14:paraId="448292E1">
      <w:pPr>
        <w:pStyle w:val="44"/>
        <w:shd w:val="clear" w:color="auto" w:fill="FFFFFF"/>
        <w:spacing w:before="0" w:beforeAutospacing="0" w:after="0" w:afterAutospacing="0" w:line="340" w:lineRule="exact"/>
        <w:ind w:firstLine="420" w:firstLineChars="200"/>
        <w:rPr>
          <w:rFonts w:hint="eastAsia" w:ascii="宋体" w:hAnsi="宋体" w:eastAsia="宋体" w:cs="宋体"/>
          <w:color w:val="auto"/>
          <w:sz w:val="21"/>
          <w:szCs w:val="21"/>
          <w:highlight w:val="none"/>
        </w:rPr>
      </w:pPr>
    </w:p>
    <w:p w14:paraId="77AED857">
      <w:pPr>
        <w:spacing w:before="50" w:after="50"/>
        <w:ind w:firstLine="275"/>
        <w:rPr>
          <w:rFonts w:hint="eastAsia" w:ascii="宋体" w:hAnsi="宋体" w:eastAsia="宋体" w:cs="宋体"/>
          <w:b/>
          <w:color w:val="auto"/>
          <w:sz w:val="28"/>
          <w:highlight w:val="none"/>
        </w:rPr>
      </w:pPr>
    </w:p>
    <w:p w14:paraId="2299EF18">
      <w:pPr>
        <w:spacing w:before="50" w:after="50"/>
        <w:ind w:firstLine="275"/>
        <w:rPr>
          <w:rFonts w:hint="eastAsia" w:ascii="宋体" w:hAnsi="宋体" w:eastAsia="宋体" w:cs="宋体"/>
          <w:b/>
          <w:color w:val="auto"/>
          <w:sz w:val="28"/>
          <w:highlight w:val="none"/>
        </w:rPr>
      </w:pPr>
    </w:p>
    <w:p w14:paraId="14D12AF3">
      <w:pPr>
        <w:rPr>
          <w:rFonts w:hint="eastAsia" w:ascii="宋体" w:hAnsi="宋体" w:eastAsia="宋体" w:cs="宋体"/>
          <w:b/>
          <w:color w:val="auto"/>
          <w:highlight w:val="none"/>
        </w:rPr>
        <w:sectPr>
          <w:pgSz w:w="11906" w:h="16838"/>
          <w:pgMar w:top="1440" w:right="1134" w:bottom="1440" w:left="1134" w:header="851" w:footer="992" w:gutter="0"/>
          <w:pgNumType w:fmt="decimal"/>
          <w:cols w:space="425" w:num="1"/>
          <w:docGrid w:type="lines" w:linePitch="312" w:charSpace="0"/>
        </w:sectPr>
      </w:pPr>
    </w:p>
    <w:p w14:paraId="73A1DAFA">
      <w:pPr>
        <w:rPr>
          <w:rFonts w:hint="eastAsia" w:ascii="宋体" w:hAnsi="宋体" w:eastAsia="宋体" w:cs="宋体"/>
          <w:b/>
          <w:color w:val="auto"/>
          <w:highlight w:val="none"/>
        </w:rPr>
      </w:pPr>
      <w:r>
        <w:rPr>
          <w:rFonts w:hint="eastAsia" w:ascii="宋体" w:hAnsi="宋体" w:eastAsia="宋体" w:cs="宋体"/>
          <w:b/>
          <w:color w:val="auto"/>
          <w:highlight w:val="none"/>
        </w:rPr>
        <w:t>目录</w:t>
      </w:r>
      <w:r>
        <w:rPr>
          <w:rFonts w:hint="eastAsia" w:ascii="宋体" w:hAnsi="宋体" w:eastAsia="宋体" w:cs="宋体"/>
          <w:b/>
          <w:color w:val="auto"/>
          <w:highlight w:val="none"/>
          <w:lang w:val="en-US" w:eastAsia="zh-CN"/>
        </w:rPr>
        <w:t>五</w:t>
      </w:r>
      <w:r>
        <w:rPr>
          <w:rFonts w:hint="eastAsia" w:ascii="宋体" w:hAnsi="宋体" w:eastAsia="宋体" w:cs="宋体"/>
          <w:b/>
          <w:color w:val="auto"/>
          <w:highlight w:val="none"/>
        </w:rPr>
        <w:t>、技术条款偏离表格式</w:t>
      </w:r>
    </w:p>
    <w:p w14:paraId="1D37A8D2">
      <w:pPr>
        <w:spacing w:line="360" w:lineRule="auto"/>
        <w:ind w:left="420"/>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技术条款偏离表</w:t>
      </w:r>
    </w:p>
    <w:tbl>
      <w:tblPr>
        <w:tblStyle w:val="25"/>
        <w:tblW w:w="9435" w:type="dxa"/>
        <w:jc w:val="center"/>
        <w:tblLayout w:type="fixed"/>
        <w:tblCellMar>
          <w:top w:w="0" w:type="dxa"/>
          <w:left w:w="10" w:type="dxa"/>
          <w:bottom w:w="0" w:type="dxa"/>
          <w:right w:w="10" w:type="dxa"/>
        </w:tblCellMar>
      </w:tblPr>
      <w:tblGrid>
        <w:gridCol w:w="765"/>
        <w:gridCol w:w="1620"/>
        <w:gridCol w:w="2700"/>
        <w:gridCol w:w="1411"/>
        <w:gridCol w:w="1829"/>
        <w:gridCol w:w="1110"/>
      </w:tblGrid>
      <w:tr w14:paraId="6BCC9FC6">
        <w:tblPrEx>
          <w:tblCellMar>
            <w:top w:w="0" w:type="dxa"/>
            <w:left w:w="10" w:type="dxa"/>
            <w:bottom w:w="0" w:type="dxa"/>
            <w:right w:w="10" w:type="dxa"/>
          </w:tblCellMar>
        </w:tblPrEx>
        <w:trPr>
          <w:jc w:val="center"/>
        </w:trPr>
        <w:tc>
          <w:tcPr>
            <w:tcW w:w="6496" w:type="dxa"/>
            <w:gridSpan w:val="4"/>
            <w:shd w:val="clear" w:color="000000" w:fill="FFFFFF"/>
            <w:tcMar>
              <w:left w:w="0" w:type="dxa"/>
              <w:right w:w="0" w:type="dxa"/>
            </w:tcMar>
            <w:vAlign w:val="center"/>
          </w:tcPr>
          <w:p w14:paraId="1E5A1C24">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939" w:type="dxa"/>
            <w:gridSpan w:val="2"/>
            <w:shd w:val="clear" w:color="000000" w:fill="FFFFFF"/>
            <w:tcMar>
              <w:left w:w="0" w:type="dxa"/>
              <w:right w:w="0" w:type="dxa"/>
            </w:tcMar>
            <w:vAlign w:val="center"/>
          </w:tcPr>
          <w:p w14:paraId="4A56BB01">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项目编号：</w:t>
            </w:r>
          </w:p>
        </w:tc>
      </w:tr>
      <w:tr w14:paraId="7F9C920B">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15F487B">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8C229B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招标文件条目号</w:t>
            </w: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7D24742">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服务要求</w:t>
            </w: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E424FD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投标响应</w:t>
            </w: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1336B2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r>
      <w:tr w14:paraId="6CEF0B77">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2057B1C">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B6669A2">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4778183">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3A4A4E">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9FCF8C6">
            <w:pPr>
              <w:spacing w:line="360" w:lineRule="auto"/>
              <w:jc w:val="center"/>
              <w:rPr>
                <w:rFonts w:hint="eastAsia" w:ascii="宋体" w:hAnsi="宋体" w:eastAsia="宋体" w:cs="宋体"/>
                <w:color w:val="auto"/>
                <w:sz w:val="22"/>
                <w:highlight w:val="none"/>
              </w:rPr>
            </w:pPr>
          </w:p>
        </w:tc>
      </w:tr>
      <w:tr w14:paraId="05983EF2">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6292D31">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D9033BD">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5486768">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D22C00">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21C0D7F">
            <w:pPr>
              <w:spacing w:line="360" w:lineRule="auto"/>
              <w:jc w:val="center"/>
              <w:rPr>
                <w:rFonts w:hint="eastAsia" w:ascii="宋体" w:hAnsi="宋体" w:eastAsia="宋体" w:cs="宋体"/>
                <w:color w:val="auto"/>
                <w:sz w:val="22"/>
                <w:highlight w:val="none"/>
              </w:rPr>
            </w:pPr>
          </w:p>
        </w:tc>
      </w:tr>
      <w:tr w14:paraId="1C3489C3">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92AFAA5">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1533F1B">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5AC7580">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B197FFE">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43E97D3">
            <w:pPr>
              <w:spacing w:line="360" w:lineRule="auto"/>
              <w:jc w:val="center"/>
              <w:rPr>
                <w:rFonts w:hint="eastAsia" w:ascii="宋体" w:hAnsi="宋体" w:eastAsia="宋体" w:cs="宋体"/>
                <w:color w:val="auto"/>
                <w:sz w:val="22"/>
                <w:highlight w:val="none"/>
              </w:rPr>
            </w:pPr>
          </w:p>
        </w:tc>
      </w:tr>
      <w:tr w14:paraId="7AEBCAD2">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090C4CC">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D9AED77">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9F46887">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6A0ADE62">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D5AC933">
            <w:pPr>
              <w:spacing w:line="360" w:lineRule="auto"/>
              <w:jc w:val="center"/>
              <w:rPr>
                <w:rFonts w:hint="eastAsia" w:ascii="宋体" w:hAnsi="宋体" w:eastAsia="宋体" w:cs="宋体"/>
                <w:color w:val="auto"/>
                <w:sz w:val="22"/>
                <w:highlight w:val="none"/>
              </w:rPr>
            </w:pPr>
          </w:p>
        </w:tc>
      </w:tr>
      <w:tr w14:paraId="3FF774EB">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8098EF3">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C39A655">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73B6212">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21FBF93">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BA967B2">
            <w:pPr>
              <w:spacing w:line="360" w:lineRule="auto"/>
              <w:jc w:val="center"/>
              <w:rPr>
                <w:rFonts w:hint="eastAsia" w:ascii="宋体" w:hAnsi="宋体" w:eastAsia="宋体" w:cs="宋体"/>
                <w:color w:val="auto"/>
                <w:sz w:val="22"/>
                <w:highlight w:val="none"/>
              </w:rPr>
            </w:pPr>
          </w:p>
        </w:tc>
      </w:tr>
      <w:tr w14:paraId="4F430825">
        <w:tblPrEx>
          <w:tblCellMar>
            <w:top w:w="0" w:type="dxa"/>
            <w:left w:w="10" w:type="dxa"/>
            <w:bottom w:w="0" w:type="dxa"/>
            <w:right w:w="10" w:type="dxa"/>
          </w:tblCellMar>
        </w:tblPrEx>
        <w:trPr>
          <w:jc w:val="center"/>
        </w:trPr>
        <w:tc>
          <w:tcPr>
            <w:tcW w:w="765"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862970C">
            <w:pPr>
              <w:spacing w:line="360" w:lineRule="auto"/>
              <w:jc w:val="center"/>
              <w:rPr>
                <w:rFonts w:hint="eastAsia" w:ascii="宋体" w:hAnsi="宋体" w:eastAsia="宋体" w:cs="宋体"/>
                <w:color w:val="auto"/>
                <w:sz w:val="22"/>
                <w:highlight w:val="none"/>
              </w:rPr>
            </w:pPr>
          </w:p>
        </w:tc>
        <w:tc>
          <w:tcPr>
            <w:tcW w:w="162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2774B3B">
            <w:pPr>
              <w:spacing w:line="360" w:lineRule="auto"/>
              <w:jc w:val="center"/>
              <w:rPr>
                <w:rFonts w:hint="eastAsia" w:ascii="宋体" w:hAnsi="宋体" w:eastAsia="宋体" w:cs="宋体"/>
                <w:color w:val="auto"/>
                <w:sz w:val="22"/>
                <w:highlight w:val="none"/>
              </w:rPr>
            </w:pPr>
          </w:p>
        </w:tc>
        <w:tc>
          <w:tcPr>
            <w:tcW w:w="270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49AC58C">
            <w:pPr>
              <w:spacing w:line="360" w:lineRule="auto"/>
              <w:jc w:val="center"/>
              <w:rPr>
                <w:rFonts w:hint="eastAsia" w:ascii="宋体" w:hAnsi="宋体" w:eastAsia="宋体" w:cs="宋体"/>
                <w:color w:val="auto"/>
                <w:sz w:val="22"/>
                <w:highlight w:val="none"/>
              </w:rPr>
            </w:pPr>
          </w:p>
        </w:tc>
        <w:tc>
          <w:tcPr>
            <w:tcW w:w="3240" w:type="dxa"/>
            <w:gridSpan w:val="2"/>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9E4F45">
            <w:pPr>
              <w:spacing w:line="360" w:lineRule="auto"/>
              <w:jc w:val="center"/>
              <w:rPr>
                <w:rFonts w:hint="eastAsia" w:ascii="宋体" w:hAnsi="宋体" w:eastAsia="宋体" w:cs="宋体"/>
                <w:color w:val="auto"/>
                <w:sz w:val="22"/>
                <w:highlight w:val="none"/>
              </w:rPr>
            </w:pPr>
          </w:p>
        </w:tc>
        <w:tc>
          <w:tcPr>
            <w:tcW w:w="111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8A34F5">
            <w:pPr>
              <w:spacing w:line="360" w:lineRule="auto"/>
              <w:jc w:val="center"/>
              <w:rPr>
                <w:rFonts w:hint="eastAsia" w:ascii="宋体" w:hAnsi="宋体" w:eastAsia="宋体" w:cs="宋体"/>
                <w:color w:val="auto"/>
                <w:sz w:val="22"/>
                <w:highlight w:val="none"/>
              </w:rPr>
            </w:pPr>
          </w:p>
        </w:tc>
      </w:tr>
    </w:tbl>
    <w:p w14:paraId="19091BC0">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供应商名称：（盖章）</w:t>
      </w:r>
    </w:p>
    <w:p w14:paraId="4F70DB6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说明：</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如果行数不够，请自行增加。</w:t>
      </w:r>
    </w:p>
    <w:p w14:paraId="605ABE9F">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供应商应对招标文件技术要求逐条填写偏离情况(正偏离、负偏离或无偏离)，并说明偏离的具体内容及做出必要说明。未在上表中说明的视为无偏离，如在响应文件其他内容中已有文字说明或相关证明材料的与偏离表不一致的以偏离表为准。如有偏离供应商需如实填写偏离表，请勿虚假响应，供应商应对故意隐瞒偏离的行为承担责任。</w:t>
      </w:r>
    </w:p>
    <w:p w14:paraId="6CDF84BC">
      <w:pPr>
        <w:jc w:val="left"/>
        <w:rPr>
          <w:rFonts w:hint="eastAsia" w:ascii="宋体" w:hAnsi="宋体" w:eastAsia="宋体" w:cs="宋体"/>
          <w:color w:val="auto"/>
          <w:highlight w:val="none"/>
        </w:rPr>
      </w:pPr>
    </w:p>
    <w:p w14:paraId="429D7DB2">
      <w:pPr>
        <w:jc w:val="left"/>
        <w:rPr>
          <w:rFonts w:hint="eastAsia" w:ascii="宋体" w:hAnsi="宋体" w:eastAsia="宋体" w:cs="宋体"/>
          <w:color w:val="auto"/>
          <w:highlight w:val="none"/>
        </w:rPr>
      </w:pPr>
    </w:p>
    <w:p w14:paraId="64286036">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目录</w:t>
      </w:r>
      <w:r>
        <w:rPr>
          <w:rFonts w:hint="eastAsia" w:ascii="宋体" w:hAnsi="宋体" w:eastAsia="宋体" w:cs="宋体"/>
          <w:b/>
          <w:color w:val="auto"/>
          <w:highlight w:val="none"/>
          <w:lang w:val="en-US" w:eastAsia="zh-CN"/>
        </w:rPr>
        <w:t>六</w:t>
      </w:r>
      <w:r>
        <w:rPr>
          <w:rFonts w:hint="eastAsia" w:ascii="宋体" w:hAnsi="宋体" w:eastAsia="宋体" w:cs="宋体"/>
          <w:b/>
          <w:color w:val="auto"/>
          <w:highlight w:val="none"/>
        </w:rPr>
        <w:t>、商务条款偏离表格式</w:t>
      </w:r>
    </w:p>
    <w:p w14:paraId="0F9BF33D">
      <w:pPr>
        <w:spacing w:line="360" w:lineRule="auto"/>
        <w:ind w:left="420"/>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商务条款偏离表</w:t>
      </w:r>
    </w:p>
    <w:tbl>
      <w:tblPr>
        <w:tblStyle w:val="25"/>
        <w:tblW w:w="9216" w:type="dxa"/>
        <w:jc w:val="center"/>
        <w:tblLayout w:type="fixed"/>
        <w:tblCellMar>
          <w:top w:w="0" w:type="dxa"/>
          <w:left w:w="10" w:type="dxa"/>
          <w:bottom w:w="0" w:type="dxa"/>
          <w:right w:w="10" w:type="dxa"/>
        </w:tblCellMar>
      </w:tblPr>
      <w:tblGrid>
        <w:gridCol w:w="651"/>
        <w:gridCol w:w="1620"/>
        <w:gridCol w:w="2700"/>
        <w:gridCol w:w="1415"/>
        <w:gridCol w:w="1458"/>
        <w:gridCol w:w="1372"/>
      </w:tblGrid>
      <w:tr w14:paraId="53D0216D">
        <w:tblPrEx>
          <w:tblCellMar>
            <w:top w:w="0" w:type="dxa"/>
            <w:left w:w="10" w:type="dxa"/>
            <w:bottom w:w="0" w:type="dxa"/>
            <w:right w:w="10" w:type="dxa"/>
          </w:tblCellMar>
        </w:tblPrEx>
        <w:trPr>
          <w:jc w:val="center"/>
        </w:trPr>
        <w:tc>
          <w:tcPr>
            <w:tcW w:w="6386" w:type="dxa"/>
            <w:gridSpan w:val="4"/>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9DE19A3">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830"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A68D30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项目编号：</w:t>
            </w:r>
          </w:p>
        </w:tc>
      </w:tr>
      <w:tr w14:paraId="7BCBA8CA">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00F117A">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A8D825F">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招标文件条目号</w:t>
            </w: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22BF1C3">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招标文件要求的商务条款</w:t>
            </w: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386EBD5">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投标响应</w:t>
            </w: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801ABFE">
            <w:pPr>
              <w:spacing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偏离</w:t>
            </w:r>
          </w:p>
        </w:tc>
      </w:tr>
      <w:tr w14:paraId="40FD367D">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269BED1">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0396C1F">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66AA54E">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416F7A3">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242F1B2">
            <w:pPr>
              <w:spacing w:line="360" w:lineRule="auto"/>
              <w:jc w:val="center"/>
              <w:rPr>
                <w:rFonts w:hint="eastAsia" w:ascii="宋体" w:hAnsi="宋体" w:eastAsia="宋体" w:cs="宋体"/>
                <w:color w:val="auto"/>
                <w:sz w:val="22"/>
                <w:highlight w:val="none"/>
              </w:rPr>
            </w:pPr>
          </w:p>
        </w:tc>
      </w:tr>
      <w:tr w14:paraId="4F9F67B4">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8EF7CFA">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0AC159C">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F7E6C3D">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76DC6C8">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A92DC01">
            <w:pPr>
              <w:spacing w:line="360" w:lineRule="auto"/>
              <w:jc w:val="center"/>
              <w:rPr>
                <w:rFonts w:hint="eastAsia" w:ascii="宋体" w:hAnsi="宋体" w:eastAsia="宋体" w:cs="宋体"/>
                <w:color w:val="auto"/>
                <w:sz w:val="22"/>
                <w:highlight w:val="none"/>
              </w:rPr>
            </w:pPr>
          </w:p>
        </w:tc>
      </w:tr>
      <w:tr w14:paraId="7ED3A474">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193AD39">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321E5719">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2EA252A">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2F386DA">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F3BDA41">
            <w:pPr>
              <w:spacing w:line="360" w:lineRule="auto"/>
              <w:jc w:val="center"/>
              <w:rPr>
                <w:rFonts w:hint="eastAsia" w:ascii="宋体" w:hAnsi="宋体" w:eastAsia="宋体" w:cs="宋体"/>
                <w:color w:val="auto"/>
                <w:sz w:val="22"/>
                <w:highlight w:val="none"/>
              </w:rPr>
            </w:pPr>
          </w:p>
        </w:tc>
      </w:tr>
      <w:tr w14:paraId="62F71D82">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0C40A86">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30853D4">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5F79DF7">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6DCB8DC">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F491338">
            <w:pPr>
              <w:spacing w:line="360" w:lineRule="auto"/>
              <w:jc w:val="center"/>
              <w:rPr>
                <w:rFonts w:hint="eastAsia" w:ascii="宋体" w:hAnsi="宋体" w:eastAsia="宋体" w:cs="宋体"/>
                <w:color w:val="auto"/>
                <w:sz w:val="22"/>
                <w:highlight w:val="none"/>
              </w:rPr>
            </w:pPr>
          </w:p>
        </w:tc>
      </w:tr>
      <w:tr w14:paraId="5B899ED8">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27697B1">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839BD37">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B5681B3">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ED9E9D8">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47FC658">
            <w:pPr>
              <w:spacing w:line="360" w:lineRule="auto"/>
              <w:jc w:val="center"/>
              <w:rPr>
                <w:rFonts w:hint="eastAsia" w:ascii="宋体" w:hAnsi="宋体" w:eastAsia="宋体" w:cs="宋体"/>
                <w:color w:val="auto"/>
                <w:sz w:val="22"/>
                <w:highlight w:val="none"/>
              </w:rPr>
            </w:pPr>
          </w:p>
        </w:tc>
      </w:tr>
      <w:tr w14:paraId="78EBAF4B">
        <w:tblPrEx>
          <w:tblCellMar>
            <w:top w:w="0" w:type="dxa"/>
            <w:left w:w="10" w:type="dxa"/>
            <w:bottom w:w="0" w:type="dxa"/>
            <w:right w:w="10" w:type="dxa"/>
          </w:tblCellMar>
        </w:tblPrEx>
        <w:trPr>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FCCB831">
            <w:pPr>
              <w:spacing w:line="360" w:lineRule="auto"/>
              <w:jc w:val="center"/>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0705DA2">
            <w:pPr>
              <w:spacing w:line="360" w:lineRule="auto"/>
              <w:jc w:val="center"/>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E935B95">
            <w:pPr>
              <w:spacing w:line="360" w:lineRule="auto"/>
              <w:jc w:val="center"/>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0628FB4">
            <w:pPr>
              <w:spacing w:line="360" w:lineRule="auto"/>
              <w:jc w:val="center"/>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0A59EA5">
            <w:pPr>
              <w:spacing w:line="360" w:lineRule="auto"/>
              <w:jc w:val="center"/>
              <w:rPr>
                <w:rFonts w:hint="eastAsia" w:ascii="宋体" w:hAnsi="宋体" w:eastAsia="宋体" w:cs="宋体"/>
                <w:color w:val="auto"/>
                <w:sz w:val="22"/>
                <w:highlight w:val="none"/>
              </w:rPr>
            </w:pPr>
          </w:p>
        </w:tc>
      </w:tr>
      <w:tr w14:paraId="2E80EDDC">
        <w:tblPrEx>
          <w:tblCellMar>
            <w:top w:w="0" w:type="dxa"/>
            <w:left w:w="10" w:type="dxa"/>
            <w:bottom w:w="0" w:type="dxa"/>
            <w:right w:w="10" w:type="dxa"/>
          </w:tblCellMar>
        </w:tblPrEx>
        <w:trPr>
          <w:trHeight w:val="1" w:hRule="atLeast"/>
          <w:jc w:val="center"/>
        </w:trPr>
        <w:tc>
          <w:tcPr>
            <w:tcW w:w="651"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CD0576">
            <w:pPr>
              <w:spacing w:line="360" w:lineRule="auto"/>
              <w:jc w:val="left"/>
              <w:rPr>
                <w:rFonts w:hint="eastAsia" w:ascii="宋体" w:hAnsi="宋体" w:eastAsia="宋体" w:cs="宋体"/>
                <w:color w:val="auto"/>
                <w:sz w:val="22"/>
                <w:highlight w:val="none"/>
              </w:rPr>
            </w:pPr>
          </w:p>
        </w:tc>
        <w:tc>
          <w:tcPr>
            <w:tcW w:w="162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C556386">
            <w:pPr>
              <w:spacing w:line="360" w:lineRule="auto"/>
              <w:jc w:val="left"/>
              <w:rPr>
                <w:rFonts w:hint="eastAsia" w:ascii="宋体" w:hAnsi="宋体" w:eastAsia="宋体" w:cs="宋体"/>
                <w:color w:val="auto"/>
                <w:sz w:val="22"/>
                <w:highlight w:val="none"/>
              </w:rPr>
            </w:pPr>
          </w:p>
        </w:tc>
        <w:tc>
          <w:tcPr>
            <w:tcW w:w="2700"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3EDCCD1">
            <w:pPr>
              <w:spacing w:line="360" w:lineRule="auto"/>
              <w:jc w:val="left"/>
              <w:rPr>
                <w:rFonts w:hint="eastAsia" w:ascii="宋体" w:hAnsi="宋体" w:eastAsia="宋体" w:cs="宋体"/>
                <w:color w:val="auto"/>
                <w:sz w:val="22"/>
                <w:highlight w:val="none"/>
              </w:rPr>
            </w:pPr>
          </w:p>
        </w:tc>
        <w:tc>
          <w:tcPr>
            <w:tcW w:w="2873"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DB44C18">
            <w:pPr>
              <w:spacing w:line="360" w:lineRule="auto"/>
              <w:jc w:val="left"/>
              <w:rPr>
                <w:rFonts w:hint="eastAsia" w:ascii="宋体" w:hAnsi="宋体" w:eastAsia="宋体" w:cs="宋体"/>
                <w:color w:val="auto"/>
                <w:sz w:val="22"/>
                <w:highlight w:val="none"/>
              </w:rPr>
            </w:pPr>
          </w:p>
        </w:tc>
        <w:tc>
          <w:tcPr>
            <w:tcW w:w="1372"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96F8750">
            <w:pPr>
              <w:spacing w:line="360" w:lineRule="auto"/>
              <w:jc w:val="left"/>
              <w:rPr>
                <w:rFonts w:hint="eastAsia" w:ascii="宋体" w:hAnsi="宋体" w:eastAsia="宋体" w:cs="宋体"/>
                <w:color w:val="auto"/>
                <w:sz w:val="22"/>
                <w:highlight w:val="none"/>
              </w:rPr>
            </w:pPr>
          </w:p>
        </w:tc>
      </w:tr>
    </w:tbl>
    <w:p w14:paraId="73477344">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供应商名称：（盖章）</w:t>
      </w:r>
    </w:p>
    <w:p w14:paraId="66AAF75A">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说明：</w:t>
      </w: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如果行数不够，请自行增加。</w:t>
      </w:r>
    </w:p>
    <w:p w14:paraId="39081AD1">
      <w:pPr>
        <w:spacing w:line="360" w:lineRule="auto"/>
        <w:jc w:val="left"/>
        <w:rPr>
          <w:rFonts w:hint="default" w:ascii="宋体" w:hAnsi="宋体" w:eastAsia="宋体" w:cs="宋体"/>
          <w:color w:val="auto"/>
          <w:highlight w:val="none"/>
          <w:lang w:val="en-US" w:eastAsia="zh-CN"/>
        </w:rPr>
        <w:sectPr>
          <w:pgSz w:w="11906" w:h="16838"/>
          <w:pgMar w:top="1440" w:right="1800" w:bottom="1440" w:left="1800" w:header="851" w:footer="992" w:gutter="0"/>
          <w:pgNumType w:fmt="decimal"/>
          <w:cols w:space="425" w:num="1"/>
          <w:docGrid w:type="lines" w:linePitch="312" w:charSpace="0"/>
        </w:sectPr>
      </w:pPr>
      <w:r>
        <w:rPr>
          <w:rFonts w:hint="eastAsia" w:ascii="宋体" w:hAnsi="宋体" w:eastAsia="宋体" w:cs="宋体"/>
          <w:color w:val="auto"/>
          <w:highlight w:val="none"/>
          <w:lang w:val="en-US" w:eastAsia="zh-CN"/>
        </w:rPr>
        <w:t>2.供应商应对招标文件技术要求逐条填写偏离情况(正偏离、负偏离或无偏离)，并说明偏离的具体内容及做出必要说明。未在上表中说明的视为无偏离，如在响应文件其他内容中已有文字说明或相关证明材料的与偏离表不一致的以偏离表为准。如有偏离供应商需如实填写偏离表，请勿虚假响应，供应商应对故意隐瞒偏离的行为承担责任。</w:t>
      </w:r>
    </w:p>
    <w:p w14:paraId="7ABECF1E">
      <w:pPr>
        <w:pageBreakBefore/>
        <w:spacing w:line="360" w:lineRule="auto"/>
        <w:outlineLvl w:val="9"/>
        <w:rPr>
          <w:rFonts w:hint="eastAsia" w:ascii="宋体" w:hAnsi="宋体" w:eastAsia="宋体" w:cs="宋体"/>
          <w:b/>
          <w:color w:val="auto"/>
          <w:highlight w:val="none"/>
          <w:lang w:val="en-US" w:eastAsia="zh-CN"/>
        </w:rPr>
      </w:pPr>
      <w:r>
        <w:rPr>
          <w:rFonts w:hint="eastAsia" w:ascii="宋体" w:hAnsi="宋体" w:eastAsia="宋体" w:cs="宋体"/>
          <w:b/>
          <w:color w:val="auto"/>
          <w:highlight w:val="none"/>
          <w:lang w:val="en-US" w:eastAsia="zh-CN"/>
        </w:rPr>
        <w:t>目录七</w:t>
      </w:r>
      <w:bookmarkStart w:id="34" w:name="_Toc94108791"/>
      <w:r>
        <w:rPr>
          <w:rFonts w:hint="eastAsia" w:ascii="宋体" w:hAnsi="宋体" w:eastAsia="宋体" w:cs="宋体"/>
          <w:b/>
          <w:color w:val="auto"/>
          <w:highlight w:val="none"/>
          <w:lang w:val="en-US" w:eastAsia="zh-CN"/>
        </w:rPr>
        <w:t>、拟委任的主要人员汇总表及主要人员简历表</w:t>
      </w:r>
    </w:p>
    <w:bookmarkEnd w:id="34"/>
    <w:p w14:paraId="131809B9">
      <w:pPr>
        <w:topLinePunct/>
        <w:adjustRightInd w:val="0"/>
        <w:snapToGrid w:val="0"/>
        <w:spacing w:line="360" w:lineRule="auto"/>
        <w:jc w:val="left"/>
        <w:outlineLvl w:val="3"/>
        <w:rPr>
          <w:rFonts w:ascii="宋体" w:hAnsi="宋体" w:cs="宋体"/>
          <w:color w:val="auto"/>
          <w:sz w:val="28"/>
          <w:highlight w:val="none"/>
        </w:rPr>
      </w:pPr>
      <w:r>
        <w:rPr>
          <w:rFonts w:hint="eastAsia" w:ascii="宋体" w:hAnsi="宋体" w:eastAsia="宋体" w:cs="宋体"/>
          <w:b/>
          <w:color w:val="auto"/>
          <w:sz w:val="24"/>
          <w:szCs w:val="24"/>
          <w:highlight w:val="none"/>
        </w:rPr>
        <w:t>（一）</w:t>
      </w:r>
      <w:r>
        <w:rPr>
          <w:rFonts w:ascii="宋体" w:hAnsi="宋体" w:cs="宋体"/>
          <w:color w:val="auto"/>
          <w:sz w:val="28"/>
          <w:highlight w:val="none"/>
        </w:rPr>
        <w:t>拟委任的主要人员汇总表</w:t>
      </w:r>
    </w:p>
    <w:tbl>
      <w:tblPr>
        <w:tblStyle w:val="25"/>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57"/>
        <w:gridCol w:w="1514"/>
        <w:gridCol w:w="1028"/>
        <w:gridCol w:w="627"/>
        <w:gridCol w:w="506"/>
        <w:gridCol w:w="1175"/>
        <w:gridCol w:w="737"/>
        <w:gridCol w:w="906"/>
        <w:gridCol w:w="1172"/>
      </w:tblGrid>
      <w:tr w14:paraId="7E291D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vMerge w:val="restart"/>
            <w:shd w:val="clear" w:color="auto" w:fill="auto"/>
            <w:tcMar>
              <w:left w:w="0" w:type="dxa"/>
              <w:right w:w="0" w:type="dxa"/>
            </w:tcMar>
            <w:vAlign w:val="center"/>
          </w:tcPr>
          <w:p w14:paraId="7BBB62A9">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序号</w:t>
            </w:r>
          </w:p>
        </w:tc>
        <w:tc>
          <w:tcPr>
            <w:tcW w:w="909" w:type="pct"/>
            <w:vMerge w:val="restart"/>
            <w:shd w:val="clear" w:color="auto" w:fill="auto"/>
            <w:tcMar>
              <w:left w:w="0" w:type="dxa"/>
              <w:right w:w="0" w:type="dxa"/>
            </w:tcMar>
            <w:vAlign w:val="center"/>
          </w:tcPr>
          <w:p w14:paraId="7890E5EB">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本项目任职</w:t>
            </w:r>
          </w:p>
        </w:tc>
        <w:tc>
          <w:tcPr>
            <w:tcW w:w="618" w:type="pct"/>
            <w:vMerge w:val="restart"/>
            <w:shd w:val="clear" w:color="auto" w:fill="auto"/>
            <w:tcMar>
              <w:left w:w="0" w:type="dxa"/>
              <w:right w:w="0" w:type="dxa"/>
            </w:tcMar>
            <w:vAlign w:val="center"/>
          </w:tcPr>
          <w:p w14:paraId="37C5B9D4">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姓名</w:t>
            </w:r>
          </w:p>
        </w:tc>
        <w:tc>
          <w:tcPr>
            <w:tcW w:w="377" w:type="pct"/>
            <w:vMerge w:val="restart"/>
            <w:shd w:val="clear" w:color="auto" w:fill="auto"/>
            <w:tcMar>
              <w:left w:w="0" w:type="dxa"/>
              <w:right w:w="0" w:type="dxa"/>
            </w:tcMar>
            <w:vAlign w:val="center"/>
          </w:tcPr>
          <w:p w14:paraId="0D39D186">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职</w:t>
            </w:r>
          </w:p>
          <w:p w14:paraId="169C68EA">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称</w:t>
            </w:r>
          </w:p>
        </w:tc>
        <w:tc>
          <w:tcPr>
            <w:tcW w:w="304" w:type="pct"/>
            <w:vMerge w:val="restart"/>
            <w:shd w:val="clear" w:color="auto" w:fill="auto"/>
            <w:tcMar>
              <w:left w:w="0" w:type="dxa"/>
              <w:right w:w="0" w:type="dxa"/>
            </w:tcMar>
            <w:vAlign w:val="center"/>
          </w:tcPr>
          <w:p w14:paraId="035CC3B1">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专</w:t>
            </w:r>
          </w:p>
          <w:p w14:paraId="2797E73C">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业</w:t>
            </w:r>
          </w:p>
        </w:tc>
        <w:tc>
          <w:tcPr>
            <w:tcW w:w="1693" w:type="pct"/>
            <w:gridSpan w:val="3"/>
            <w:shd w:val="clear" w:color="auto" w:fill="auto"/>
            <w:tcMar>
              <w:left w:w="0" w:type="dxa"/>
              <w:right w:w="0" w:type="dxa"/>
            </w:tcMar>
            <w:vAlign w:val="center"/>
          </w:tcPr>
          <w:p w14:paraId="3602DBEE">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执业或职业资格证明</w:t>
            </w:r>
          </w:p>
        </w:tc>
        <w:tc>
          <w:tcPr>
            <w:tcW w:w="704" w:type="pct"/>
            <w:shd w:val="clear" w:color="auto" w:fill="auto"/>
            <w:tcMar>
              <w:left w:w="0" w:type="dxa"/>
              <w:right w:w="0" w:type="dxa"/>
            </w:tcMar>
            <w:vAlign w:val="center"/>
          </w:tcPr>
          <w:p w14:paraId="540460EB">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备注</w:t>
            </w:r>
          </w:p>
        </w:tc>
      </w:tr>
      <w:tr w14:paraId="1BE1B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vMerge w:val="continue"/>
            <w:shd w:val="clear" w:color="auto" w:fill="auto"/>
            <w:tcMar>
              <w:left w:w="0" w:type="dxa"/>
              <w:right w:w="0" w:type="dxa"/>
            </w:tcMar>
            <w:vAlign w:val="center"/>
          </w:tcPr>
          <w:p w14:paraId="2F66FB63">
            <w:pPr>
              <w:topLinePunct/>
              <w:adjustRightInd w:val="0"/>
              <w:snapToGrid w:val="0"/>
              <w:spacing w:line="360" w:lineRule="auto"/>
              <w:jc w:val="center"/>
              <w:rPr>
                <w:rFonts w:ascii="宋体" w:hAnsi="宋体"/>
                <w:color w:val="auto"/>
                <w:highlight w:val="none"/>
              </w:rPr>
            </w:pPr>
          </w:p>
        </w:tc>
        <w:tc>
          <w:tcPr>
            <w:tcW w:w="909" w:type="pct"/>
            <w:vMerge w:val="continue"/>
            <w:shd w:val="clear" w:color="auto" w:fill="auto"/>
            <w:tcMar>
              <w:left w:w="0" w:type="dxa"/>
              <w:right w:w="0" w:type="dxa"/>
            </w:tcMar>
            <w:vAlign w:val="center"/>
          </w:tcPr>
          <w:p w14:paraId="4605B742">
            <w:pPr>
              <w:topLinePunct/>
              <w:adjustRightInd w:val="0"/>
              <w:snapToGrid w:val="0"/>
              <w:spacing w:line="360" w:lineRule="auto"/>
              <w:jc w:val="center"/>
              <w:rPr>
                <w:rFonts w:ascii="宋体" w:hAnsi="宋体"/>
                <w:color w:val="auto"/>
                <w:highlight w:val="none"/>
              </w:rPr>
            </w:pPr>
          </w:p>
        </w:tc>
        <w:tc>
          <w:tcPr>
            <w:tcW w:w="618" w:type="pct"/>
            <w:vMerge w:val="continue"/>
            <w:shd w:val="clear" w:color="auto" w:fill="auto"/>
            <w:tcMar>
              <w:left w:w="0" w:type="dxa"/>
              <w:right w:w="0" w:type="dxa"/>
            </w:tcMar>
            <w:vAlign w:val="center"/>
          </w:tcPr>
          <w:p w14:paraId="4E1B8181">
            <w:pPr>
              <w:topLinePunct/>
              <w:adjustRightInd w:val="0"/>
              <w:snapToGrid w:val="0"/>
              <w:spacing w:line="360" w:lineRule="auto"/>
              <w:jc w:val="center"/>
              <w:rPr>
                <w:rFonts w:ascii="宋体" w:hAnsi="宋体"/>
                <w:color w:val="auto"/>
                <w:highlight w:val="none"/>
              </w:rPr>
            </w:pPr>
          </w:p>
        </w:tc>
        <w:tc>
          <w:tcPr>
            <w:tcW w:w="377" w:type="pct"/>
            <w:vMerge w:val="continue"/>
            <w:shd w:val="clear" w:color="auto" w:fill="auto"/>
            <w:tcMar>
              <w:left w:w="0" w:type="dxa"/>
              <w:right w:w="0" w:type="dxa"/>
            </w:tcMar>
            <w:vAlign w:val="center"/>
          </w:tcPr>
          <w:p w14:paraId="5AF98A66">
            <w:pPr>
              <w:topLinePunct/>
              <w:adjustRightInd w:val="0"/>
              <w:snapToGrid w:val="0"/>
              <w:spacing w:line="360" w:lineRule="auto"/>
              <w:jc w:val="center"/>
              <w:rPr>
                <w:rFonts w:ascii="宋体" w:hAnsi="宋体"/>
                <w:color w:val="auto"/>
                <w:highlight w:val="none"/>
              </w:rPr>
            </w:pPr>
          </w:p>
        </w:tc>
        <w:tc>
          <w:tcPr>
            <w:tcW w:w="304" w:type="pct"/>
            <w:vMerge w:val="continue"/>
            <w:shd w:val="clear" w:color="auto" w:fill="auto"/>
            <w:tcMar>
              <w:left w:w="0" w:type="dxa"/>
              <w:right w:w="0" w:type="dxa"/>
            </w:tcMar>
            <w:vAlign w:val="center"/>
          </w:tcPr>
          <w:p w14:paraId="1CBC5E0E">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419B83D5">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证书名称</w:t>
            </w:r>
          </w:p>
        </w:tc>
        <w:tc>
          <w:tcPr>
            <w:tcW w:w="443" w:type="pct"/>
            <w:shd w:val="clear" w:color="auto" w:fill="auto"/>
            <w:tcMar>
              <w:left w:w="0" w:type="dxa"/>
              <w:right w:w="0" w:type="dxa"/>
            </w:tcMar>
            <w:vAlign w:val="center"/>
          </w:tcPr>
          <w:p w14:paraId="6CDE0F4A">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级别</w:t>
            </w:r>
          </w:p>
        </w:tc>
        <w:tc>
          <w:tcPr>
            <w:tcW w:w="544" w:type="pct"/>
            <w:shd w:val="clear" w:color="auto" w:fill="auto"/>
            <w:tcMar>
              <w:left w:w="0" w:type="dxa"/>
              <w:right w:w="0" w:type="dxa"/>
            </w:tcMar>
            <w:vAlign w:val="center"/>
          </w:tcPr>
          <w:p w14:paraId="720E3D0C">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证号</w:t>
            </w:r>
          </w:p>
        </w:tc>
        <w:tc>
          <w:tcPr>
            <w:tcW w:w="704" w:type="pct"/>
            <w:shd w:val="clear" w:color="auto" w:fill="auto"/>
            <w:tcMar>
              <w:left w:w="0" w:type="dxa"/>
              <w:right w:w="0" w:type="dxa"/>
            </w:tcMar>
            <w:vAlign w:val="center"/>
          </w:tcPr>
          <w:p w14:paraId="5575689C">
            <w:pPr>
              <w:topLinePunct/>
              <w:adjustRightInd w:val="0"/>
              <w:snapToGrid w:val="0"/>
              <w:spacing w:line="360" w:lineRule="auto"/>
              <w:jc w:val="center"/>
              <w:rPr>
                <w:rFonts w:ascii="宋体" w:hAnsi="宋体"/>
                <w:color w:val="auto"/>
                <w:highlight w:val="none"/>
              </w:rPr>
            </w:pPr>
          </w:p>
        </w:tc>
      </w:tr>
      <w:tr w14:paraId="6E0D5A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BE4F969">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5F021262">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034C8671">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FD1B167">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5FCE3ED2">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046EC5AE">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16182E81">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7858ED04">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5A29BE92">
            <w:pPr>
              <w:topLinePunct/>
              <w:adjustRightInd w:val="0"/>
              <w:snapToGrid w:val="0"/>
              <w:spacing w:line="360" w:lineRule="auto"/>
              <w:jc w:val="center"/>
              <w:rPr>
                <w:rFonts w:ascii="宋体" w:hAnsi="宋体"/>
                <w:color w:val="auto"/>
                <w:highlight w:val="none"/>
              </w:rPr>
            </w:pPr>
          </w:p>
        </w:tc>
      </w:tr>
      <w:tr w14:paraId="06B00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2F562FB2">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006DF88C">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5241335C">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5433F42C">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0077BD5B">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53F7F737">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72B6FE00">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56EFCE41">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710DABBE">
            <w:pPr>
              <w:topLinePunct/>
              <w:adjustRightInd w:val="0"/>
              <w:snapToGrid w:val="0"/>
              <w:spacing w:line="360" w:lineRule="auto"/>
              <w:jc w:val="center"/>
              <w:rPr>
                <w:rFonts w:ascii="宋体" w:hAnsi="宋体"/>
                <w:color w:val="auto"/>
                <w:highlight w:val="none"/>
              </w:rPr>
            </w:pPr>
          </w:p>
        </w:tc>
      </w:tr>
      <w:tr w14:paraId="18B54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C62329B">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02605631">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286D1634">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C7699A4">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0032DFBE">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5462FE17">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61ECB463">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3F4A22B1">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76FE13B0">
            <w:pPr>
              <w:topLinePunct/>
              <w:adjustRightInd w:val="0"/>
              <w:snapToGrid w:val="0"/>
              <w:spacing w:line="360" w:lineRule="auto"/>
              <w:jc w:val="center"/>
              <w:rPr>
                <w:rFonts w:ascii="宋体" w:hAnsi="宋体"/>
                <w:color w:val="auto"/>
                <w:highlight w:val="none"/>
              </w:rPr>
            </w:pPr>
          </w:p>
        </w:tc>
      </w:tr>
      <w:tr w14:paraId="6F8CD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D1E68CE">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2D118B8F">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36F3E27A">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703235B1">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44742303">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34653AB4">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79863819">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5B9CE47D">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3E6B19F6">
            <w:pPr>
              <w:topLinePunct/>
              <w:adjustRightInd w:val="0"/>
              <w:snapToGrid w:val="0"/>
              <w:spacing w:line="360" w:lineRule="auto"/>
              <w:jc w:val="center"/>
              <w:rPr>
                <w:rFonts w:ascii="宋体" w:hAnsi="宋体"/>
                <w:color w:val="auto"/>
                <w:highlight w:val="none"/>
              </w:rPr>
            </w:pPr>
          </w:p>
        </w:tc>
      </w:tr>
      <w:tr w14:paraId="30FC5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A068D4C">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14BA47C3">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5C748494">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16FF1206">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596E0E36">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6DC26301">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66263BFB">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79D5FDFC">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495F2F1B">
            <w:pPr>
              <w:topLinePunct/>
              <w:adjustRightInd w:val="0"/>
              <w:snapToGrid w:val="0"/>
              <w:spacing w:line="360" w:lineRule="auto"/>
              <w:jc w:val="center"/>
              <w:rPr>
                <w:rFonts w:ascii="宋体" w:hAnsi="宋体"/>
                <w:color w:val="auto"/>
                <w:highlight w:val="none"/>
              </w:rPr>
            </w:pPr>
          </w:p>
        </w:tc>
      </w:tr>
      <w:tr w14:paraId="2696A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E0119FF">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4D40C327">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6D75C19D">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01667BF1">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5E50C471">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5BBE24AB">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697A8C66">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49DF4BE9">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66906B98">
            <w:pPr>
              <w:topLinePunct/>
              <w:adjustRightInd w:val="0"/>
              <w:snapToGrid w:val="0"/>
              <w:spacing w:line="360" w:lineRule="auto"/>
              <w:jc w:val="center"/>
              <w:rPr>
                <w:rFonts w:ascii="宋体" w:hAnsi="宋体"/>
                <w:color w:val="auto"/>
                <w:highlight w:val="none"/>
              </w:rPr>
            </w:pPr>
          </w:p>
        </w:tc>
      </w:tr>
      <w:tr w14:paraId="748F0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63B2A5D">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3CD0A804">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5B14ADBA">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7F00950">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645B3219">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09BB41E3">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5D7F5226">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DFA679C">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146C19C8">
            <w:pPr>
              <w:topLinePunct/>
              <w:adjustRightInd w:val="0"/>
              <w:snapToGrid w:val="0"/>
              <w:spacing w:line="360" w:lineRule="auto"/>
              <w:jc w:val="center"/>
              <w:rPr>
                <w:rFonts w:ascii="宋体" w:hAnsi="宋体"/>
                <w:color w:val="auto"/>
                <w:highlight w:val="none"/>
              </w:rPr>
            </w:pPr>
          </w:p>
        </w:tc>
      </w:tr>
      <w:tr w14:paraId="7DDFB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BAD2D32">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3E4B4E06">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063E9390">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70329BE6">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4623879">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32350A32">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7F740D0B">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168AB5DA">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26A224F8">
            <w:pPr>
              <w:topLinePunct/>
              <w:adjustRightInd w:val="0"/>
              <w:snapToGrid w:val="0"/>
              <w:spacing w:line="360" w:lineRule="auto"/>
              <w:jc w:val="center"/>
              <w:rPr>
                <w:rFonts w:ascii="宋体" w:hAnsi="宋体"/>
                <w:color w:val="auto"/>
                <w:highlight w:val="none"/>
              </w:rPr>
            </w:pPr>
          </w:p>
        </w:tc>
      </w:tr>
      <w:tr w14:paraId="668CD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C28F823">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1496515D">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0B4CF26F">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59D96C1">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4E5B7F7">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162CC07E">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607A3FEC">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1132B525">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34BE0DF7">
            <w:pPr>
              <w:topLinePunct/>
              <w:adjustRightInd w:val="0"/>
              <w:snapToGrid w:val="0"/>
              <w:spacing w:line="360" w:lineRule="auto"/>
              <w:jc w:val="center"/>
              <w:rPr>
                <w:rFonts w:ascii="宋体" w:hAnsi="宋体"/>
                <w:color w:val="auto"/>
                <w:highlight w:val="none"/>
              </w:rPr>
            </w:pPr>
          </w:p>
        </w:tc>
      </w:tr>
      <w:tr w14:paraId="4202CF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7EC3925">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17F81C20">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0E6AE1F6">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34A0044">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E75C108">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25D35CF6">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511A3637">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094096B">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4DD6560C">
            <w:pPr>
              <w:topLinePunct/>
              <w:adjustRightInd w:val="0"/>
              <w:snapToGrid w:val="0"/>
              <w:spacing w:line="360" w:lineRule="auto"/>
              <w:jc w:val="center"/>
              <w:rPr>
                <w:rFonts w:ascii="宋体" w:hAnsi="宋体"/>
                <w:color w:val="auto"/>
                <w:highlight w:val="none"/>
              </w:rPr>
            </w:pPr>
          </w:p>
        </w:tc>
      </w:tr>
      <w:tr w14:paraId="577BE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52A9F4AD">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3E5FEA8A">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7DD7DEA3">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0C920BE0">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624FEE0">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1B7EEAAC">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2C30F768">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00AE2342">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436EF6DD">
            <w:pPr>
              <w:topLinePunct/>
              <w:adjustRightInd w:val="0"/>
              <w:snapToGrid w:val="0"/>
              <w:spacing w:line="360" w:lineRule="auto"/>
              <w:jc w:val="center"/>
              <w:rPr>
                <w:rFonts w:ascii="宋体" w:hAnsi="宋体"/>
                <w:color w:val="auto"/>
                <w:highlight w:val="none"/>
              </w:rPr>
            </w:pPr>
          </w:p>
        </w:tc>
      </w:tr>
      <w:tr w14:paraId="486EB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C66A8E3">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2EC71121">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1984ADB2">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14B15276">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481A89F9">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02F6D642">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1C24FE96">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247EF57">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5E44E393">
            <w:pPr>
              <w:topLinePunct/>
              <w:adjustRightInd w:val="0"/>
              <w:snapToGrid w:val="0"/>
              <w:spacing w:line="360" w:lineRule="auto"/>
              <w:jc w:val="center"/>
              <w:rPr>
                <w:rFonts w:ascii="宋体" w:hAnsi="宋体"/>
                <w:color w:val="auto"/>
                <w:highlight w:val="none"/>
              </w:rPr>
            </w:pPr>
          </w:p>
        </w:tc>
      </w:tr>
      <w:tr w14:paraId="7797C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137816B4">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07E81FFC">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021F0CA6">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6419C5F0">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4465669">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74748733">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593EC57B">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0DB4B62">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54A7AB03">
            <w:pPr>
              <w:topLinePunct/>
              <w:adjustRightInd w:val="0"/>
              <w:snapToGrid w:val="0"/>
              <w:spacing w:line="360" w:lineRule="auto"/>
              <w:jc w:val="center"/>
              <w:rPr>
                <w:rFonts w:ascii="宋体" w:hAnsi="宋体"/>
                <w:color w:val="auto"/>
                <w:highlight w:val="none"/>
              </w:rPr>
            </w:pPr>
          </w:p>
        </w:tc>
      </w:tr>
      <w:tr w14:paraId="0A31F2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2EDFBDB5">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51AFA34F">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4192E029">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521E093E">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42B4CB36">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1755124A">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6F40AF0D">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DB812ED">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46D6680B">
            <w:pPr>
              <w:topLinePunct/>
              <w:adjustRightInd w:val="0"/>
              <w:snapToGrid w:val="0"/>
              <w:spacing w:line="360" w:lineRule="auto"/>
              <w:jc w:val="center"/>
              <w:rPr>
                <w:rFonts w:ascii="宋体" w:hAnsi="宋体"/>
                <w:color w:val="auto"/>
                <w:highlight w:val="none"/>
              </w:rPr>
            </w:pPr>
          </w:p>
        </w:tc>
      </w:tr>
      <w:tr w14:paraId="13BE7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59E0E495">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780BE475">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16869104">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0CC93E26">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3E25EA18">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34D54AD8">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50CEDF98">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5F1A99D6">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0EDDCACB">
            <w:pPr>
              <w:topLinePunct/>
              <w:adjustRightInd w:val="0"/>
              <w:snapToGrid w:val="0"/>
              <w:spacing w:line="360" w:lineRule="auto"/>
              <w:jc w:val="center"/>
              <w:rPr>
                <w:rFonts w:ascii="宋体" w:hAnsi="宋体"/>
                <w:color w:val="auto"/>
                <w:highlight w:val="none"/>
              </w:rPr>
            </w:pPr>
          </w:p>
        </w:tc>
      </w:tr>
      <w:tr w14:paraId="0EEB2F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9695E87">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04657F0E">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689AED23">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217DA1D0">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59ED82DC">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4B0FD17B">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5DDB3812">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449E527D">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1A0672C8">
            <w:pPr>
              <w:topLinePunct/>
              <w:adjustRightInd w:val="0"/>
              <w:snapToGrid w:val="0"/>
              <w:spacing w:line="360" w:lineRule="auto"/>
              <w:jc w:val="center"/>
              <w:rPr>
                <w:rFonts w:ascii="宋体" w:hAnsi="宋体"/>
                <w:color w:val="auto"/>
                <w:highlight w:val="none"/>
              </w:rPr>
            </w:pPr>
          </w:p>
        </w:tc>
      </w:tr>
      <w:tr w14:paraId="2D684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4EA4DA0">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2A053F08">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3C204FAB">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6FD5474F">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15EE938C">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59FF3011">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2EAD17D4">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76B9EF36">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02D733D0">
            <w:pPr>
              <w:topLinePunct/>
              <w:adjustRightInd w:val="0"/>
              <w:snapToGrid w:val="0"/>
              <w:spacing w:line="360" w:lineRule="auto"/>
              <w:jc w:val="center"/>
              <w:rPr>
                <w:rFonts w:ascii="宋体" w:hAnsi="宋体"/>
                <w:color w:val="auto"/>
                <w:highlight w:val="none"/>
              </w:rPr>
            </w:pPr>
          </w:p>
        </w:tc>
      </w:tr>
      <w:tr w14:paraId="30323A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3942A7A7">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6E67AA81">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7807437B">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39EF92A8">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76B35C61">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4BC95ECD">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44328547">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35A27F21">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631B0A47">
            <w:pPr>
              <w:topLinePunct/>
              <w:adjustRightInd w:val="0"/>
              <w:snapToGrid w:val="0"/>
              <w:spacing w:line="360" w:lineRule="auto"/>
              <w:jc w:val="center"/>
              <w:rPr>
                <w:rFonts w:ascii="宋体" w:hAnsi="宋体"/>
                <w:color w:val="auto"/>
                <w:highlight w:val="none"/>
              </w:rPr>
            </w:pPr>
          </w:p>
        </w:tc>
      </w:tr>
      <w:tr w14:paraId="6BE7BE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05006462">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443655FC">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6FD95718">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57B5617A">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27F5DA2F">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6A7001DD">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7EA0CD23">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68EBAACE">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30096E4F">
            <w:pPr>
              <w:topLinePunct/>
              <w:adjustRightInd w:val="0"/>
              <w:snapToGrid w:val="0"/>
              <w:spacing w:line="360" w:lineRule="auto"/>
              <w:jc w:val="center"/>
              <w:rPr>
                <w:rFonts w:ascii="宋体" w:hAnsi="宋体"/>
                <w:color w:val="auto"/>
                <w:highlight w:val="none"/>
              </w:rPr>
            </w:pPr>
          </w:p>
        </w:tc>
      </w:tr>
      <w:tr w14:paraId="7029C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692F0CEC">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4A00B678">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72101CB8">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6619F9E2">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7C795482">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7807A2D4">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0D5B2D48">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4D08FD65">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70114CB9">
            <w:pPr>
              <w:topLinePunct/>
              <w:adjustRightInd w:val="0"/>
              <w:snapToGrid w:val="0"/>
              <w:spacing w:line="360" w:lineRule="auto"/>
              <w:jc w:val="center"/>
              <w:rPr>
                <w:rFonts w:ascii="宋体" w:hAnsi="宋体"/>
                <w:color w:val="auto"/>
                <w:highlight w:val="none"/>
              </w:rPr>
            </w:pPr>
          </w:p>
        </w:tc>
      </w:tr>
      <w:tr w14:paraId="431A1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94" w:type="pct"/>
            <w:shd w:val="clear" w:color="auto" w:fill="auto"/>
            <w:tcMar>
              <w:left w:w="0" w:type="dxa"/>
              <w:right w:w="0" w:type="dxa"/>
            </w:tcMar>
            <w:vAlign w:val="center"/>
          </w:tcPr>
          <w:p w14:paraId="429141CF">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909" w:type="pct"/>
            <w:shd w:val="clear" w:color="auto" w:fill="auto"/>
            <w:tcMar>
              <w:left w:w="0" w:type="dxa"/>
              <w:right w:w="0" w:type="dxa"/>
            </w:tcMar>
            <w:vAlign w:val="center"/>
          </w:tcPr>
          <w:p w14:paraId="514EB133">
            <w:pPr>
              <w:topLinePunct/>
              <w:adjustRightInd w:val="0"/>
              <w:snapToGrid w:val="0"/>
              <w:spacing w:line="360" w:lineRule="auto"/>
              <w:jc w:val="center"/>
              <w:rPr>
                <w:rFonts w:ascii="宋体" w:hAnsi="宋体"/>
                <w:color w:val="auto"/>
                <w:highlight w:val="none"/>
              </w:rPr>
            </w:pPr>
          </w:p>
        </w:tc>
        <w:tc>
          <w:tcPr>
            <w:tcW w:w="618" w:type="pct"/>
            <w:shd w:val="clear" w:color="auto" w:fill="auto"/>
            <w:tcMar>
              <w:left w:w="0" w:type="dxa"/>
              <w:right w:w="0" w:type="dxa"/>
            </w:tcMar>
            <w:vAlign w:val="center"/>
          </w:tcPr>
          <w:p w14:paraId="5861DE9D">
            <w:pPr>
              <w:topLinePunct/>
              <w:adjustRightInd w:val="0"/>
              <w:snapToGrid w:val="0"/>
              <w:spacing w:line="360" w:lineRule="auto"/>
              <w:jc w:val="center"/>
              <w:rPr>
                <w:rFonts w:ascii="宋体" w:hAnsi="宋体"/>
                <w:color w:val="auto"/>
                <w:highlight w:val="none"/>
              </w:rPr>
            </w:pPr>
          </w:p>
        </w:tc>
        <w:tc>
          <w:tcPr>
            <w:tcW w:w="377" w:type="pct"/>
            <w:shd w:val="clear" w:color="auto" w:fill="auto"/>
            <w:tcMar>
              <w:left w:w="0" w:type="dxa"/>
              <w:right w:w="0" w:type="dxa"/>
            </w:tcMar>
            <w:vAlign w:val="center"/>
          </w:tcPr>
          <w:p w14:paraId="46BD6B08">
            <w:pPr>
              <w:topLinePunct/>
              <w:adjustRightInd w:val="0"/>
              <w:snapToGrid w:val="0"/>
              <w:spacing w:line="360" w:lineRule="auto"/>
              <w:jc w:val="center"/>
              <w:rPr>
                <w:rFonts w:ascii="宋体" w:hAnsi="宋体"/>
                <w:color w:val="auto"/>
                <w:highlight w:val="none"/>
              </w:rPr>
            </w:pPr>
          </w:p>
        </w:tc>
        <w:tc>
          <w:tcPr>
            <w:tcW w:w="304" w:type="pct"/>
            <w:shd w:val="clear" w:color="auto" w:fill="auto"/>
            <w:tcMar>
              <w:left w:w="0" w:type="dxa"/>
              <w:right w:w="0" w:type="dxa"/>
            </w:tcMar>
            <w:vAlign w:val="center"/>
          </w:tcPr>
          <w:p w14:paraId="0E76808A">
            <w:pPr>
              <w:topLinePunct/>
              <w:adjustRightInd w:val="0"/>
              <w:snapToGrid w:val="0"/>
              <w:spacing w:line="360" w:lineRule="auto"/>
              <w:jc w:val="center"/>
              <w:rPr>
                <w:rFonts w:ascii="宋体" w:hAnsi="宋体"/>
                <w:color w:val="auto"/>
                <w:highlight w:val="none"/>
              </w:rPr>
            </w:pPr>
          </w:p>
        </w:tc>
        <w:tc>
          <w:tcPr>
            <w:tcW w:w="706" w:type="pct"/>
            <w:shd w:val="clear" w:color="auto" w:fill="auto"/>
            <w:tcMar>
              <w:left w:w="0" w:type="dxa"/>
              <w:right w:w="0" w:type="dxa"/>
            </w:tcMar>
            <w:vAlign w:val="center"/>
          </w:tcPr>
          <w:p w14:paraId="76C65935">
            <w:pPr>
              <w:topLinePunct/>
              <w:adjustRightInd w:val="0"/>
              <w:snapToGrid w:val="0"/>
              <w:spacing w:line="360" w:lineRule="auto"/>
              <w:jc w:val="center"/>
              <w:rPr>
                <w:rFonts w:ascii="宋体" w:hAnsi="宋体"/>
                <w:color w:val="auto"/>
                <w:highlight w:val="none"/>
              </w:rPr>
            </w:pPr>
          </w:p>
        </w:tc>
        <w:tc>
          <w:tcPr>
            <w:tcW w:w="443" w:type="pct"/>
            <w:shd w:val="clear" w:color="auto" w:fill="auto"/>
            <w:tcMar>
              <w:left w:w="0" w:type="dxa"/>
              <w:right w:w="0" w:type="dxa"/>
            </w:tcMar>
            <w:vAlign w:val="center"/>
          </w:tcPr>
          <w:p w14:paraId="2E2E4B82">
            <w:pPr>
              <w:topLinePunct/>
              <w:adjustRightInd w:val="0"/>
              <w:snapToGrid w:val="0"/>
              <w:spacing w:line="360" w:lineRule="auto"/>
              <w:jc w:val="center"/>
              <w:rPr>
                <w:rFonts w:ascii="宋体" w:hAnsi="宋体"/>
                <w:color w:val="auto"/>
                <w:highlight w:val="none"/>
              </w:rPr>
            </w:pPr>
          </w:p>
        </w:tc>
        <w:tc>
          <w:tcPr>
            <w:tcW w:w="544" w:type="pct"/>
            <w:shd w:val="clear" w:color="auto" w:fill="auto"/>
            <w:tcMar>
              <w:left w:w="0" w:type="dxa"/>
              <w:right w:w="0" w:type="dxa"/>
            </w:tcMar>
            <w:vAlign w:val="center"/>
          </w:tcPr>
          <w:p w14:paraId="04D281A3">
            <w:pPr>
              <w:topLinePunct/>
              <w:adjustRightInd w:val="0"/>
              <w:snapToGrid w:val="0"/>
              <w:spacing w:line="360" w:lineRule="auto"/>
              <w:jc w:val="center"/>
              <w:rPr>
                <w:rFonts w:ascii="宋体" w:hAnsi="宋体"/>
                <w:color w:val="auto"/>
                <w:highlight w:val="none"/>
              </w:rPr>
            </w:pPr>
          </w:p>
        </w:tc>
        <w:tc>
          <w:tcPr>
            <w:tcW w:w="704" w:type="pct"/>
            <w:shd w:val="clear" w:color="auto" w:fill="auto"/>
            <w:tcMar>
              <w:left w:w="0" w:type="dxa"/>
              <w:right w:w="0" w:type="dxa"/>
            </w:tcMar>
            <w:vAlign w:val="center"/>
          </w:tcPr>
          <w:p w14:paraId="7C564C64">
            <w:pPr>
              <w:topLinePunct/>
              <w:adjustRightInd w:val="0"/>
              <w:snapToGrid w:val="0"/>
              <w:spacing w:line="360" w:lineRule="auto"/>
              <w:jc w:val="center"/>
              <w:rPr>
                <w:rFonts w:ascii="宋体" w:hAnsi="宋体"/>
                <w:color w:val="auto"/>
                <w:highlight w:val="none"/>
              </w:rPr>
            </w:pPr>
          </w:p>
        </w:tc>
      </w:tr>
    </w:tbl>
    <w:p w14:paraId="2832DECF">
      <w:pPr>
        <w:widowControl/>
        <w:adjustRightInd w:val="0"/>
        <w:spacing w:line="420" w:lineRule="auto"/>
        <w:jc w:val="left"/>
        <w:rPr>
          <w:rFonts w:hint="eastAsia" w:ascii="宋体" w:hAnsi="宋体" w:eastAsia="宋体" w:cs="宋体"/>
          <w:color w:val="auto"/>
          <w:sz w:val="24"/>
          <w:szCs w:val="24"/>
          <w:highlight w:val="none"/>
        </w:rPr>
      </w:pPr>
    </w:p>
    <w:p w14:paraId="23A7F03C">
      <w:pPr>
        <w:widowControl/>
        <w:adjustRightInd w:val="0"/>
        <w:spacing w:line="420"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供应商名称：（盖章）</w:t>
      </w:r>
    </w:p>
    <w:p w14:paraId="6091B063">
      <w:pPr>
        <w:topLinePunct/>
        <w:adjustRightInd w:val="0"/>
        <w:snapToGrid w:val="0"/>
        <w:spacing w:line="360" w:lineRule="auto"/>
        <w:jc w:val="left"/>
        <w:outlineLvl w:val="3"/>
        <w:rPr>
          <w:rFonts w:hint="eastAsia" w:ascii="宋体" w:hAnsi="宋体" w:eastAsia="宋体" w:cs="宋体"/>
          <w:b/>
          <w:color w:val="auto"/>
          <w:sz w:val="24"/>
          <w:szCs w:val="24"/>
          <w:highlight w:val="none"/>
        </w:rPr>
      </w:pPr>
      <w:bookmarkStart w:id="35" w:name="_Toc94108792"/>
    </w:p>
    <w:p w14:paraId="14131C2C">
      <w:pPr>
        <w:topLinePunct/>
        <w:adjustRightInd w:val="0"/>
        <w:snapToGrid w:val="0"/>
        <w:spacing w:line="360" w:lineRule="auto"/>
        <w:jc w:val="left"/>
        <w:outlineLvl w:val="3"/>
        <w:rPr>
          <w:rFonts w:hint="eastAsia" w:ascii="宋体" w:hAnsi="宋体" w:eastAsia="宋体" w:cs="宋体"/>
          <w:b/>
          <w:color w:val="auto"/>
          <w:sz w:val="24"/>
          <w:szCs w:val="24"/>
          <w:highlight w:val="none"/>
        </w:rPr>
      </w:pPr>
    </w:p>
    <w:p w14:paraId="38F9B7D5">
      <w:pPr>
        <w:topLinePunct/>
        <w:adjustRightInd w:val="0"/>
        <w:snapToGrid w:val="0"/>
        <w:spacing w:line="360" w:lineRule="auto"/>
        <w:jc w:val="left"/>
        <w:outlineLvl w:val="3"/>
        <w:rPr>
          <w:rFonts w:ascii="宋体" w:hAnsi="宋体" w:cs="宋体"/>
          <w:color w:val="auto"/>
          <w:sz w:val="28"/>
          <w:highlight w:val="none"/>
        </w:rPr>
      </w:pPr>
      <w:r>
        <w:rPr>
          <w:rFonts w:hint="eastAsia" w:ascii="宋体" w:hAnsi="宋体" w:eastAsia="宋体" w:cs="宋体"/>
          <w:b/>
          <w:color w:val="auto"/>
          <w:sz w:val="24"/>
          <w:szCs w:val="24"/>
          <w:highlight w:val="none"/>
        </w:rPr>
        <w:t>（二）</w:t>
      </w:r>
      <w:bookmarkEnd w:id="35"/>
      <w:r>
        <w:rPr>
          <w:rFonts w:ascii="宋体" w:hAnsi="宋体" w:cs="宋体"/>
          <w:color w:val="auto"/>
          <w:sz w:val="28"/>
          <w:highlight w:val="none"/>
        </w:rPr>
        <w:t>主要人员简历表</w:t>
      </w:r>
    </w:p>
    <w:tbl>
      <w:tblPr>
        <w:tblStyle w:val="25"/>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158"/>
        <w:gridCol w:w="348"/>
        <w:gridCol w:w="676"/>
        <w:gridCol w:w="935"/>
        <w:gridCol w:w="1042"/>
        <w:gridCol w:w="688"/>
        <w:gridCol w:w="1230"/>
        <w:gridCol w:w="395"/>
        <w:gridCol w:w="1851"/>
      </w:tblGrid>
      <w:tr w14:paraId="2BFCD6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319D3733">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姓</w:t>
            </w:r>
            <w:r>
              <w:rPr>
                <w:rFonts w:hint="eastAsia" w:ascii="宋体" w:hAnsi="宋体" w:cs="Calibri"/>
                <w:color w:val="auto"/>
                <w:highlight w:val="none"/>
              </w:rPr>
              <w:t xml:space="preserve">  </w:t>
            </w:r>
            <w:r>
              <w:rPr>
                <w:rFonts w:ascii="宋体" w:hAnsi="宋体" w:cs="宋体"/>
                <w:color w:val="auto"/>
                <w:highlight w:val="none"/>
              </w:rPr>
              <w:t>名</w:t>
            </w:r>
          </w:p>
        </w:tc>
        <w:tc>
          <w:tcPr>
            <w:tcW w:w="615" w:type="pct"/>
            <w:gridSpan w:val="2"/>
            <w:shd w:val="clear" w:color="auto" w:fill="auto"/>
            <w:tcMar>
              <w:left w:w="0" w:type="dxa"/>
              <w:right w:w="0" w:type="dxa"/>
            </w:tcMar>
            <w:vAlign w:val="center"/>
          </w:tcPr>
          <w:p w14:paraId="4E3D956D">
            <w:pPr>
              <w:topLinePunct/>
              <w:adjustRightInd w:val="0"/>
              <w:snapToGrid w:val="0"/>
              <w:spacing w:line="360" w:lineRule="auto"/>
              <w:jc w:val="center"/>
              <w:rPr>
                <w:rFonts w:ascii="宋体" w:hAnsi="宋体"/>
                <w:color w:val="auto"/>
                <w:highlight w:val="none"/>
              </w:rPr>
            </w:pPr>
          </w:p>
        </w:tc>
        <w:tc>
          <w:tcPr>
            <w:tcW w:w="562" w:type="pct"/>
            <w:shd w:val="clear" w:color="auto" w:fill="auto"/>
            <w:tcMar>
              <w:left w:w="0" w:type="dxa"/>
              <w:right w:w="0" w:type="dxa"/>
            </w:tcMar>
            <w:vAlign w:val="center"/>
          </w:tcPr>
          <w:p w14:paraId="74ABE4C4">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年龄</w:t>
            </w:r>
          </w:p>
        </w:tc>
        <w:tc>
          <w:tcPr>
            <w:tcW w:w="626" w:type="pct"/>
            <w:shd w:val="clear" w:color="auto" w:fill="auto"/>
            <w:tcMar>
              <w:left w:w="0" w:type="dxa"/>
              <w:right w:w="0" w:type="dxa"/>
            </w:tcMar>
            <w:vAlign w:val="center"/>
          </w:tcPr>
          <w:p w14:paraId="6AC71BF4">
            <w:pPr>
              <w:topLinePunct/>
              <w:adjustRightInd w:val="0"/>
              <w:snapToGrid w:val="0"/>
              <w:spacing w:line="360" w:lineRule="auto"/>
              <w:jc w:val="center"/>
              <w:rPr>
                <w:rFonts w:ascii="宋体" w:hAnsi="宋体"/>
                <w:color w:val="auto"/>
                <w:highlight w:val="none"/>
              </w:rPr>
            </w:pPr>
          </w:p>
        </w:tc>
        <w:tc>
          <w:tcPr>
            <w:tcW w:w="1389" w:type="pct"/>
            <w:gridSpan w:val="3"/>
            <w:shd w:val="clear" w:color="auto" w:fill="auto"/>
            <w:tcMar>
              <w:left w:w="0" w:type="dxa"/>
              <w:right w:w="0" w:type="dxa"/>
            </w:tcMar>
            <w:vAlign w:val="center"/>
          </w:tcPr>
          <w:p w14:paraId="2FB4FC0C">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执业资格证书（或上岗</w:t>
            </w:r>
          </w:p>
          <w:p w14:paraId="26768813">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证书）名称</w:t>
            </w:r>
          </w:p>
        </w:tc>
        <w:tc>
          <w:tcPr>
            <w:tcW w:w="1112" w:type="pct"/>
            <w:shd w:val="clear" w:color="auto" w:fill="auto"/>
            <w:tcMar>
              <w:left w:w="0" w:type="dxa"/>
              <w:right w:w="0" w:type="dxa"/>
            </w:tcMar>
            <w:vAlign w:val="center"/>
          </w:tcPr>
          <w:p w14:paraId="2B5BB6E6">
            <w:pPr>
              <w:topLinePunct/>
              <w:adjustRightInd w:val="0"/>
              <w:snapToGrid w:val="0"/>
              <w:spacing w:line="360" w:lineRule="auto"/>
              <w:jc w:val="center"/>
              <w:rPr>
                <w:rFonts w:ascii="宋体" w:hAnsi="宋体"/>
                <w:color w:val="auto"/>
                <w:highlight w:val="none"/>
              </w:rPr>
            </w:pPr>
          </w:p>
        </w:tc>
      </w:tr>
      <w:tr w14:paraId="40E79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0E9C7DAB">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职</w:t>
            </w:r>
            <w:r>
              <w:rPr>
                <w:rFonts w:hint="eastAsia" w:ascii="宋体" w:hAnsi="宋体" w:cs="Calibri"/>
                <w:color w:val="auto"/>
                <w:highlight w:val="none"/>
              </w:rPr>
              <w:t xml:space="preserve">  </w:t>
            </w:r>
            <w:r>
              <w:rPr>
                <w:rFonts w:ascii="宋体" w:hAnsi="宋体" w:cs="宋体"/>
                <w:color w:val="auto"/>
                <w:highlight w:val="none"/>
              </w:rPr>
              <w:t>称</w:t>
            </w:r>
          </w:p>
        </w:tc>
        <w:tc>
          <w:tcPr>
            <w:tcW w:w="615" w:type="pct"/>
            <w:gridSpan w:val="2"/>
            <w:shd w:val="clear" w:color="auto" w:fill="auto"/>
            <w:tcMar>
              <w:left w:w="0" w:type="dxa"/>
              <w:right w:w="0" w:type="dxa"/>
            </w:tcMar>
            <w:vAlign w:val="center"/>
          </w:tcPr>
          <w:p w14:paraId="1C73365B">
            <w:pPr>
              <w:topLinePunct/>
              <w:adjustRightInd w:val="0"/>
              <w:snapToGrid w:val="0"/>
              <w:spacing w:line="360" w:lineRule="auto"/>
              <w:jc w:val="center"/>
              <w:rPr>
                <w:rFonts w:ascii="宋体" w:hAnsi="宋体"/>
                <w:color w:val="auto"/>
                <w:highlight w:val="none"/>
              </w:rPr>
            </w:pPr>
          </w:p>
        </w:tc>
        <w:tc>
          <w:tcPr>
            <w:tcW w:w="562" w:type="pct"/>
            <w:shd w:val="clear" w:color="auto" w:fill="auto"/>
            <w:tcMar>
              <w:left w:w="0" w:type="dxa"/>
              <w:right w:w="0" w:type="dxa"/>
            </w:tcMar>
            <w:vAlign w:val="center"/>
          </w:tcPr>
          <w:p w14:paraId="43DE4451">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学历</w:t>
            </w:r>
          </w:p>
        </w:tc>
        <w:tc>
          <w:tcPr>
            <w:tcW w:w="626" w:type="pct"/>
            <w:shd w:val="clear" w:color="auto" w:fill="auto"/>
            <w:tcMar>
              <w:left w:w="0" w:type="dxa"/>
              <w:right w:w="0" w:type="dxa"/>
            </w:tcMar>
            <w:vAlign w:val="center"/>
          </w:tcPr>
          <w:p w14:paraId="292AE240">
            <w:pPr>
              <w:topLinePunct/>
              <w:adjustRightInd w:val="0"/>
              <w:snapToGrid w:val="0"/>
              <w:spacing w:line="360" w:lineRule="auto"/>
              <w:jc w:val="center"/>
              <w:rPr>
                <w:rFonts w:ascii="宋体" w:hAnsi="宋体"/>
                <w:color w:val="auto"/>
                <w:highlight w:val="none"/>
              </w:rPr>
            </w:pPr>
          </w:p>
        </w:tc>
        <w:tc>
          <w:tcPr>
            <w:tcW w:w="1389" w:type="pct"/>
            <w:gridSpan w:val="3"/>
            <w:shd w:val="clear" w:color="auto" w:fill="auto"/>
            <w:tcMar>
              <w:left w:w="0" w:type="dxa"/>
              <w:right w:w="0" w:type="dxa"/>
            </w:tcMar>
            <w:vAlign w:val="center"/>
          </w:tcPr>
          <w:p w14:paraId="24B68BF0">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拟在本项目任职</w:t>
            </w:r>
          </w:p>
        </w:tc>
        <w:tc>
          <w:tcPr>
            <w:tcW w:w="1112" w:type="pct"/>
            <w:shd w:val="clear" w:color="auto" w:fill="auto"/>
            <w:tcMar>
              <w:left w:w="0" w:type="dxa"/>
              <w:right w:w="0" w:type="dxa"/>
            </w:tcMar>
            <w:vAlign w:val="center"/>
          </w:tcPr>
          <w:p w14:paraId="48A39D67">
            <w:pPr>
              <w:topLinePunct/>
              <w:adjustRightInd w:val="0"/>
              <w:snapToGrid w:val="0"/>
              <w:spacing w:line="360" w:lineRule="auto"/>
              <w:jc w:val="center"/>
              <w:rPr>
                <w:rFonts w:ascii="宋体" w:hAnsi="宋体"/>
                <w:color w:val="auto"/>
                <w:highlight w:val="none"/>
              </w:rPr>
            </w:pPr>
          </w:p>
        </w:tc>
      </w:tr>
      <w:tr w14:paraId="3309D3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422AAE46">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工作年限</w:t>
            </w:r>
          </w:p>
        </w:tc>
        <w:tc>
          <w:tcPr>
            <w:tcW w:w="1803" w:type="pct"/>
            <w:gridSpan w:val="4"/>
            <w:shd w:val="clear" w:color="auto" w:fill="auto"/>
            <w:tcMar>
              <w:left w:w="0" w:type="dxa"/>
              <w:right w:w="0" w:type="dxa"/>
            </w:tcMar>
            <w:vAlign w:val="center"/>
          </w:tcPr>
          <w:p w14:paraId="46A9CD72">
            <w:pPr>
              <w:topLinePunct/>
              <w:adjustRightInd w:val="0"/>
              <w:snapToGrid w:val="0"/>
              <w:spacing w:line="360" w:lineRule="auto"/>
              <w:jc w:val="center"/>
              <w:rPr>
                <w:rFonts w:ascii="宋体" w:hAnsi="宋体"/>
                <w:color w:val="auto"/>
                <w:highlight w:val="none"/>
              </w:rPr>
            </w:pPr>
          </w:p>
        </w:tc>
        <w:tc>
          <w:tcPr>
            <w:tcW w:w="1389" w:type="pct"/>
            <w:gridSpan w:val="3"/>
            <w:shd w:val="clear" w:color="auto" w:fill="auto"/>
            <w:tcMar>
              <w:left w:w="0" w:type="dxa"/>
              <w:right w:w="0" w:type="dxa"/>
            </w:tcMar>
            <w:vAlign w:val="center"/>
          </w:tcPr>
          <w:p w14:paraId="533CFE1F">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从事设计工作年限</w:t>
            </w:r>
          </w:p>
        </w:tc>
        <w:tc>
          <w:tcPr>
            <w:tcW w:w="1112" w:type="pct"/>
            <w:shd w:val="clear" w:color="auto" w:fill="auto"/>
            <w:tcMar>
              <w:left w:w="0" w:type="dxa"/>
              <w:right w:w="0" w:type="dxa"/>
            </w:tcMar>
            <w:vAlign w:val="center"/>
          </w:tcPr>
          <w:p w14:paraId="182D2E5D">
            <w:pPr>
              <w:topLinePunct/>
              <w:adjustRightInd w:val="0"/>
              <w:snapToGrid w:val="0"/>
              <w:spacing w:line="360" w:lineRule="auto"/>
              <w:jc w:val="center"/>
              <w:rPr>
                <w:rFonts w:ascii="宋体" w:hAnsi="宋体"/>
                <w:color w:val="auto"/>
                <w:highlight w:val="none"/>
              </w:rPr>
            </w:pPr>
          </w:p>
        </w:tc>
      </w:tr>
      <w:tr w14:paraId="39872B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696" w:type="pct"/>
            <w:shd w:val="clear" w:color="auto" w:fill="auto"/>
            <w:tcMar>
              <w:left w:w="0" w:type="dxa"/>
              <w:right w:w="0" w:type="dxa"/>
            </w:tcMar>
            <w:vAlign w:val="center"/>
          </w:tcPr>
          <w:p w14:paraId="717BEFFC">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毕业学校</w:t>
            </w:r>
          </w:p>
        </w:tc>
        <w:tc>
          <w:tcPr>
            <w:tcW w:w="4304" w:type="pct"/>
            <w:gridSpan w:val="8"/>
            <w:shd w:val="clear" w:color="auto" w:fill="auto"/>
            <w:tcMar>
              <w:left w:w="0" w:type="dxa"/>
              <w:right w:w="0" w:type="dxa"/>
            </w:tcMar>
            <w:vAlign w:val="center"/>
          </w:tcPr>
          <w:p w14:paraId="07A7BEC8">
            <w:pPr>
              <w:topLinePunct/>
              <w:adjustRightInd w:val="0"/>
              <w:snapToGrid w:val="0"/>
              <w:spacing w:line="360" w:lineRule="auto"/>
              <w:rPr>
                <w:rFonts w:ascii="宋体" w:hAnsi="宋体"/>
                <w:color w:val="auto"/>
                <w:highlight w:val="none"/>
              </w:rPr>
            </w:pPr>
            <w:r>
              <w:rPr>
                <w:rFonts w:hint="eastAsia" w:ascii="宋体" w:hAnsi="宋体" w:cs="宋体"/>
                <w:color w:val="auto"/>
                <w:highlight w:val="none"/>
              </w:rPr>
              <w:t xml:space="preserve">          </w:t>
            </w:r>
            <w:r>
              <w:rPr>
                <w:rFonts w:ascii="宋体" w:hAnsi="宋体" w:cs="宋体"/>
                <w:color w:val="auto"/>
                <w:highlight w:val="none"/>
              </w:rPr>
              <w:t>年毕业于</w:t>
            </w:r>
            <w:r>
              <w:rPr>
                <w:rFonts w:hint="eastAsia" w:ascii="宋体" w:hAnsi="宋体" w:cs="Calibri"/>
                <w:color w:val="auto"/>
                <w:highlight w:val="none"/>
              </w:rPr>
              <w:t xml:space="preserve">                </w:t>
            </w:r>
            <w:r>
              <w:rPr>
                <w:rFonts w:ascii="宋体" w:hAnsi="宋体" w:cs="宋体"/>
                <w:color w:val="auto"/>
                <w:highlight w:val="none"/>
              </w:rPr>
              <w:t>学校</w:t>
            </w:r>
            <w:r>
              <w:rPr>
                <w:rFonts w:hint="eastAsia" w:ascii="宋体" w:hAnsi="宋体" w:cs="Calibri"/>
                <w:color w:val="auto"/>
                <w:highlight w:val="none"/>
              </w:rPr>
              <w:t xml:space="preserve">                </w:t>
            </w:r>
            <w:r>
              <w:rPr>
                <w:rFonts w:ascii="宋体" w:hAnsi="宋体" w:cs="宋体"/>
                <w:color w:val="auto"/>
                <w:highlight w:val="none"/>
              </w:rPr>
              <w:t>专业</w:t>
            </w:r>
          </w:p>
        </w:tc>
      </w:tr>
      <w:tr w14:paraId="2EF93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5000" w:type="pct"/>
            <w:gridSpan w:val="9"/>
            <w:shd w:val="clear" w:color="auto" w:fill="auto"/>
            <w:tcMar>
              <w:left w:w="0" w:type="dxa"/>
              <w:right w:w="0" w:type="dxa"/>
            </w:tcMar>
            <w:vAlign w:val="center"/>
          </w:tcPr>
          <w:p w14:paraId="602365F0">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主要工作经历</w:t>
            </w:r>
          </w:p>
        </w:tc>
      </w:tr>
      <w:tr w14:paraId="04038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6E6CD2F1">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时</w:t>
            </w:r>
            <w:r>
              <w:rPr>
                <w:rFonts w:hint="eastAsia" w:ascii="宋体" w:hAnsi="宋体" w:cs="Calibri"/>
                <w:color w:val="auto"/>
                <w:highlight w:val="none"/>
              </w:rPr>
              <w:t xml:space="preserve">  </w:t>
            </w:r>
            <w:r>
              <w:rPr>
                <w:rFonts w:ascii="宋体" w:hAnsi="宋体" w:cs="宋体"/>
                <w:color w:val="auto"/>
                <w:highlight w:val="none"/>
              </w:rPr>
              <w:t>间</w:t>
            </w:r>
          </w:p>
        </w:tc>
        <w:tc>
          <w:tcPr>
            <w:tcW w:w="2007" w:type="pct"/>
            <w:gridSpan w:val="4"/>
            <w:shd w:val="clear" w:color="auto" w:fill="auto"/>
            <w:tcMar>
              <w:left w:w="0" w:type="dxa"/>
              <w:right w:w="0" w:type="dxa"/>
            </w:tcMar>
            <w:vAlign w:val="center"/>
          </w:tcPr>
          <w:p w14:paraId="300097E8">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参加过的类似项目</w:t>
            </w:r>
          </w:p>
        </w:tc>
        <w:tc>
          <w:tcPr>
            <w:tcW w:w="739" w:type="pct"/>
            <w:shd w:val="clear" w:color="auto" w:fill="auto"/>
            <w:tcMar>
              <w:left w:w="0" w:type="dxa"/>
              <w:right w:w="0" w:type="dxa"/>
            </w:tcMar>
            <w:vAlign w:val="center"/>
          </w:tcPr>
          <w:p w14:paraId="2606E8CA">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担任职务</w:t>
            </w:r>
          </w:p>
        </w:tc>
        <w:tc>
          <w:tcPr>
            <w:tcW w:w="1349" w:type="pct"/>
            <w:gridSpan w:val="2"/>
            <w:shd w:val="clear" w:color="auto" w:fill="auto"/>
            <w:tcMar>
              <w:left w:w="0" w:type="dxa"/>
              <w:right w:w="0" w:type="dxa"/>
            </w:tcMar>
            <w:vAlign w:val="center"/>
          </w:tcPr>
          <w:p w14:paraId="2EE272F8">
            <w:pPr>
              <w:topLinePunct/>
              <w:adjustRightInd w:val="0"/>
              <w:snapToGrid w:val="0"/>
              <w:spacing w:line="360" w:lineRule="auto"/>
              <w:jc w:val="center"/>
              <w:rPr>
                <w:rFonts w:ascii="宋体" w:hAnsi="宋体"/>
                <w:color w:val="auto"/>
                <w:highlight w:val="none"/>
              </w:rPr>
            </w:pPr>
            <w:r>
              <w:rPr>
                <w:rFonts w:ascii="宋体" w:hAnsi="宋体" w:cs="宋体"/>
                <w:color w:val="auto"/>
                <w:highlight w:val="none"/>
              </w:rPr>
              <w:t>发包人及联系电话</w:t>
            </w:r>
          </w:p>
        </w:tc>
      </w:tr>
      <w:tr w14:paraId="7884B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194AC6B2">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732E52AC">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431259F1">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3AEABE62">
            <w:pPr>
              <w:topLinePunct/>
              <w:adjustRightInd w:val="0"/>
              <w:snapToGrid w:val="0"/>
              <w:spacing w:line="360" w:lineRule="auto"/>
              <w:jc w:val="center"/>
              <w:rPr>
                <w:rFonts w:ascii="宋体" w:hAnsi="宋体"/>
                <w:color w:val="auto"/>
                <w:highlight w:val="none"/>
              </w:rPr>
            </w:pPr>
          </w:p>
        </w:tc>
      </w:tr>
      <w:tr w14:paraId="67992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333A5AA4">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339B692A">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76E60EB6">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7EF55F42">
            <w:pPr>
              <w:topLinePunct/>
              <w:adjustRightInd w:val="0"/>
              <w:snapToGrid w:val="0"/>
              <w:spacing w:line="360" w:lineRule="auto"/>
              <w:jc w:val="center"/>
              <w:rPr>
                <w:rFonts w:ascii="宋体" w:hAnsi="宋体"/>
                <w:color w:val="auto"/>
                <w:highlight w:val="none"/>
              </w:rPr>
            </w:pPr>
          </w:p>
        </w:tc>
      </w:tr>
      <w:tr w14:paraId="2EEC3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2D42265A">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40B117CD">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7624F24D">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5F11B404">
            <w:pPr>
              <w:topLinePunct/>
              <w:adjustRightInd w:val="0"/>
              <w:snapToGrid w:val="0"/>
              <w:spacing w:line="360" w:lineRule="auto"/>
              <w:jc w:val="center"/>
              <w:rPr>
                <w:rFonts w:ascii="宋体" w:hAnsi="宋体"/>
                <w:color w:val="auto"/>
                <w:highlight w:val="none"/>
              </w:rPr>
            </w:pPr>
          </w:p>
        </w:tc>
      </w:tr>
      <w:tr w14:paraId="3E2CC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190A8288">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04C2733B">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2D0D947C">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6474D52C">
            <w:pPr>
              <w:topLinePunct/>
              <w:adjustRightInd w:val="0"/>
              <w:snapToGrid w:val="0"/>
              <w:spacing w:line="360" w:lineRule="auto"/>
              <w:jc w:val="center"/>
              <w:rPr>
                <w:rFonts w:ascii="宋体" w:hAnsi="宋体"/>
                <w:color w:val="auto"/>
                <w:highlight w:val="none"/>
              </w:rPr>
            </w:pPr>
          </w:p>
        </w:tc>
      </w:tr>
      <w:tr w14:paraId="2222C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7FFCCEB1">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300C5C94">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510CAE43">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6182F56A">
            <w:pPr>
              <w:topLinePunct/>
              <w:adjustRightInd w:val="0"/>
              <w:snapToGrid w:val="0"/>
              <w:spacing w:line="360" w:lineRule="auto"/>
              <w:jc w:val="center"/>
              <w:rPr>
                <w:rFonts w:ascii="宋体" w:hAnsi="宋体"/>
                <w:color w:val="auto"/>
                <w:highlight w:val="none"/>
              </w:rPr>
            </w:pPr>
          </w:p>
        </w:tc>
      </w:tr>
      <w:tr w14:paraId="11553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79558234">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379ED93F">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468634A2">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5CB002E2">
            <w:pPr>
              <w:topLinePunct/>
              <w:adjustRightInd w:val="0"/>
              <w:snapToGrid w:val="0"/>
              <w:spacing w:line="360" w:lineRule="auto"/>
              <w:jc w:val="center"/>
              <w:rPr>
                <w:rFonts w:ascii="宋体" w:hAnsi="宋体"/>
                <w:color w:val="auto"/>
                <w:highlight w:val="none"/>
              </w:rPr>
            </w:pPr>
          </w:p>
        </w:tc>
      </w:tr>
      <w:tr w14:paraId="4A3A41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5" w:type="pct"/>
            <w:gridSpan w:val="2"/>
            <w:shd w:val="clear" w:color="auto" w:fill="auto"/>
            <w:tcMar>
              <w:left w:w="0" w:type="dxa"/>
              <w:right w:w="0" w:type="dxa"/>
            </w:tcMar>
            <w:vAlign w:val="center"/>
          </w:tcPr>
          <w:p w14:paraId="4737A772">
            <w:pPr>
              <w:topLinePunct/>
              <w:adjustRightInd w:val="0"/>
              <w:snapToGrid w:val="0"/>
              <w:spacing w:line="360" w:lineRule="auto"/>
              <w:jc w:val="center"/>
              <w:rPr>
                <w:rFonts w:ascii="宋体" w:hAnsi="宋体"/>
                <w:color w:val="auto"/>
                <w:highlight w:val="none"/>
              </w:rPr>
            </w:pPr>
            <w:r>
              <w:rPr>
                <w:rFonts w:hint="eastAsia" w:ascii="宋体" w:hAnsi="宋体"/>
                <w:color w:val="auto"/>
                <w:highlight w:val="none"/>
              </w:rPr>
              <w:t>　</w:t>
            </w:r>
          </w:p>
        </w:tc>
        <w:tc>
          <w:tcPr>
            <w:tcW w:w="2007" w:type="pct"/>
            <w:gridSpan w:val="4"/>
            <w:shd w:val="clear" w:color="auto" w:fill="auto"/>
            <w:tcMar>
              <w:left w:w="0" w:type="dxa"/>
              <w:right w:w="0" w:type="dxa"/>
            </w:tcMar>
            <w:vAlign w:val="center"/>
          </w:tcPr>
          <w:p w14:paraId="18857861">
            <w:pPr>
              <w:topLinePunct/>
              <w:adjustRightInd w:val="0"/>
              <w:snapToGrid w:val="0"/>
              <w:spacing w:line="360" w:lineRule="auto"/>
              <w:jc w:val="center"/>
              <w:rPr>
                <w:rFonts w:ascii="宋体" w:hAnsi="宋体"/>
                <w:color w:val="auto"/>
                <w:highlight w:val="none"/>
              </w:rPr>
            </w:pPr>
          </w:p>
        </w:tc>
        <w:tc>
          <w:tcPr>
            <w:tcW w:w="739" w:type="pct"/>
            <w:shd w:val="clear" w:color="auto" w:fill="auto"/>
            <w:tcMar>
              <w:left w:w="0" w:type="dxa"/>
              <w:right w:w="0" w:type="dxa"/>
            </w:tcMar>
            <w:vAlign w:val="center"/>
          </w:tcPr>
          <w:p w14:paraId="791AFC9B">
            <w:pPr>
              <w:topLinePunct/>
              <w:adjustRightInd w:val="0"/>
              <w:snapToGrid w:val="0"/>
              <w:spacing w:line="360" w:lineRule="auto"/>
              <w:jc w:val="center"/>
              <w:rPr>
                <w:rFonts w:ascii="宋体" w:hAnsi="宋体"/>
                <w:color w:val="auto"/>
                <w:highlight w:val="none"/>
              </w:rPr>
            </w:pPr>
          </w:p>
        </w:tc>
        <w:tc>
          <w:tcPr>
            <w:tcW w:w="1349" w:type="pct"/>
            <w:gridSpan w:val="2"/>
            <w:shd w:val="clear" w:color="auto" w:fill="auto"/>
            <w:tcMar>
              <w:left w:w="0" w:type="dxa"/>
              <w:right w:w="0" w:type="dxa"/>
            </w:tcMar>
            <w:vAlign w:val="center"/>
          </w:tcPr>
          <w:p w14:paraId="3864D6C3">
            <w:pPr>
              <w:topLinePunct/>
              <w:adjustRightInd w:val="0"/>
              <w:snapToGrid w:val="0"/>
              <w:spacing w:line="360" w:lineRule="auto"/>
              <w:jc w:val="center"/>
              <w:rPr>
                <w:rFonts w:ascii="宋体" w:hAnsi="宋体"/>
                <w:color w:val="auto"/>
                <w:highlight w:val="none"/>
              </w:rPr>
            </w:pPr>
          </w:p>
        </w:tc>
      </w:tr>
    </w:tbl>
    <w:p w14:paraId="4B28F7C8">
      <w:pPr>
        <w:widowControl/>
        <w:adjustRightInd w:val="0"/>
        <w:spacing w:line="420" w:lineRule="auto"/>
        <w:jc w:val="left"/>
        <w:rPr>
          <w:rFonts w:hint="eastAsia" w:ascii="宋体" w:hAnsi="宋体" w:eastAsia="宋体" w:cs="宋体"/>
          <w:color w:val="auto"/>
          <w:sz w:val="24"/>
          <w:szCs w:val="24"/>
          <w:highlight w:val="none"/>
        </w:rPr>
      </w:pPr>
    </w:p>
    <w:p w14:paraId="521829C9">
      <w:pPr>
        <w:widowControl/>
        <w:adjustRightInd w:val="0"/>
        <w:spacing w:line="42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说明：如果行数不够，请自行增加。</w:t>
      </w:r>
    </w:p>
    <w:p w14:paraId="50FF9AAD">
      <w:pPr>
        <w:widowControl/>
        <w:adjustRightInd w:val="0"/>
        <w:spacing w:line="42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供应商名称：（盖章）</w:t>
      </w:r>
    </w:p>
    <w:p w14:paraId="6966E277">
      <w:pPr>
        <w:rPr>
          <w:rFonts w:hint="eastAsia" w:ascii="宋体" w:hAnsi="宋体" w:eastAsia="宋体" w:cs="宋体"/>
          <w:color w:val="auto"/>
          <w:highlight w:val="none"/>
        </w:rPr>
      </w:pPr>
    </w:p>
    <w:p w14:paraId="12186D58">
      <w:pPr>
        <w:rPr>
          <w:rFonts w:hint="eastAsia" w:ascii="宋体" w:hAnsi="宋体" w:eastAsia="宋体" w:cs="宋体"/>
          <w:color w:val="auto"/>
          <w:highlight w:val="none"/>
          <w:lang w:val="en-US" w:eastAsia="zh-CN"/>
        </w:rPr>
        <w:sectPr>
          <w:pgSz w:w="11906" w:h="16838"/>
          <w:pgMar w:top="1440" w:right="1800" w:bottom="1440" w:left="1800" w:header="851" w:footer="992" w:gutter="0"/>
          <w:pgNumType w:fmt="decimal"/>
          <w:cols w:space="425" w:num="1"/>
          <w:docGrid w:type="lines" w:linePitch="312" w:charSpace="0"/>
        </w:sectPr>
      </w:pPr>
    </w:p>
    <w:p w14:paraId="52DEC14B">
      <w:pPr>
        <w:pageBreakBefore/>
        <w:spacing w:line="360" w:lineRule="auto"/>
        <w:outlineLvl w:val="9"/>
        <w:rPr>
          <w:rFonts w:hint="eastAsia" w:ascii="宋体" w:hAnsi="宋体" w:eastAsia="宋体" w:cs="宋体"/>
          <w:b/>
          <w:color w:val="auto"/>
          <w:sz w:val="29"/>
          <w:highlight w:val="none"/>
        </w:rPr>
      </w:pPr>
      <w:r>
        <w:rPr>
          <w:rFonts w:hint="eastAsia" w:ascii="宋体" w:hAnsi="宋体" w:eastAsia="宋体" w:cs="宋体"/>
          <w:b/>
          <w:color w:val="auto"/>
          <w:highlight w:val="none"/>
        </w:rPr>
        <w:t>目录</w:t>
      </w:r>
      <w:r>
        <w:rPr>
          <w:rFonts w:hint="eastAsia" w:ascii="宋体" w:hAnsi="宋体" w:eastAsia="宋体" w:cs="宋体"/>
          <w:b/>
          <w:color w:val="auto"/>
          <w:highlight w:val="none"/>
          <w:lang w:val="en-US" w:eastAsia="zh-CN"/>
        </w:rPr>
        <w:t>八</w:t>
      </w:r>
      <w:r>
        <w:rPr>
          <w:rFonts w:hint="eastAsia" w:ascii="宋体" w:hAnsi="宋体" w:eastAsia="宋体" w:cs="宋体"/>
          <w:b/>
          <w:color w:val="auto"/>
          <w:highlight w:val="none"/>
        </w:rPr>
        <w:t>、类似业绩情况表格式</w:t>
      </w: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310"/>
        <w:gridCol w:w="2257"/>
        <w:gridCol w:w="1255"/>
        <w:gridCol w:w="1418"/>
        <w:gridCol w:w="1134"/>
        <w:gridCol w:w="969"/>
      </w:tblGrid>
      <w:tr w14:paraId="09870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center"/>
          </w:tcPr>
          <w:p w14:paraId="53478F6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310" w:type="dxa"/>
            <w:noWrap w:val="0"/>
            <w:vAlign w:val="center"/>
          </w:tcPr>
          <w:p w14:paraId="1728B858">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2257" w:type="dxa"/>
            <w:noWrap w:val="0"/>
            <w:vAlign w:val="center"/>
          </w:tcPr>
          <w:p w14:paraId="0C44AF4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采购单位</w:t>
            </w:r>
          </w:p>
        </w:tc>
        <w:tc>
          <w:tcPr>
            <w:tcW w:w="1255" w:type="dxa"/>
            <w:noWrap w:val="0"/>
            <w:vAlign w:val="center"/>
          </w:tcPr>
          <w:p w14:paraId="65C2558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w:t>
            </w:r>
          </w:p>
          <w:p w14:paraId="329131E9">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c>
          <w:tcPr>
            <w:tcW w:w="1418" w:type="dxa"/>
            <w:noWrap w:val="0"/>
            <w:vAlign w:val="top"/>
          </w:tcPr>
          <w:p w14:paraId="19B10E0E">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合同签定</w:t>
            </w:r>
          </w:p>
          <w:p w14:paraId="61475264">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p>
        </w:tc>
        <w:tc>
          <w:tcPr>
            <w:tcW w:w="1134" w:type="dxa"/>
            <w:noWrap w:val="0"/>
            <w:vAlign w:val="top"/>
          </w:tcPr>
          <w:p w14:paraId="7E24ED6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联系人及电话</w:t>
            </w:r>
          </w:p>
        </w:tc>
        <w:tc>
          <w:tcPr>
            <w:tcW w:w="969" w:type="dxa"/>
            <w:noWrap w:val="0"/>
            <w:vAlign w:val="center"/>
          </w:tcPr>
          <w:p w14:paraId="5C025E9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37FAF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1F6E754C">
            <w:pPr>
              <w:spacing w:line="360" w:lineRule="auto"/>
              <w:jc w:val="center"/>
              <w:rPr>
                <w:rFonts w:hint="eastAsia" w:ascii="宋体" w:hAnsi="宋体" w:eastAsia="宋体" w:cs="宋体"/>
                <w:color w:val="auto"/>
                <w:sz w:val="24"/>
                <w:szCs w:val="24"/>
                <w:highlight w:val="none"/>
              </w:rPr>
            </w:pPr>
          </w:p>
        </w:tc>
        <w:tc>
          <w:tcPr>
            <w:tcW w:w="2310" w:type="dxa"/>
            <w:noWrap w:val="0"/>
            <w:vAlign w:val="top"/>
          </w:tcPr>
          <w:p w14:paraId="69833CCF">
            <w:pPr>
              <w:spacing w:line="360" w:lineRule="auto"/>
              <w:jc w:val="center"/>
              <w:rPr>
                <w:rFonts w:hint="eastAsia" w:ascii="宋体" w:hAnsi="宋体" w:eastAsia="宋体" w:cs="宋体"/>
                <w:color w:val="auto"/>
                <w:sz w:val="24"/>
                <w:szCs w:val="24"/>
                <w:highlight w:val="none"/>
              </w:rPr>
            </w:pPr>
          </w:p>
        </w:tc>
        <w:tc>
          <w:tcPr>
            <w:tcW w:w="2257" w:type="dxa"/>
            <w:noWrap w:val="0"/>
            <w:vAlign w:val="top"/>
          </w:tcPr>
          <w:p w14:paraId="79CE78D6">
            <w:pPr>
              <w:spacing w:line="360" w:lineRule="auto"/>
              <w:ind w:firstLine="120" w:firstLineChars="50"/>
              <w:rPr>
                <w:rFonts w:hint="eastAsia" w:ascii="宋体" w:hAnsi="宋体" w:eastAsia="宋体" w:cs="宋体"/>
                <w:color w:val="auto"/>
                <w:sz w:val="24"/>
                <w:szCs w:val="24"/>
                <w:highlight w:val="none"/>
              </w:rPr>
            </w:pPr>
          </w:p>
        </w:tc>
        <w:tc>
          <w:tcPr>
            <w:tcW w:w="1255" w:type="dxa"/>
            <w:noWrap w:val="0"/>
            <w:vAlign w:val="top"/>
          </w:tcPr>
          <w:p w14:paraId="55EB5C73">
            <w:pPr>
              <w:spacing w:line="360" w:lineRule="auto"/>
              <w:jc w:val="center"/>
              <w:rPr>
                <w:rFonts w:hint="eastAsia" w:ascii="宋体" w:hAnsi="宋体" w:eastAsia="宋体" w:cs="宋体"/>
                <w:color w:val="auto"/>
                <w:sz w:val="24"/>
                <w:szCs w:val="24"/>
                <w:highlight w:val="none"/>
              </w:rPr>
            </w:pPr>
          </w:p>
        </w:tc>
        <w:tc>
          <w:tcPr>
            <w:tcW w:w="1418" w:type="dxa"/>
            <w:noWrap w:val="0"/>
            <w:vAlign w:val="top"/>
          </w:tcPr>
          <w:p w14:paraId="2D37FCCE">
            <w:pPr>
              <w:spacing w:line="360" w:lineRule="auto"/>
              <w:jc w:val="center"/>
              <w:rPr>
                <w:rFonts w:hint="eastAsia" w:ascii="宋体" w:hAnsi="宋体" w:eastAsia="宋体" w:cs="宋体"/>
                <w:color w:val="auto"/>
                <w:sz w:val="24"/>
                <w:szCs w:val="24"/>
                <w:highlight w:val="none"/>
              </w:rPr>
            </w:pPr>
          </w:p>
        </w:tc>
        <w:tc>
          <w:tcPr>
            <w:tcW w:w="1134" w:type="dxa"/>
            <w:noWrap w:val="0"/>
            <w:vAlign w:val="top"/>
          </w:tcPr>
          <w:p w14:paraId="3637A6ED">
            <w:pPr>
              <w:spacing w:line="360" w:lineRule="auto"/>
              <w:jc w:val="center"/>
              <w:rPr>
                <w:rFonts w:hint="eastAsia" w:ascii="宋体" w:hAnsi="宋体" w:eastAsia="宋体" w:cs="宋体"/>
                <w:color w:val="auto"/>
                <w:sz w:val="24"/>
                <w:szCs w:val="24"/>
                <w:highlight w:val="none"/>
              </w:rPr>
            </w:pPr>
          </w:p>
        </w:tc>
        <w:tc>
          <w:tcPr>
            <w:tcW w:w="969" w:type="dxa"/>
            <w:noWrap w:val="0"/>
            <w:vAlign w:val="top"/>
          </w:tcPr>
          <w:p w14:paraId="5499FA55">
            <w:pPr>
              <w:spacing w:line="360" w:lineRule="auto"/>
              <w:jc w:val="center"/>
              <w:rPr>
                <w:rFonts w:hint="eastAsia" w:ascii="宋体" w:hAnsi="宋体" w:eastAsia="宋体" w:cs="宋体"/>
                <w:color w:val="auto"/>
                <w:sz w:val="24"/>
                <w:szCs w:val="24"/>
                <w:highlight w:val="none"/>
              </w:rPr>
            </w:pPr>
          </w:p>
        </w:tc>
      </w:tr>
      <w:tr w14:paraId="7667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5BFAE0BD">
            <w:pPr>
              <w:spacing w:line="360" w:lineRule="auto"/>
              <w:jc w:val="center"/>
              <w:rPr>
                <w:rFonts w:hint="eastAsia" w:ascii="宋体" w:hAnsi="宋体" w:eastAsia="宋体" w:cs="宋体"/>
                <w:color w:val="auto"/>
                <w:sz w:val="24"/>
                <w:szCs w:val="24"/>
                <w:highlight w:val="none"/>
              </w:rPr>
            </w:pPr>
          </w:p>
        </w:tc>
        <w:tc>
          <w:tcPr>
            <w:tcW w:w="2310" w:type="dxa"/>
            <w:noWrap w:val="0"/>
            <w:vAlign w:val="top"/>
          </w:tcPr>
          <w:p w14:paraId="6BA48E44">
            <w:pPr>
              <w:spacing w:line="360" w:lineRule="auto"/>
              <w:jc w:val="center"/>
              <w:rPr>
                <w:rFonts w:hint="eastAsia" w:ascii="宋体" w:hAnsi="宋体" w:eastAsia="宋体" w:cs="宋体"/>
                <w:color w:val="auto"/>
                <w:sz w:val="24"/>
                <w:szCs w:val="24"/>
                <w:highlight w:val="none"/>
              </w:rPr>
            </w:pPr>
          </w:p>
        </w:tc>
        <w:tc>
          <w:tcPr>
            <w:tcW w:w="2257" w:type="dxa"/>
            <w:noWrap w:val="0"/>
            <w:vAlign w:val="top"/>
          </w:tcPr>
          <w:p w14:paraId="17C68ED6">
            <w:pPr>
              <w:spacing w:line="360" w:lineRule="auto"/>
              <w:jc w:val="center"/>
              <w:rPr>
                <w:rFonts w:hint="eastAsia" w:ascii="宋体" w:hAnsi="宋体" w:eastAsia="宋体" w:cs="宋体"/>
                <w:color w:val="auto"/>
                <w:sz w:val="24"/>
                <w:szCs w:val="24"/>
                <w:highlight w:val="none"/>
              </w:rPr>
            </w:pPr>
          </w:p>
        </w:tc>
        <w:tc>
          <w:tcPr>
            <w:tcW w:w="1255" w:type="dxa"/>
            <w:noWrap w:val="0"/>
            <w:vAlign w:val="top"/>
          </w:tcPr>
          <w:p w14:paraId="43EAD856">
            <w:pPr>
              <w:spacing w:line="360" w:lineRule="auto"/>
              <w:jc w:val="center"/>
              <w:rPr>
                <w:rFonts w:hint="eastAsia" w:ascii="宋体" w:hAnsi="宋体" w:eastAsia="宋体" w:cs="宋体"/>
                <w:color w:val="auto"/>
                <w:sz w:val="24"/>
                <w:szCs w:val="24"/>
                <w:highlight w:val="none"/>
              </w:rPr>
            </w:pPr>
          </w:p>
        </w:tc>
        <w:tc>
          <w:tcPr>
            <w:tcW w:w="1418" w:type="dxa"/>
            <w:noWrap w:val="0"/>
            <w:vAlign w:val="top"/>
          </w:tcPr>
          <w:p w14:paraId="0C61AE9F">
            <w:pPr>
              <w:spacing w:line="360" w:lineRule="auto"/>
              <w:jc w:val="center"/>
              <w:rPr>
                <w:rFonts w:hint="eastAsia" w:ascii="宋体" w:hAnsi="宋体" w:eastAsia="宋体" w:cs="宋体"/>
                <w:color w:val="auto"/>
                <w:sz w:val="24"/>
                <w:szCs w:val="24"/>
                <w:highlight w:val="none"/>
              </w:rPr>
            </w:pPr>
          </w:p>
        </w:tc>
        <w:tc>
          <w:tcPr>
            <w:tcW w:w="1134" w:type="dxa"/>
            <w:noWrap w:val="0"/>
            <w:vAlign w:val="top"/>
          </w:tcPr>
          <w:p w14:paraId="24935B43">
            <w:pPr>
              <w:spacing w:line="360" w:lineRule="auto"/>
              <w:jc w:val="center"/>
              <w:rPr>
                <w:rFonts w:hint="eastAsia" w:ascii="宋体" w:hAnsi="宋体" w:eastAsia="宋体" w:cs="宋体"/>
                <w:color w:val="auto"/>
                <w:sz w:val="24"/>
                <w:szCs w:val="24"/>
                <w:highlight w:val="none"/>
              </w:rPr>
            </w:pPr>
          </w:p>
        </w:tc>
        <w:tc>
          <w:tcPr>
            <w:tcW w:w="969" w:type="dxa"/>
            <w:noWrap w:val="0"/>
            <w:vAlign w:val="top"/>
          </w:tcPr>
          <w:p w14:paraId="26782289">
            <w:pPr>
              <w:spacing w:line="360" w:lineRule="auto"/>
              <w:jc w:val="center"/>
              <w:rPr>
                <w:rFonts w:hint="eastAsia" w:ascii="宋体" w:hAnsi="宋体" w:eastAsia="宋体" w:cs="宋体"/>
                <w:color w:val="auto"/>
                <w:sz w:val="24"/>
                <w:szCs w:val="24"/>
                <w:highlight w:val="none"/>
              </w:rPr>
            </w:pPr>
          </w:p>
        </w:tc>
      </w:tr>
      <w:tr w14:paraId="556D6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noWrap w:val="0"/>
            <w:vAlign w:val="top"/>
          </w:tcPr>
          <w:p w14:paraId="2D93FDA8">
            <w:pPr>
              <w:spacing w:line="360" w:lineRule="auto"/>
              <w:jc w:val="center"/>
              <w:rPr>
                <w:rFonts w:hint="eastAsia" w:ascii="宋体" w:hAnsi="宋体" w:eastAsia="宋体" w:cs="宋体"/>
                <w:color w:val="auto"/>
                <w:sz w:val="24"/>
                <w:szCs w:val="24"/>
                <w:highlight w:val="none"/>
              </w:rPr>
            </w:pPr>
          </w:p>
        </w:tc>
        <w:tc>
          <w:tcPr>
            <w:tcW w:w="2310" w:type="dxa"/>
            <w:noWrap w:val="0"/>
            <w:vAlign w:val="top"/>
          </w:tcPr>
          <w:p w14:paraId="196247BE">
            <w:pPr>
              <w:spacing w:line="360" w:lineRule="auto"/>
              <w:jc w:val="center"/>
              <w:rPr>
                <w:rFonts w:hint="eastAsia" w:ascii="宋体" w:hAnsi="宋体" w:eastAsia="宋体" w:cs="宋体"/>
                <w:color w:val="auto"/>
                <w:sz w:val="24"/>
                <w:szCs w:val="24"/>
                <w:highlight w:val="none"/>
              </w:rPr>
            </w:pPr>
          </w:p>
        </w:tc>
        <w:tc>
          <w:tcPr>
            <w:tcW w:w="2257" w:type="dxa"/>
            <w:noWrap w:val="0"/>
            <w:vAlign w:val="top"/>
          </w:tcPr>
          <w:p w14:paraId="6A8DA601">
            <w:pPr>
              <w:spacing w:line="360" w:lineRule="auto"/>
              <w:jc w:val="center"/>
              <w:rPr>
                <w:rFonts w:hint="eastAsia" w:ascii="宋体" w:hAnsi="宋体" w:eastAsia="宋体" w:cs="宋体"/>
                <w:color w:val="auto"/>
                <w:sz w:val="24"/>
                <w:szCs w:val="24"/>
                <w:highlight w:val="none"/>
              </w:rPr>
            </w:pPr>
          </w:p>
        </w:tc>
        <w:tc>
          <w:tcPr>
            <w:tcW w:w="1255" w:type="dxa"/>
            <w:noWrap w:val="0"/>
            <w:vAlign w:val="top"/>
          </w:tcPr>
          <w:p w14:paraId="63D054B2">
            <w:pPr>
              <w:spacing w:line="360" w:lineRule="auto"/>
              <w:jc w:val="center"/>
              <w:rPr>
                <w:rFonts w:hint="eastAsia" w:ascii="宋体" w:hAnsi="宋体" w:eastAsia="宋体" w:cs="宋体"/>
                <w:color w:val="auto"/>
                <w:sz w:val="24"/>
                <w:szCs w:val="24"/>
                <w:highlight w:val="none"/>
              </w:rPr>
            </w:pPr>
          </w:p>
        </w:tc>
        <w:tc>
          <w:tcPr>
            <w:tcW w:w="1418" w:type="dxa"/>
            <w:noWrap w:val="0"/>
            <w:vAlign w:val="top"/>
          </w:tcPr>
          <w:p w14:paraId="1FAEDDFF">
            <w:pPr>
              <w:spacing w:line="360" w:lineRule="auto"/>
              <w:jc w:val="center"/>
              <w:rPr>
                <w:rFonts w:hint="eastAsia" w:ascii="宋体" w:hAnsi="宋体" w:eastAsia="宋体" w:cs="宋体"/>
                <w:color w:val="auto"/>
                <w:sz w:val="24"/>
                <w:szCs w:val="24"/>
                <w:highlight w:val="none"/>
              </w:rPr>
            </w:pPr>
          </w:p>
        </w:tc>
        <w:tc>
          <w:tcPr>
            <w:tcW w:w="1134" w:type="dxa"/>
            <w:noWrap w:val="0"/>
            <w:vAlign w:val="top"/>
          </w:tcPr>
          <w:p w14:paraId="2A01254A">
            <w:pPr>
              <w:spacing w:line="360" w:lineRule="auto"/>
              <w:jc w:val="center"/>
              <w:rPr>
                <w:rFonts w:hint="eastAsia" w:ascii="宋体" w:hAnsi="宋体" w:eastAsia="宋体" w:cs="宋体"/>
                <w:color w:val="auto"/>
                <w:sz w:val="24"/>
                <w:szCs w:val="24"/>
                <w:highlight w:val="none"/>
              </w:rPr>
            </w:pPr>
          </w:p>
        </w:tc>
        <w:tc>
          <w:tcPr>
            <w:tcW w:w="969" w:type="dxa"/>
            <w:noWrap w:val="0"/>
            <w:vAlign w:val="top"/>
          </w:tcPr>
          <w:p w14:paraId="68AB3CB8">
            <w:pPr>
              <w:spacing w:line="360" w:lineRule="auto"/>
              <w:jc w:val="center"/>
              <w:rPr>
                <w:rFonts w:hint="eastAsia" w:ascii="宋体" w:hAnsi="宋体" w:eastAsia="宋体" w:cs="宋体"/>
                <w:color w:val="auto"/>
                <w:sz w:val="24"/>
                <w:szCs w:val="24"/>
                <w:highlight w:val="none"/>
              </w:rPr>
            </w:pPr>
          </w:p>
        </w:tc>
      </w:tr>
    </w:tbl>
    <w:p w14:paraId="5E286602">
      <w:pPr>
        <w:autoSpaceDE w:val="0"/>
        <w:autoSpaceDN w:val="0"/>
        <w:adjustRightIn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说明：供应商根据本格式要求如实填写业绩情况表，并附业绩合同复印件。</w:t>
      </w:r>
    </w:p>
    <w:p w14:paraId="74418C30">
      <w:pPr>
        <w:widowControl/>
        <w:adjustRightIn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供应商名称：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（盖章）</w:t>
      </w:r>
    </w:p>
    <w:p w14:paraId="113B2EA0">
      <w:pPr>
        <w:rPr>
          <w:rFonts w:hint="eastAsia" w:ascii="宋体" w:hAnsi="宋体" w:eastAsia="宋体" w:cs="宋体"/>
          <w:b/>
          <w:color w:val="auto"/>
          <w:highlight w:val="none"/>
        </w:rPr>
      </w:pPr>
    </w:p>
    <w:p w14:paraId="17562605">
      <w:pPr>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目录九、</w:t>
      </w:r>
      <w:r>
        <w:rPr>
          <w:rFonts w:hint="eastAsia" w:ascii="宋体" w:hAnsi="宋体" w:eastAsia="宋体" w:cs="宋体"/>
          <w:b/>
          <w:color w:val="auto"/>
          <w:highlight w:val="none"/>
        </w:rPr>
        <w:t>项目整体实施方案</w:t>
      </w:r>
    </w:p>
    <w:p w14:paraId="0B78345A">
      <w:pPr>
        <w:rPr>
          <w:rFonts w:hint="eastAsia" w:ascii="宋体" w:hAnsi="宋体" w:eastAsia="宋体" w:cs="宋体"/>
          <w:b/>
          <w:color w:val="auto"/>
          <w:highlight w:val="none"/>
        </w:rPr>
      </w:pPr>
    </w:p>
    <w:p w14:paraId="4FC238F7">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ab/>
      </w:r>
      <w:r>
        <w:rPr>
          <w:rFonts w:hint="eastAsia" w:ascii="宋体" w:hAnsi="宋体" w:eastAsia="宋体" w:cs="宋体"/>
          <w:color w:val="auto"/>
          <w:sz w:val="36"/>
          <w:highlight w:val="none"/>
        </w:rPr>
        <w:t>项目整体实施方案</w:t>
      </w:r>
    </w:p>
    <w:p w14:paraId="4325072C">
      <w:pPr>
        <w:rPr>
          <w:rFonts w:hint="eastAsia" w:ascii="宋体" w:hAnsi="宋体" w:eastAsia="宋体" w:cs="宋体"/>
          <w:color w:val="auto"/>
          <w:sz w:val="36"/>
          <w:highlight w:val="none"/>
        </w:rPr>
      </w:pPr>
    </w:p>
    <w:p w14:paraId="68508D89">
      <w:pPr>
        <w:rPr>
          <w:rFonts w:hint="eastAsia" w:ascii="宋体" w:hAnsi="宋体" w:eastAsia="宋体" w:cs="宋体"/>
          <w:color w:val="auto"/>
          <w:sz w:val="28"/>
          <w:highlight w:val="none"/>
        </w:rPr>
      </w:pPr>
    </w:p>
    <w:p w14:paraId="2ECE186B">
      <w:pPr>
        <w:widowControl/>
        <w:jc w:val="left"/>
        <w:rPr>
          <w:rFonts w:hint="eastAsia" w:ascii="宋体" w:hAnsi="宋体" w:eastAsia="宋体" w:cs="宋体"/>
          <w:color w:val="auto"/>
          <w:sz w:val="36"/>
          <w:highlight w:val="none"/>
        </w:rPr>
      </w:pPr>
      <w:r>
        <w:rPr>
          <w:rFonts w:hint="eastAsia" w:ascii="宋体" w:hAnsi="宋体" w:eastAsia="宋体" w:cs="宋体"/>
          <w:b/>
          <w:color w:val="auto"/>
          <w:highlight w:val="none"/>
        </w:rPr>
        <w:br w:type="page"/>
      </w:r>
    </w:p>
    <w:p w14:paraId="0D38744B">
      <w:pPr>
        <w:spacing w:line="360" w:lineRule="auto"/>
        <w:jc w:val="left"/>
        <w:rPr>
          <w:rFonts w:hint="eastAsia" w:ascii="宋体" w:hAnsi="宋体" w:eastAsia="宋体" w:cs="宋体"/>
          <w:b/>
          <w:color w:val="auto"/>
          <w:highlight w:val="none"/>
        </w:rPr>
      </w:pPr>
      <w:r>
        <w:rPr>
          <w:rFonts w:hint="eastAsia" w:ascii="宋体" w:hAnsi="宋体" w:eastAsia="宋体" w:cs="宋体"/>
          <w:b/>
          <w:color w:val="auto"/>
          <w:highlight w:val="none"/>
        </w:rPr>
        <w:t>目录</w:t>
      </w:r>
      <w:r>
        <w:rPr>
          <w:rFonts w:hint="eastAsia" w:ascii="宋体" w:hAnsi="宋体" w:eastAsia="宋体" w:cs="宋体"/>
          <w:b/>
          <w:color w:val="auto"/>
          <w:highlight w:val="none"/>
          <w:lang w:val="en-US" w:eastAsia="zh-CN"/>
        </w:rPr>
        <w:t>十</w:t>
      </w:r>
      <w:r>
        <w:rPr>
          <w:rFonts w:hint="eastAsia" w:ascii="宋体" w:hAnsi="宋体" w:eastAsia="宋体" w:cs="宋体"/>
          <w:b/>
          <w:color w:val="auto"/>
          <w:highlight w:val="none"/>
        </w:rPr>
        <w:t>、资格证明文件</w:t>
      </w:r>
    </w:p>
    <w:p w14:paraId="29B37052">
      <w:pPr>
        <w:spacing w:line="360" w:lineRule="auto"/>
        <w:jc w:val="center"/>
        <w:rPr>
          <w:rFonts w:hint="eastAsia" w:ascii="宋体" w:hAnsi="宋体" w:eastAsia="宋体" w:cs="宋体"/>
          <w:b/>
          <w:color w:val="auto"/>
          <w:sz w:val="32"/>
          <w:highlight w:val="none"/>
        </w:rPr>
      </w:pPr>
      <w:r>
        <w:rPr>
          <w:rFonts w:hint="eastAsia" w:ascii="宋体" w:hAnsi="宋体" w:eastAsia="宋体" w:cs="宋体"/>
          <w:b/>
          <w:color w:val="auto"/>
          <w:sz w:val="32"/>
          <w:highlight w:val="none"/>
        </w:rPr>
        <w:t>资格证明文件</w:t>
      </w:r>
    </w:p>
    <w:p w14:paraId="50B31D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1.满足《中华人民共和国政府采购法》第二十二条规定；</w:t>
      </w:r>
    </w:p>
    <w:p w14:paraId="3D2AF9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（1）具有独立承担民事责任的能力（提供法人或者其他组织的营业执照，自然人的身份证）；</w:t>
      </w:r>
    </w:p>
    <w:p w14:paraId="191173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（2）具有良好的商业信誉和健全的财务会计制度（提供参加本次政府采购活动上一年度</w:t>
      </w:r>
      <w:r>
        <w:rPr>
          <w:rFonts w:hint="eastAsia" w:ascii="宋体" w:hAnsi="宋体" w:eastAsia="宋体" w:cs="宋体"/>
          <w:color w:val="auto"/>
          <w:highlight w:val="none"/>
          <w:lang w:eastAsia="zh-CN"/>
        </w:rPr>
        <w:t>（或</w:t>
      </w:r>
      <w:r>
        <w:rPr>
          <w:rFonts w:hint="eastAsia" w:ascii="宋体" w:hAnsi="宋体" w:eastAsia="宋体" w:cs="宋体"/>
          <w:color w:val="auto"/>
          <w:highlight w:val="none"/>
          <w:lang w:val="en-US" w:eastAsia="zh-CN"/>
        </w:rPr>
        <w:t>2024年度</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的财务报表，或本次政府采购活动截止时间前六个月内银行出具的资信证明，或财政部门认可的政府采购专业担保机构出具的投标担保函。成立不满一年无需提供。）；</w:t>
      </w:r>
    </w:p>
    <w:p w14:paraId="292E19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（3）具有履行合同所必需的设备和专业技术能力（根据项目需求提供履行合同所必需的设备和专业技术能力的证明材料或相关加盖公章的声明函）；  </w:t>
      </w:r>
    </w:p>
    <w:p w14:paraId="4970DB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近半年内任意一个月的纳税证明文件（依法免缴的应提供相应文件说明）；并提供</w:t>
      </w:r>
      <w:r>
        <w:rPr>
          <w:rFonts w:hint="eastAsia" w:ascii="宋体" w:hAnsi="宋体" w:eastAsia="宋体" w:cs="宋体"/>
          <w:color w:val="auto"/>
          <w:highlight w:val="none"/>
          <w:lang w:eastAsia="zh-CN"/>
        </w:rPr>
        <w:t>投标截止时间前</w:t>
      </w:r>
      <w:r>
        <w:rPr>
          <w:rFonts w:hint="eastAsia" w:ascii="宋体" w:hAnsi="宋体" w:eastAsia="宋体" w:cs="宋体"/>
          <w:color w:val="auto"/>
          <w:highlight w:val="none"/>
        </w:rPr>
        <w:t>近半年内依法为员工缴纳社会保障资金的证明材料（任意一个月即可），证明材料可以是缴费的银行单据复印件、社保机构开具的证明（依法不需要缴纳社会保障资金的应提供相应文件说明））；</w:t>
      </w:r>
    </w:p>
    <w:p w14:paraId="5633377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（5）参加本次采购活动前三年内，在经营活动中没有重大违法记录（提供参加本次采购活动前三年内在经营活动中没有重大违法记录的书面声明）。</w:t>
      </w:r>
    </w:p>
    <w:p w14:paraId="1BC0977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（6）法律、行政法规规定的其他条件。（符合并提供承诺书加盖供应商公章编入响应文件中）。</w:t>
      </w:r>
    </w:p>
    <w:p w14:paraId="42D3CF6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（7）注：①第（5）条所称重大违法记录，是指供应商因违法经营受到刑事处罚或者责令停产停业、吊销许可证或者执照、较大数额罚款等行政处罚。</w:t>
      </w:r>
    </w:p>
    <w:p w14:paraId="0A25A8E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②供应商在参加政府采购活动前3年内因违法经营被禁止在一定期限内参加政府采购活动，期限届满的，可以参加政府采购活动。</w:t>
      </w:r>
    </w:p>
    <w:p w14:paraId="37CB77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落实政府采购政策需满足的资格要求：本项目为专门面向中小企业采购的项目。如为中小微型企业、监狱企业、残疾人福利性单位，提供的产品为国家认定的节能产品和环保产品的须按要求提供相关材料。非中小型企业参与本项目投标，将做无效标处理。</w:t>
      </w:r>
    </w:p>
    <w:p w14:paraId="3DF668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3.本项目的特定资格要求：</w:t>
      </w:r>
    </w:p>
    <w:p w14:paraId="4ED487F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（1）供应商资质等级及范围必须符合下列条件之一（提供资质证书复印件并加盖供应商公章）：</w:t>
      </w:r>
    </w:p>
    <w:p w14:paraId="2EF7C75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①工程设计综合</w:t>
      </w:r>
      <w:r>
        <w:rPr>
          <w:rFonts w:hint="eastAsia" w:ascii="宋体" w:hAnsi="宋体" w:eastAsia="宋体" w:cs="宋体"/>
          <w:color w:val="auto"/>
          <w:highlight w:val="none"/>
          <w:lang w:val="en-US" w:eastAsia="zh-CN"/>
        </w:rPr>
        <w:t>甲</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p>
    <w:p w14:paraId="0FC2742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②工程设计建筑行业</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p>
    <w:p w14:paraId="777FE6A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rPr>
        <w:t>③建筑行业（建筑工程）设计</w:t>
      </w:r>
      <w:r>
        <w:rPr>
          <w:rFonts w:hint="eastAsia" w:ascii="宋体" w:hAnsi="宋体" w:eastAsia="宋体" w:cs="宋体"/>
          <w:color w:val="auto"/>
          <w:highlight w:val="none"/>
          <w:lang w:val="en-US" w:eastAsia="zh-CN"/>
        </w:rPr>
        <w:t>乙</w:t>
      </w:r>
      <w:r>
        <w:rPr>
          <w:rFonts w:hint="eastAsia" w:ascii="宋体" w:hAnsi="宋体" w:eastAsia="宋体" w:cs="宋体"/>
          <w:color w:val="auto"/>
          <w:highlight w:val="none"/>
        </w:rPr>
        <w:t>级</w:t>
      </w:r>
      <w:r>
        <w:rPr>
          <w:rFonts w:hint="eastAsia" w:ascii="宋体" w:hAnsi="宋体" w:eastAsia="宋体" w:cs="宋体"/>
          <w:color w:val="auto"/>
          <w:highlight w:val="none"/>
          <w:lang w:val="en-US" w:eastAsia="zh-CN"/>
        </w:rPr>
        <w:t>（含）以上</w:t>
      </w:r>
      <w:r>
        <w:rPr>
          <w:rFonts w:hint="eastAsia" w:ascii="宋体" w:hAnsi="宋体" w:eastAsia="宋体" w:cs="宋体"/>
          <w:color w:val="auto"/>
          <w:highlight w:val="none"/>
        </w:rPr>
        <w:t>资质</w:t>
      </w:r>
      <w:r>
        <w:rPr>
          <w:rFonts w:hint="eastAsia" w:ascii="宋体" w:hAnsi="宋体" w:eastAsia="宋体" w:cs="宋体"/>
          <w:color w:val="auto"/>
          <w:highlight w:val="none"/>
          <w:lang w:eastAsia="zh-CN"/>
        </w:rPr>
        <w:t>。</w:t>
      </w:r>
    </w:p>
    <w:p w14:paraId="251DBC7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（2）供应商投入本项目的项目负责人资质类别和等级：具有</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rPr>
        <w:t>级</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含</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以上</w:t>
      </w:r>
      <w:r>
        <w:rPr>
          <w:rFonts w:hint="eastAsia" w:ascii="宋体" w:hAnsi="宋体" w:eastAsia="宋体" w:cs="宋体"/>
          <w:color w:val="auto"/>
          <w:highlight w:val="none"/>
        </w:rPr>
        <w:t>注册建筑师资格；（提供证书复印件并加盖供应</w:t>
      </w:r>
      <w:r>
        <w:rPr>
          <w:rFonts w:hint="eastAsia" w:ascii="宋体" w:hAnsi="宋体" w:eastAsia="宋体" w:cs="宋体"/>
          <w:color w:val="auto"/>
          <w:highlight w:val="none"/>
          <w:lang w:val="en-US" w:eastAsia="zh-CN"/>
        </w:rPr>
        <w:t>商公章）</w:t>
      </w:r>
    </w:p>
    <w:p w14:paraId="720E2DD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供应商需提供社保机构出具的近半年（2025年7月-2025年12月）投标申请人为其缴纳的养老保险缴费证明材料。（投标人为拟投入本工程项目负责人缴纳的养老保险缴费证明材料（须明确缴费月份、个人姓名、缴费单位,且加盖社保中心章或社保中心参保缴费证明电子专用章），若项目负责人属企业退休人员、现役军人等客观原因无法提供养老保险金缴费证明，退休人员必须出具退休证及劳务合同，若事业编制人员需要提供所在单位上级人事主管部门的人事证明材料）</w:t>
      </w:r>
      <w:r>
        <w:rPr>
          <w:rFonts w:hint="eastAsia" w:ascii="宋体" w:hAnsi="宋体" w:eastAsia="宋体" w:cs="宋体"/>
          <w:color w:val="auto"/>
          <w:highlight w:val="none"/>
        </w:rPr>
        <w:t>。</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提供证明材料复印件并加盖供应商公章</w:t>
      </w:r>
      <w:r>
        <w:rPr>
          <w:rFonts w:hint="eastAsia" w:ascii="宋体" w:hAnsi="宋体" w:eastAsia="宋体" w:cs="宋体"/>
          <w:color w:val="auto"/>
          <w:highlight w:val="none"/>
          <w:lang w:eastAsia="zh-CN"/>
        </w:rPr>
        <w:t>）</w:t>
      </w:r>
    </w:p>
    <w:p w14:paraId="52F5F5B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4.拒绝下述供应商参加本次采购活动：（提供承诺书加盖供应商公章编入投标文件中）</w:t>
      </w:r>
    </w:p>
    <w:p w14:paraId="4C78A6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（1）供应商单位负责人为同一人或者存在直接控股、管理关系的不同供应商，不得参加同一合同项下的采购活动。</w:t>
      </w:r>
    </w:p>
    <w:p w14:paraId="681EFF2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（2）凡为采购项目提供整体设计、规范编制或者项目管理、监理、检测等服务的供应商，不得再参加本项目的采购活动。</w:t>
      </w:r>
    </w:p>
    <w:p w14:paraId="6F71F75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（3）拒绝列入失信被执行人、重大税收违法失信主体、政府采购严重违法失信行为记录名单中的供应商参加本项目的采购活动。</w:t>
      </w:r>
    </w:p>
    <w:p w14:paraId="1B27DCB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注：采购人或代理机构通过 “信用中国”网站（www.creditchina.gov.cn）、“中国政府采购网”网站（www.ccgp.gov.cn）等渠道查询供应商信用记录并保存。</w:t>
      </w:r>
    </w:p>
    <w:p w14:paraId="6C160182">
      <w:pPr>
        <w:rPr>
          <w:rFonts w:hint="eastAsia" w:ascii="宋体" w:hAnsi="宋体" w:eastAsia="宋体" w:cs="宋体"/>
          <w:color w:val="auto"/>
          <w:highlight w:val="none"/>
          <w:lang w:eastAsia="zh-CN"/>
        </w:rPr>
      </w:pPr>
    </w:p>
    <w:p w14:paraId="0D3526B1">
      <w:pPr>
        <w:outlineLvl w:val="9"/>
        <w:rPr>
          <w:rFonts w:hint="eastAsia" w:ascii="宋体" w:hAnsi="宋体" w:eastAsia="宋体" w:cs="宋体"/>
          <w:color w:val="auto"/>
          <w:highlight w:val="none"/>
          <w:lang w:eastAsia="zh-CN"/>
        </w:rPr>
      </w:pPr>
    </w:p>
    <w:p w14:paraId="760819DD">
      <w:pPr>
        <w:outlineLvl w:val="9"/>
        <w:rPr>
          <w:rFonts w:hint="eastAsia" w:ascii="宋体" w:hAnsi="宋体" w:eastAsia="宋体" w:cs="宋体"/>
          <w:color w:val="auto"/>
          <w:highlight w:val="none"/>
          <w:lang w:eastAsia="zh-CN"/>
        </w:rPr>
      </w:pPr>
    </w:p>
    <w:p w14:paraId="25CBCDC0">
      <w:pPr>
        <w:outlineLvl w:val="9"/>
        <w:rPr>
          <w:rFonts w:hint="eastAsia" w:ascii="宋体" w:hAnsi="宋体" w:eastAsia="宋体" w:cs="宋体"/>
          <w:color w:val="auto"/>
          <w:highlight w:val="none"/>
          <w:lang w:eastAsia="zh-CN"/>
        </w:rPr>
      </w:pPr>
    </w:p>
    <w:p w14:paraId="2C05AD83">
      <w:pPr>
        <w:outlineLvl w:val="9"/>
        <w:rPr>
          <w:rFonts w:hint="eastAsia" w:ascii="宋体" w:hAnsi="宋体" w:eastAsia="宋体" w:cs="宋体"/>
          <w:color w:val="auto"/>
          <w:highlight w:val="none"/>
          <w:lang w:eastAsia="zh-CN"/>
        </w:rPr>
      </w:pPr>
    </w:p>
    <w:p w14:paraId="63FD78E2">
      <w:pPr>
        <w:outlineLvl w:val="9"/>
        <w:rPr>
          <w:rFonts w:hint="eastAsia" w:ascii="宋体" w:hAnsi="宋体" w:eastAsia="宋体" w:cs="宋体"/>
          <w:b/>
          <w:color w:val="auto"/>
          <w:highlight w:val="none"/>
        </w:rPr>
      </w:pPr>
    </w:p>
    <w:p w14:paraId="343A0CCE">
      <w:pPr>
        <w:outlineLvl w:val="9"/>
        <w:rPr>
          <w:rFonts w:hint="eastAsia" w:ascii="宋体" w:hAnsi="宋体" w:eastAsia="宋体" w:cs="宋体"/>
          <w:b/>
          <w:color w:val="auto"/>
          <w:highlight w:val="none"/>
        </w:rPr>
      </w:pPr>
    </w:p>
    <w:p w14:paraId="0AF5DE54">
      <w:pPr>
        <w:outlineLvl w:val="9"/>
        <w:rPr>
          <w:rFonts w:hint="eastAsia" w:ascii="宋体" w:hAnsi="宋体" w:eastAsia="宋体" w:cs="宋体"/>
          <w:b/>
          <w:color w:val="auto"/>
          <w:highlight w:val="none"/>
        </w:rPr>
      </w:pPr>
    </w:p>
    <w:p w14:paraId="1092C264">
      <w:pPr>
        <w:outlineLvl w:val="9"/>
        <w:rPr>
          <w:rFonts w:hint="eastAsia" w:ascii="宋体" w:hAnsi="宋体" w:eastAsia="宋体" w:cs="宋体"/>
          <w:b/>
          <w:color w:val="auto"/>
          <w:highlight w:val="none"/>
        </w:rPr>
        <w:sectPr>
          <w:pgSz w:w="11906" w:h="16838"/>
          <w:pgMar w:top="1440" w:right="1134" w:bottom="1440" w:left="1134" w:header="851" w:footer="992" w:gutter="0"/>
          <w:pgNumType w:fmt="decimal"/>
          <w:cols w:space="425" w:num="1"/>
          <w:docGrid w:type="lines" w:linePitch="312" w:charSpace="0"/>
        </w:sectPr>
      </w:pPr>
    </w:p>
    <w:p w14:paraId="51424DD5">
      <w:pPr>
        <w:rPr>
          <w:rFonts w:hint="eastAsia" w:ascii="宋体" w:hAnsi="宋体" w:eastAsia="宋体" w:cs="宋体"/>
          <w:b/>
          <w:color w:val="auto"/>
          <w:highlight w:val="none"/>
        </w:rPr>
      </w:pPr>
      <w:r>
        <w:rPr>
          <w:rFonts w:hint="eastAsia" w:ascii="宋体" w:hAnsi="宋体" w:eastAsia="宋体" w:cs="宋体"/>
          <w:b/>
          <w:color w:val="auto"/>
          <w:highlight w:val="none"/>
        </w:rPr>
        <w:t>目录</w:t>
      </w:r>
      <w:r>
        <w:rPr>
          <w:rFonts w:hint="eastAsia" w:ascii="宋体" w:hAnsi="宋体" w:eastAsia="宋体" w:cs="宋体"/>
          <w:b/>
          <w:color w:val="auto"/>
          <w:highlight w:val="none"/>
          <w:lang w:val="en-US" w:eastAsia="zh-CN"/>
        </w:rPr>
        <w:t>十一</w:t>
      </w:r>
      <w:r>
        <w:rPr>
          <w:rFonts w:hint="eastAsia" w:ascii="宋体" w:hAnsi="宋体" w:eastAsia="宋体" w:cs="宋体"/>
          <w:b/>
          <w:color w:val="auto"/>
          <w:highlight w:val="none"/>
        </w:rPr>
        <w:t>、投标需要的其他证明文件及材料</w:t>
      </w:r>
    </w:p>
    <w:p w14:paraId="0C0B01ED">
      <w:pPr>
        <w:rPr>
          <w:rFonts w:hint="eastAsia" w:ascii="宋体" w:hAnsi="宋体" w:eastAsia="宋体" w:cs="宋体"/>
          <w:b/>
          <w:color w:val="auto"/>
          <w:highlight w:val="none"/>
        </w:rPr>
      </w:pPr>
    </w:p>
    <w:p w14:paraId="5CB0FFE7">
      <w:pPr>
        <w:rPr>
          <w:rFonts w:hint="eastAsia" w:ascii="宋体" w:hAnsi="宋体" w:eastAsia="宋体" w:cs="宋体"/>
          <w:b/>
          <w:color w:val="auto"/>
          <w:highlight w:val="none"/>
        </w:rPr>
      </w:pPr>
    </w:p>
    <w:p w14:paraId="0D37320A">
      <w:pPr>
        <w:jc w:val="center"/>
        <w:rPr>
          <w:rFonts w:hint="eastAsia" w:ascii="宋体" w:hAnsi="宋体" w:eastAsia="宋体" w:cs="宋体"/>
          <w:color w:val="auto"/>
          <w:highlight w:val="none"/>
        </w:rPr>
      </w:pPr>
      <w:r>
        <w:rPr>
          <w:rFonts w:hint="eastAsia" w:ascii="宋体" w:hAnsi="宋体" w:eastAsia="宋体" w:cs="宋体"/>
          <w:color w:val="auto"/>
          <w:sz w:val="36"/>
          <w:highlight w:val="none"/>
        </w:rPr>
        <w:t>投标需要的其他证明文件及材料（若有）</w:t>
      </w:r>
    </w:p>
    <w:p w14:paraId="2645622B">
      <w:pPr>
        <w:rPr>
          <w:rFonts w:hint="eastAsia" w:ascii="宋体" w:hAnsi="宋体" w:eastAsia="宋体" w:cs="宋体"/>
          <w:b/>
          <w:color w:val="auto"/>
          <w:highlight w:val="none"/>
        </w:rPr>
      </w:pPr>
    </w:p>
    <w:p w14:paraId="3F4AB802">
      <w:pPr>
        <w:spacing w:before="50" w:after="50" w:line="360" w:lineRule="auto"/>
        <w:rPr>
          <w:rFonts w:hint="eastAsia" w:ascii="宋体" w:hAnsi="宋体" w:eastAsia="宋体" w:cs="宋体"/>
          <w:b/>
          <w:color w:val="auto"/>
          <w:highlight w:val="none"/>
        </w:rPr>
      </w:pPr>
    </w:p>
    <w:p w14:paraId="119CB9C0">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69D8DC6B">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附件一、中小企业声明函格式</w:t>
      </w:r>
    </w:p>
    <w:p w14:paraId="6B5357AB">
      <w:pPr>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中小企业声明函</w:t>
      </w:r>
    </w:p>
    <w:p w14:paraId="31633CF8">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本公司郑重声明，根据《政府采购促进中小企业发展管理办法》(财库(2020)46号)的规定，本公司参加</w:t>
      </w:r>
      <w:r>
        <w:rPr>
          <w:rFonts w:hint="eastAsia" w:ascii="宋体" w:hAnsi="宋体" w:eastAsia="宋体" w:cs="宋体"/>
          <w:color w:val="auto"/>
          <w:highlight w:val="none"/>
          <w:u w:val="single"/>
        </w:rPr>
        <w:t xml:space="preserve"> _ (单位名称)</w:t>
      </w:r>
      <w:r>
        <w:rPr>
          <w:rFonts w:hint="eastAsia" w:ascii="宋体" w:hAnsi="宋体" w:eastAsia="宋体" w:cs="宋体"/>
          <w:color w:val="auto"/>
          <w:highlight w:val="none"/>
        </w:rPr>
        <w:t>的</w:t>
      </w:r>
      <w:r>
        <w:rPr>
          <w:rFonts w:hint="eastAsia" w:ascii="宋体" w:hAnsi="宋体" w:eastAsia="宋体" w:cs="宋体"/>
          <w:color w:val="auto"/>
          <w:highlight w:val="none"/>
          <w:u w:val="single"/>
        </w:rPr>
        <w:t>_   (项目名称)</w:t>
      </w:r>
      <w:r>
        <w:rPr>
          <w:rFonts w:hint="eastAsia" w:ascii="宋体" w:hAnsi="宋体" w:eastAsia="宋体" w:cs="宋体"/>
          <w:color w:val="auto"/>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7751E0C9">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_ (标的名称)</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lang w:val="en-US" w:eastAsia="zh-CN"/>
        </w:rPr>
        <w:t xml:space="preserve"> 其他未列明行业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从业人员__人，营业收入为万元，资产总额为万元，属于</w:t>
      </w:r>
      <w:r>
        <w:rPr>
          <w:rFonts w:hint="eastAsia" w:ascii="宋体" w:hAnsi="宋体" w:eastAsia="宋体" w:cs="宋体"/>
          <w:color w:val="auto"/>
          <w:highlight w:val="none"/>
          <w:u w:val="single"/>
        </w:rPr>
        <w:t xml:space="preserve"> (中型企业、小型企业、微型企业)。</w:t>
      </w:r>
    </w:p>
    <w:p w14:paraId="5B712FF5">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_ (标的名称)</w:t>
      </w:r>
      <w:r>
        <w:rPr>
          <w:rFonts w:hint="eastAsia" w:ascii="宋体" w:hAnsi="宋体" w:eastAsia="宋体" w:cs="宋体"/>
          <w:color w:val="auto"/>
          <w:highlight w:val="none"/>
        </w:rPr>
        <w:t xml:space="preserve">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lang w:val="en-US" w:eastAsia="zh-CN"/>
        </w:rPr>
        <w:t xml:space="preserve"> 其他未列明行业 </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承建(承接)企业为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从业人员__人，营业收入为万元，资产总额为万元，属于</w:t>
      </w:r>
      <w:r>
        <w:rPr>
          <w:rFonts w:hint="eastAsia" w:ascii="宋体" w:hAnsi="宋体" w:eastAsia="宋体" w:cs="宋体"/>
          <w:color w:val="auto"/>
          <w:highlight w:val="none"/>
          <w:u w:val="single"/>
        </w:rPr>
        <w:t xml:space="preserve"> (中型企业、小型企业、微型企业)。</w:t>
      </w:r>
    </w:p>
    <w:p w14:paraId="6965227E">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w:t>
      </w:r>
    </w:p>
    <w:p w14:paraId="501A45B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37A2B72F">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本企业对上述声明内容的真实性负责。如有虚假，将依法承担相应责任。</w:t>
      </w:r>
    </w:p>
    <w:p w14:paraId="69894C96">
      <w:pPr>
        <w:spacing w:line="360" w:lineRule="auto"/>
        <w:ind w:firstLine="4620" w:firstLineChars="2200"/>
        <w:rPr>
          <w:rFonts w:hint="eastAsia" w:ascii="宋体" w:hAnsi="宋体" w:eastAsia="宋体" w:cs="宋体"/>
          <w:color w:val="auto"/>
          <w:highlight w:val="none"/>
        </w:rPr>
      </w:pPr>
    </w:p>
    <w:p w14:paraId="45FD95B4">
      <w:pPr>
        <w:spacing w:line="360" w:lineRule="auto"/>
        <w:ind w:firstLine="4620" w:firstLineChars="2200"/>
        <w:rPr>
          <w:rFonts w:hint="eastAsia" w:ascii="宋体" w:hAnsi="宋体" w:eastAsia="宋体" w:cs="宋体"/>
          <w:color w:val="auto"/>
          <w:highlight w:val="none"/>
        </w:rPr>
      </w:pPr>
      <w:r>
        <w:rPr>
          <w:rFonts w:hint="eastAsia" w:ascii="宋体" w:hAnsi="宋体" w:eastAsia="宋体" w:cs="宋体"/>
          <w:color w:val="auto"/>
          <w:highlight w:val="none"/>
        </w:rPr>
        <w:t>企业名称（盖章）：</w:t>
      </w:r>
    </w:p>
    <w:p w14:paraId="5AE717F1">
      <w:pPr>
        <w:spacing w:line="360" w:lineRule="auto"/>
        <w:ind w:firstLine="4620" w:firstLineChars="2200"/>
        <w:rPr>
          <w:rFonts w:hint="eastAsia" w:ascii="宋体" w:hAnsi="宋体" w:eastAsia="宋体" w:cs="宋体"/>
          <w:color w:val="auto"/>
          <w:highlight w:val="none"/>
        </w:rPr>
      </w:pPr>
      <w:r>
        <w:rPr>
          <w:rFonts w:hint="eastAsia" w:ascii="宋体" w:hAnsi="宋体" w:eastAsia="宋体" w:cs="宋体"/>
          <w:color w:val="auto"/>
          <w:highlight w:val="none"/>
        </w:rPr>
        <w:t>日　　　　　期：  年  月  日</w:t>
      </w:r>
    </w:p>
    <w:p w14:paraId="4F4E9F15">
      <w:pPr>
        <w:rPr>
          <w:rFonts w:hint="eastAsia" w:ascii="宋体" w:hAnsi="宋体" w:eastAsia="宋体" w:cs="宋体"/>
          <w:color w:val="auto"/>
          <w:highlight w:val="none"/>
        </w:rPr>
      </w:pPr>
    </w:p>
    <w:p w14:paraId="280B870B">
      <w:pPr>
        <w:pStyle w:val="7"/>
        <w:rPr>
          <w:rFonts w:hint="eastAsia" w:ascii="宋体" w:hAnsi="宋体" w:eastAsia="宋体" w:cs="宋体"/>
          <w:color w:val="auto"/>
          <w:highlight w:val="none"/>
        </w:rPr>
      </w:pPr>
    </w:p>
    <w:p w14:paraId="2E085DA4">
      <w:pPr>
        <w:pStyle w:val="7"/>
        <w:rPr>
          <w:rFonts w:hint="eastAsia" w:ascii="宋体" w:hAnsi="宋体" w:eastAsia="宋体" w:cs="宋体"/>
          <w:color w:val="auto"/>
          <w:highlight w:val="none"/>
        </w:rPr>
      </w:pPr>
    </w:p>
    <w:p w14:paraId="5A6894C8">
      <w:pPr>
        <w:rPr>
          <w:rFonts w:hint="eastAsia" w:ascii="宋体" w:hAnsi="宋体" w:eastAsia="宋体" w:cs="宋体"/>
          <w:color w:val="auto"/>
          <w:highlight w:val="none"/>
        </w:rPr>
      </w:pPr>
    </w:p>
    <w:p w14:paraId="7CAFBD20">
      <w:pPr>
        <w:rPr>
          <w:rFonts w:hint="eastAsia" w:ascii="宋体" w:hAnsi="宋体" w:eastAsia="宋体" w:cs="宋体"/>
          <w:color w:val="auto"/>
          <w:highlight w:val="none"/>
        </w:rPr>
      </w:pPr>
    </w:p>
    <w:p w14:paraId="3F99E475">
      <w:pPr>
        <w:rPr>
          <w:rFonts w:hint="eastAsia" w:ascii="宋体" w:hAnsi="宋体" w:eastAsia="宋体" w:cs="宋体"/>
          <w:color w:val="auto"/>
          <w:highlight w:val="none"/>
        </w:rPr>
      </w:pPr>
    </w:p>
    <w:p w14:paraId="753180BE">
      <w:pPr>
        <w:widowControl/>
        <w:jc w:val="left"/>
        <w:rPr>
          <w:rFonts w:hint="eastAsia" w:ascii="宋体" w:hAnsi="宋体" w:eastAsia="宋体" w:cs="宋体"/>
          <w:b/>
          <w:color w:val="auto"/>
          <w:highlight w:val="none"/>
        </w:rPr>
      </w:pPr>
      <w:r>
        <w:rPr>
          <w:rFonts w:hint="eastAsia" w:ascii="宋体" w:hAnsi="宋体" w:eastAsia="宋体" w:cs="宋体"/>
          <w:b/>
          <w:color w:val="auto"/>
          <w:highlight w:val="none"/>
        </w:rPr>
        <w:br w:type="page"/>
      </w:r>
    </w:p>
    <w:p w14:paraId="269CF1D6">
      <w:pPr>
        <w:rPr>
          <w:rFonts w:hint="eastAsia" w:ascii="宋体" w:hAnsi="宋体" w:eastAsia="宋体" w:cs="宋体"/>
          <w:b/>
          <w:color w:val="auto"/>
          <w:highlight w:val="none"/>
        </w:rPr>
      </w:pPr>
      <w:r>
        <w:rPr>
          <w:rFonts w:hint="eastAsia" w:ascii="宋体" w:hAnsi="宋体" w:eastAsia="宋体" w:cs="宋体"/>
          <w:b/>
          <w:color w:val="auto"/>
          <w:highlight w:val="none"/>
        </w:rPr>
        <w:t>附件二、无重大违法记录声明格式</w:t>
      </w:r>
    </w:p>
    <w:p w14:paraId="151CFDDF">
      <w:pPr>
        <w:rPr>
          <w:rFonts w:hint="eastAsia" w:ascii="宋体" w:hAnsi="宋体" w:eastAsia="宋体" w:cs="宋体"/>
          <w:b/>
          <w:color w:val="auto"/>
          <w:highlight w:val="none"/>
        </w:rPr>
      </w:pPr>
    </w:p>
    <w:p w14:paraId="746B0FE5">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无重大违法记录声明</w:t>
      </w:r>
    </w:p>
    <w:p w14:paraId="45DFE466">
      <w:pPr>
        <w:spacing w:line="360" w:lineRule="auto"/>
        <w:rPr>
          <w:rFonts w:hint="eastAsia" w:ascii="宋体" w:hAnsi="宋体" w:eastAsia="宋体" w:cs="宋体"/>
          <w:color w:val="auto"/>
          <w:highlight w:val="none"/>
        </w:rPr>
      </w:pPr>
    </w:p>
    <w:p w14:paraId="023465D4">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中国药科大学：</w:t>
      </w:r>
    </w:p>
    <w:p w14:paraId="103EED3C">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我单位（供应商名称）郑重声明：</w:t>
      </w:r>
    </w:p>
    <w:p w14:paraId="2332F476">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参加政府采购活动前3年内在经营活动中</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（在下划线上如实填写：有或没有）重大违法记录。</w:t>
      </w:r>
    </w:p>
    <w:p w14:paraId="016AA79E">
      <w:pPr>
        <w:spacing w:line="360" w:lineRule="auto"/>
        <w:ind w:firstLine="420"/>
        <w:rPr>
          <w:rFonts w:hint="eastAsia" w:ascii="宋体" w:hAnsi="宋体" w:eastAsia="宋体" w:cs="宋体"/>
          <w:color w:val="auto"/>
          <w:highlight w:val="none"/>
        </w:rPr>
      </w:pPr>
      <w:r>
        <w:rPr>
          <w:rFonts w:hint="eastAsia" w:ascii="宋体" w:hAnsi="宋体" w:eastAsia="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437DE462">
      <w:pPr>
        <w:spacing w:line="360" w:lineRule="auto"/>
        <w:rPr>
          <w:rFonts w:hint="eastAsia" w:ascii="宋体" w:hAnsi="宋体" w:eastAsia="宋体" w:cs="宋体"/>
          <w:color w:val="auto"/>
          <w:highlight w:val="none"/>
        </w:rPr>
      </w:pPr>
    </w:p>
    <w:p w14:paraId="39E814D1">
      <w:pPr>
        <w:spacing w:line="360" w:lineRule="auto"/>
        <w:rPr>
          <w:rFonts w:hint="eastAsia" w:ascii="宋体" w:hAnsi="宋体" w:eastAsia="宋体" w:cs="宋体"/>
          <w:color w:val="auto"/>
          <w:highlight w:val="none"/>
        </w:rPr>
      </w:pPr>
    </w:p>
    <w:p w14:paraId="676A7B43">
      <w:pPr>
        <w:spacing w:line="360" w:lineRule="auto"/>
        <w:ind w:firstLine="4620"/>
        <w:rPr>
          <w:rFonts w:hint="eastAsia" w:ascii="宋体" w:hAnsi="宋体" w:eastAsia="宋体" w:cs="宋体"/>
          <w:color w:val="auto"/>
          <w:highlight w:val="none"/>
        </w:rPr>
      </w:pPr>
      <w:r>
        <w:rPr>
          <w:rFonts w:hint="eastAsia" w:ascii="宋体" w:hAnsi="宋体" w:eastAsia="宋体" w:cs="宋体"/>
          <w:color w:val="auto"/>
          <w:highlight w:val="none"/>
        </w:rPr>
        <w:t>声明人（公章）：</w:t>
      </w:r>
    </w:p>
    <w:p w14:paraId="18CA08D5">
      <w:pPr>
        <w:spacing w:line="360" w:lineRule="auto"/>
        <w:ind w:firstLine="4620"/>
        <w:rPr>
          <w:rFonts w:hint="eastAsia" w:ascii="宋体" w:hAnsi="宋体" w:eastAsia="宋体" w:cs="宋体"/>
          <w:color w:val="auto"/>
          <w:highlight w:val="none"/>
        </w:rPr>
      </w:pPr>
      <w:r>
        <w:rPr>
          <w:rFonts w:hint="eastAsia" w:ascii="宋体" w:hAnsi="宋体" w:eastAsia="宋体" w:cs="宋体"/>
          <w:color w:val="auto"/>
          <w:highlight w:val="none"/>
        </w:rPr>
        <w:t>日　　　　期：年月日</w:t>
      </w:r>
    </w:p>
    <w:p w14:paraId="2E2DA8AB">
      <w:pPr>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t>附件三、具备履行合同所必需的设备和专业技术能力的声明格式及证明材料</w:t>
      </w:r>
    </w:p>
    <w:p w14:paraId="6C507A7D">
      <w:pPr>
        <w:spacing w:line="360" w:lineRule="auto"/>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具备履行合同所必需的设备和专业技术能力的声明格式</w:t>
      </w:r>
    </w:p>
    <w:p w14:paraId="50F7EA61">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中国药科大学：</w:t>
      </w:r>
    </w:p>
    <w:p w14:paraId="6337EB51">
      <w:pPr>
        <w:spacing w:line="460" w:lineRule="auto"/>
        <w:ind w:firstLine="492"/>
        <w:rPr>
          <w:rFonts w:hint="eastAsia" w:ascii="宋体" w:hAnsi="宋体" w:eastAsia="宋体" w:cs="宋体"/>
          <w:color w:val="auto"/>
          <w:highlight w:val="none"/>
        </w:rPr>
      </w:pPr>
      <w:r>
        <w:rPr>
          <w:rFonts w:hint="eastAsia" w:ascii="宋体" w:hAnsi="宋体" w:eastAsia="宋体" w:cs="宋体"/>
          <w:color w:val="auto"/>
          <w:highlight w:val="none"/>
        </w:rPr>
        <w:t>我单位（供应商名称）郑重声明：我公司具备履行本项采购合同所必需的设备和专业技术能力，为履行本项采购合同我单位具备如下主要设备和主要专业技术能力：</w:t>
      </w:r>
    </w:p>
    <w:p w14:paraId="7EEC8F4C">
      <w:pPr>
        <w:spacing w:line="460" w:lineRule="auto"/>
        <w:ind w:firstLine="492"/>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p>
    <w:p w14:paraId="5F3D78E2">
      <w:pPr>
        <w:spacing w:line="460" w:lineRule="auto"/>
        <w:ind w:firstLine="492"/>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p>
    <w:p w14:paraId="28455BA5">
      <w:pPr>
        <w:spacing w:line="360" w:lineRule="auto"/>
        <w:rPr>
          <w:rFonts w:hint="eastAsia" w:ascii="宋体" w:hAnsi="宋体" w:eastAsia="宋体" w:cs="宋体"/>
          <w:color w:val="auto"/>
          <w:highlight w:val="none"/>
        </w:rPr>
      </w:pPr>
    </w:p>
    <w:p w14:paraId="75F980FA">
      <w:pPr>
        <w:spacing w:line="360" w:lineRule="auto"/>
        <w:rPr>
          <w:rFonts w:hint="eastAsia" w:ascii="宋体" w:hAnsi="宋体" w:eastAsia="宋体" w:cs="宋体"/>
          <w:color w:val="auto"/>
          <w:highlight w:val="none"/>
        </w:rPr>
      </w:pPr>
    </w:p>
    <w:p w14:paraId="017DB26B">
      <w:pPr>
        <w:spacing w:line="360" w:lineRule="auto"/>
        <w:ind w:firstLine="5250"/>
        <w:rPr>
          <w:rFonts w:hint="eastAsia" w:ascii="宋体" w:hAnsi="宋体" w:eastAsia="宋体" w:cs="宋体"/>
          <w:color w:val="auto"/>
          <w:highlight w:val="none"/>
        </w:rPr>
      </w:pPr>
      <w:r>
        <w:rPr>
          <w:rFonts w:hint="eastAsia" w:ascii="宋体" w:hAnsi="宋体" w:eastAsia="宋体" w:cs="宋体"/>
          <w:color w:val="auto"/>
          <w:highlight w:val="none"/>
        </w:rPr>
        <w:t>声明人（公章）：</w:t>
      </w:r>
    </w:p>
    <w:p w14:paraId="0267FB08">
      <w:pPr>
        <w:spacing w:line="360" w:lineRule="auto"/>
        <w:ind w:firstLine="5250"/>
        <w:rPr>
          <w:rFonts w:hint="eastAsia" w:ascii="宋体" w:hAnsi="宋体" w:eastAsia="宋体" w:cs="宋体"/>
          <w:color w:val="auto"/>
          <w:highlight w:val="none"/>
        </w:rPr>
      </w:pPr>
      <w:r>
        <w:rPr>
          <w:rFonts w:hint="eastAsia" w:ascii="宋体" w:hAnsi="宋体" w:eastAsia="宋体" w:cs="宋体"/>
          <w:color w:val="auto"/>
          <w:highlight w:val="none"/>
        </w:rPr>
        <w:t>日期：年月日</w:t>
      </w:r>
    </w:p>
    <w:p w14:paraId="74FAF023">
      <w:pPr>
        <w:spacing w:line="360" w:lineRule="auto"/>
        <w:rPr>
          <w:rFonts w:hint="eastAsia" w:ascii="宋体" w:hAnsi="宋体" w:eastAsia="宋体" w:cs="宋体"/>
          <w:color w:val="auto"/>
          <w:highlight w:val="none"/>
        </w:rPr>
      </w:pPr>
    </w:p>
    <w:p w14:paraId="0054257F">
      <w:pPr>
        <w:spacing w:line="460" w:lineRule="auto"/>
        <w:ind w:firstLine="492"/>
        <w:rPr>
          <w:rFonts w:hint="eastAsia" w:ascii="宋体" w:hAnsi="宋体" w:eastAsia="宋体" w:cs="宋体"/>
          <w:color w:val="auto"/>
          <w:highlight w:val="none"/>
        </w:rPr>
      </w:pPr>
      <w:r>
        <w:rPr>
          <w:rFonts w:hint="eastAsia" w:ascii="宋体" w:hAnsi="宋体" w:eastAsia="宋体" w:cs="宋体"/>
          <w:color w:val="auto"/>
          <w:highlight w:val="none"/>
        </w:rPr>
        <w:t>其他证明材料及文件：（如果投标人认为需要提供的话）</w:t>
      </w:r>
    </w:p>
    <w:p w14:paraId="5141206B">
      <w:pPr>
        <w:spacing w:line="360" w:lineRule="auto"/>
        <w:rPr>
          <w:rFonts w:hint="eastAsia" w:ascii="宋体" w:hAnsi="宋体" w:eastAsia="宋体" w:cs="宋体"/>
          <w:b/>
          <w:color w:val="auto"/>
          <w:highlight w:val="none"/>
          <w:lang w:val="en-US"/>
        </w:rPr>
      </w:pPr>
      <w:r>
        <w:rPr>
          <w:rFonts w:hint="eastAsia" w:ascii="宋体" w:hAnsi="宋体" w:eastAsia="宋体" w:cs="宋体"/>
          <w:b/>
          <w:color w:val="auto"/>
          <w:highlight w:val="none"/>
          <w:lang w:val="en-US"/>
        </w:rPr>
        <w:t>附件四、残疾人福利性单位声明函格式</w:t>
      </w:r>
    </w:p>
    <w:p w14:paraId="7C3D6F12">
      <w:pPr>
        <w:pStyle w:val="7"/>
        <w:rPr>
          <w:rFonts w:hint="eastAsia" w:ascii="宋体" w:hAnsi="宋体" w:eastAsia="宋体" w:cs="宋体"/>
          <w:b/>
          <w:color w:val="auto"/>
          <w:highlight w:val="none"/>
        </w:rPr>
      </w:pPr>
    </w:p>
    <w:p w14:paraId="42766914">
      <w:pPr>
        <w:pStyle w:val="7"/>
        <w:rPr>
          <w:rFonts w:hint="eastAsia" w:ascii="宋体" w:hAnsi="宋体" w:eastAsia="宋体" w:cs="宋体"/>
          <w:b/>
          <w:color w:val="auto"/>
          <w:highlight w:val="none"/>
        </w:rPr>
      </w:pPr>
    </w:p>
    <w:p w14:paraId="206C06D6">
      <w:pPr>
        <w:pStyle w:val="41"/>
        <w:spacing w:before="167"/>
        <w:outlineLvl w:val="9"/>
        <w:rPr>
          <w:rFonts w:hint="eastAsia" w:ascii="宋体" w:hAnsi="宋体" w:eastAsia="宋体" w:cs="宋体"/>
          <w:color w:val="auto"/>
          <w:highlight w:val="none"/>
        </w:rPr>
      </w:pPr>
      <w:r>
        <w:rPr>
          <w:rFonts w:hint="eastAsia" w:ascii="宋体" w:hAnsi="宋体" w:eastAsia="宋体" w:cs="宋体"/>
          <w:color w:val="auto"/>
          <w:highlight w:val="none"/>
        </w:rPr>
        <w:t>残疾人福利性单位声明函</w:t>
      </w:r>
    </w:p>
    <w:p w14:paraId="21628AFF">
      <w:pPr>
        <w:pStyle w:val="7"/>
        <w:spacing w:before="7"/>
        <w:rPr>
          <w:rFonts w:hint="eastAsia" w:ascii="宋体" w:hAnsi="宋体" w:eastAsia="宋体" w:cs="宋体"/>
          <w:b/>
          <w:color w:val="auto"/>
          <w:sz w:val="18"/>
          <w:highlight w:val="none"/>
        </w:rPr>
      </w:pPr>
    </w:p>
    <w:p w14:paraId="149C6DB4">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eastAsia="宋体" w:cs="宋体"/>
          <w:color w:val="auto"/>
          <w:highlight w:val="none"/>
        </w:rPr>
        <w:tab/>
      </w:r>
      <w:r>
        <w:rPr>
          <w:rFonts w:hint="eastAsia" w:ascii="宋体" w:hAnsi="宋体" w:eastAsia="宋体" w:cs="宋体"/>
          <w:color w:val="auto"/>
          <w:highlight w:val="none"/>
        </w:rPr>
        <w:t>单位的</w:t>
      </w:r>
      <w:r>
        <w:rPr>
          <w:rFonts w:hint="eastAsia" w:ascii="宋体" w:hAnsi="宋体" w:eastAsia="宋体" w:cs="宋体"/>
          <w:color w:val="auto"/>
          <w:highlight w:val="none"/>
        </w:rPr>
        <w:tab/>
      </w:r>
      <w:r>
        <w:rPr>
          <w:rFonts w:hint="eastAsia" w:ascii="宋体" w:hAnsi="宋体" w:eastAsia="宋体" w:cs="宋体"/>
          <w:color w:val="auto"/>
          <w:highlight w:val="none"/>
        </w:rPr>
        <w:t>项目采购活动提供本单位制造的货物（由本单位承担工程/提供服务），或者提供其他残疾人福利性单位制造的货物（不包括使用非残疾人福利性单位注册商标的货物）。</w:t>
      </w:r>
    </w:p>
    <w:p w14:paraId="7258B9A3">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688618D7">
      <w:pPr>
        <w:spacing w:line="460" w:lineRule="exact"/>
        <w:ind w:firstLine="492"/>
        <w:rPr>
          <w:rFonts w:hint="eastAsia" w:ascii="宋体" w:hAnsi="宋体" w:eastAsia="宋体" w:cs="宋体"/>
          <w:color w:val="auto"/>
          <w:highlight w:val="none"/>
        </w:rPr>
      </w:pPr>
    </w:p>
    <w:p w14:paraId="7EF45C0C">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单位名称（盖章）：</w:t>
      </w:r>
    </w:p>
    <w:p w14:paraId="4812BD6F">
      <w:pPr>
        <w:spacing w:line="460" w:lineRule="exact"/>
        <w:ind w:firstLine="492"/>
        <w:rPr>
          <w:rFonts w:hint="eastAsia" w:ascii="宋体" w:hAnsi="宋体" w:eastAsia="宋体" w:cs="宋体"/>
          <w:color w:val="auto"/>
          <w:highlight w:val="none"/>
        </w:rPr>
      </w:pPr>
      <w:r>
        <w:rPr>
          <w:rFonts w:hint="eastAsia" w:ascii="宋体" w:hAnsi="宋体" w:eastAsia="宋体" w:cs="宋体"/>
          <w:color w:val="auto"/>
          <w:highlight w:val="none"/>
        </w:rPr>
        <w:t>日期：</w:t>
      </w:r>
    </w:p>
    <w:p w14:paraId="124360C2">
      <w:pPr>
        <w:pStyle w:val="41"/>
        <w:ind w:left="0"/>
        <w:outlineLvl w:val="9"/>
        <w:rPr>
          <w:rFonts w:hint="eastAsia" w:ascii="宋体" w:hAnsi="宋体" w:eastAsia="宋体" w:cs="宋体"/>
          <w:color w:val="auto"/>
          <w:highlight w:val="none"/>
        </w:rPr>
      </w:pPr>
    </w:p>
    <w:p w14:paraId="3D9BB34F">
      <w:pPr>
        <w:pStyle w:val="41"/>
        <w:ind w:left="0"/>
        <w:outlineLvl w:val="9"/>
        <w:rPr>
          <w:rFonts w:hint="eastAsia" w:ascii="宋体" w:hAnsi="宋体" w:eastAsia="宋体" w:cs="宋体"/>
          <w:color w:val="auto"/>
          <w:highlight w:val="none"/>
        </w:rPr>
      </w:pPr>
    </w:p>
    <w:p w14:paraId="337B2D5F">
      <w:pPr>
        <w:pStyle w:val="41"/>
        <w:ind w:left="0"/>
        <w:outlineLvl w:val="9"/>
        <w:rPr>
          <w:rFonts w:hint="eastAsia" w:ascii="宋体" w:hAnsi="宋体" w:eastAsia="宋体" w:cs="宋体"/>
          <w:color w:val="auto"/>
          <w:highlight w:val="none"/>
        </w:rPr>
      </w:pPr>
    </w:p>
    <w:p w14:paraId="7BD3A195">
      <w:pPr>
        <w:pStyle w:val="41"/>
        <w:spacing w:before="20"/>
        <w:ind w:left="0"/>
        <w:outlineLvl w:val="9"/>
        <w:rPr>
          <w:rFonts w:hint="eastAsia" w:ascii="宋体" w:hAnsi="宋体" w:eastAsia="宋体" w:cs="宋体"/>
          <w:bCs w:val="0"/>
          <w:color w:val="auto"/>
          <w:kern w:val="2"/>
          <w:sz w:val="21"/>
          <w:highlight w:val="none"/>
          <w:lang w:val="en-US" w:bidi="ar-SA"/>
        </w:rPr>
      </w:pPr>
    </w:p>
    <w:p w14:paraId="4E6CA455">
      <w:pPr>
        <w:pStyle w:val="41"/>
        <w:spacing w:before="20"/>
        <w:ind w:left="0"/>
        <w:outlineLvl w:val="9"/>
        <w:rPr>
          <w:rFonts w:hint="eastAsia" w:ascii="宋体" w:hAnsi="宋体" w:eastAsia="宋体" w:cs="宋体"/>
          <w:color w:val="auto"/>
          <w:highlight w:val="none"/>
        </w:rPr>
      </w:pPr>
      <w:r>
        <w:rPr>
          <w:rFonts w:hint="eastAsia" w:ascii="宋体" w:hAnsi="宋体" w:eastAsia="宋体" w:cs="宋体"/>
          <w:bCs w:val="0"/>
          <w:color w:val="auto"/>
          <w:kern w:val="2"/>
          <w:sz w:val="21"/>
          <w:highlight w:val="none"/>
          <w:lang w:val="en-US" w:bidi="ar-SA"/>
        </w:rPr>
        <w:t>附件五、属于监狱企业的证明文件</w:t>
      </w:r>
    </w:p>
    <w:p w14:paraId="424A6674">
      <w:pPr>
        <w:pStyle w:val="7"/>
        <w:rPr>
          <w:rFonts w:hint="eastAsia" w:ascii="宋体" w:hAnsi="宋体" w:eastAsia="宋体" w:cs="宋体"/>
          <w:b/>
          <w:color w:val="auto"/>
          <w:highlight w:val="none"/>
        </w:rPr>
      </w:pPr>
    </w:p>
    <w:p w14:paraId="3204B1CC">
      <w:pPr>
        <w:spacing w:line="360" w:lineRule="auto"/>
        <w:ind w:firstLine="420" w:firstLineChars="200"/>
        <w:jc w:val="left"/>
        <w:rPr>
          <w:rFonts w:hint="eastAsia" w:ascii="宋体" w:hAnsi="宋体" w:eastAsia="宋体" w:cs="宋体"/>
          <w:b/>
          <w:color w:val="auto"/>
          <w:highlight w:val="none"/>
        </w:rPr>
      </w:pPr>
      <w:r>
        <w:rPr>
          <w:rFonts w:hint="eastAsia" w:ascii="宋体" w:hAnsi="宋体" w:eastAsia="宋体" w:cs="宋体"/>
          <w:color w:val="auto"/>
          <w:highlight w:val="none"/>
        </w:rPr>
        <w:t>提供由省级以上监狱管理局、戒毒管理局(含新疆生产建设兵团)出具的属于监狱企业的证明文件。</w:t>
      </w:r>
    </w:p>
    <w:p w14:paraId="593BB4DC">
      <w:pPr>
        <w:widowControl/>
        <w:jc w:val="left"/>
        <w:rPr>
          <w:rFonts w:hint="eastAsia" w:ascii="宋体" w:hAnsi="宋体" w:eastAsia="宋体" w:cs="宋体"/>
          <w:b/>
          <w:bCs/>
          <w:color w:val="auto"/>
          <w:szCs w:val="20"/>
          <w:highlight w:val="none"/>
          <w:lang w:val="zh-CN" w:bidi="zh-CN"/>
        </w:rPr>
      </w:pPr>
      <w:r>
        <w:rPr>
          <w:rFonts w:hint="eastAsia" w:ascii="宋体" w:hAnsi="宋体" w:eastAsia="宋体" w:cs="宋体"/>
          <w:color w:val="auto"/>
          <w:szCs w:val="20"/>
          <w:highlight w:val="none"/>
        </w:rPr>
        <w:br w:type="page"/>
      </w:r>
    </w:p>
    <w:p w14:paraId="30C40CBC">
      <w:pPr>
        <w:pStyle w:val="41"/>
        <w:spacing w:before="20"/>
        <w:ind w:left="0"/>
        <w:outlineLvl w:val="9"/>
        <w:rPr>
          <w:rFonts w:hint="eastAsia" w:ascii="宋体" w:hAnsi="宋体" w:eastAsia="宋体" w:cs="宋体"/>
          <w:color w:val="auto"/>
          <w:kern w:val="2"/>
          <w:sz w:val="21"/>
          <w:szCs w:val="20"/>
          <w:highlight w:val="none"/>
        </w:rPr>
      </w:pPr>
      <w:r>
        <w:rPr>
          <w:rFonts w:hint="eastAsia" w:ascii="宋体" w:hAnsi="宋体" w:eastAsia="宋体" w:cs="宋体"/>
          <w:color w:val="auto"/>
          <w:kern w:val="2"/>
          <w:sz w:val="21"/>
          <w:szCs w:val="20"/>
          <w:highlight w:val="none"/>
        </w:rPr>
        <w:t>附件六、投标单位廉政承诺书</w:t>
      </w:r>
    </w:p>
    <w:p w14:paraId="5183D149">
      <w:pPr>
        <w:spacing w:line="360" w:lineRule="auto"/>
        <w:ind w:firstLine="643" w:firstLineChars="200"/>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投标单位廉政承诺书</w:t>
      </w:r>
    </w:p>
    <w:p w14:paraId="0E31E7C9">
      <w:pPr>
        <w:spacing w:line="360" w:lineRule="auto"/>
        <w:ind w:firstLine="480" w:firstLineChars="200"/>
        <w:jc w:val="center"/>
        <w:rPr>
          <w:rFonts w:hint="eastAsia" w:ascii="宋体" w:hAnsi="宋体" w:eastAsia="宋体" w:cs="宋体"/>
          <w:color w:val="auto"/>
          <w:sz w:val="24"/>
          <w:szCs w:val="24"/>
          <w:highlight w:val="none"/>
        </w:rPr>
      </w:pPr>
    </w:p>
    <w:p w14:paraId="019367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为充分体现公开、公平、公正、诚实信用原则，维护招标采购环节秩序，本单位承诺在参与项目投标过程中无任何违法、违规、违纪行为，自觉接受监督。承诺如下：</w:t>
      </w:r>
    </w:p>
    <w:p w14:paraId="10A96D1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1、不以不正当手段向招标人谋取资格预审及投标的不正当照顾。</w:t>
      </w:r>
    </w:p>
    <w:p w14:paraId="3F0E754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2、不使用不正当手段妨碍、排挤其他投标单位。</w:t>
      </w:r>
    </w:p>
    <w:p w14:paraId="3D7B906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3、严格按照招标文件规定的方式进行投标，不隐瞒本单位任何真实情况。不以其他人名义投标或以其他方式弄虚作假，骗取中标。</w:t>
      </w:r>
    </w:p>
    <w:p w14:paraId="7B3CCF8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4、不与其他投标人相互串标，不联合其他单位进行围标。</w:t>
      </w:r>
    </w:p>
    <w:p w14:paraId="1491C70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0C1D28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6、一旦发现招标相关人员在招标过程中有不廉洁行为，立即向招标方举报。</w:t>
      </w:r>
    </w:p>
    <w:p w14:paraId="7665E4D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7、中标后及时与招标人按招投标文件签订合同，不订立背离合同实质性内容的协议。</w:t>
      </w:r>
    </w:p>
    <w:p w14:paraId="2CEA346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8、自愿将本承诺作为投标文件及合同的附件，具有同等法律效力。</w:t>
      </w:r>
    </w:p>
    <w:p w14:paraId="2C5EDF7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3ED6CFB3">
      <w:pPr>
        <w:spacing w:line="360" w:lineRule="auto"/>
        <w:ind w:firstLine="480" w:firstLineChars="200"/>
        <w:rPr>
          <w:rFonts w:hint="eastAsia" w:ascii="宋体" w:hAnsi="宋体" w:eastAsia="宋体" w:cs="宋体"/>
          <w:color w:val="auto"/>
          <w:sz w:val="24"/>
          <w:szCs w:val="24"/>
          <w:highlight w:val="none"/>
        </w:rPr>
      </w:pPr>
    </w:p>
    <w:p w14:paraId="66F9C638">
      <w:pPr>
        <w:spacing w:line="36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法定代表人（签名）：</w:t>
      </w:r>
    </w:p>
    <w:p w14:paraId="75664C01">
      <w:pPr>
        <w:spacing w:line="36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单位盖章：</w:t>
      </w:r>
    </w:p>
    <w:p w14:paraId="4E9DC9E7">
      <w:pPr>
        <w:spacing w:line="360" w:lineRule="auto"/>
        <w:ind w:firstLine="5040" w:firstLineChars="2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承诺日期：   年  月  日</w:t>
      </w:r>
    </w:p>
    <w:p w14:paraId="1EA08904">
      <w:pPr>
        <w:rPr>
          <w:rFonts w:hint="eastAsia" w:ascii="宋体" w:hAnsi="宋体" w:eastAsia="宋体" w:cs="宋体"/>
          <w:color w:val="auto"/>
          <w:sz w:val="28"/>
          <w:szCs w:val="28"/>
          <w:highlight w:val="none"/>
        </w:rPr>
      </w:pPr>
    </w:p>
    <w:p w14:paraId="3EDA3D33">
      <w:pPr>
        <w:widowControl/>
        <w:jc w:val="left"/>
        <w:rPr>
          <w:rFonts w:hint="eastAsia" w:ascii="宋体" w:hAnsi="宋体" w:eastAsia="宋体" w:cs="宋体"/>
          <w:b/>
          <w:color w:val="auto"/>
          <w:highlight w:val="none"/>
        </w:rPr>
        <w:sectPr>
          <w:pgSz w:w="11906" w:h="16838"/>
          <w:pgMar w:top="1440" w:right="1134" w:bottom="1440" w:left="1134" w:header="851" w:footer="992" w:gutter="0"/>
          <w:pgNumType w:fmt="decimal"/>
          <w:cols w:space="425" w:num="1"/>
          <w:docGrid w:type="lines" w:linePitch="312" w:charSpace="0"/>
        </w:sectPr>
      </w:pPr>
    </w:p>
    <w:p w14:paraId="56CBBD60">
      <w:pPr>
        <w:widowControl/>
        <w:adjustRightInd w:val="0"/>
        <w:spacing w:line="240" w:lineRule="atLeast"/>
        <w:rPr>
          <w:rFonts w:hint="eastAsia" w:ascii="宋体" w:hAnsi="宋体" w:eastAsia="宋体" w:cs="宋体"/>
          <w:b/>
          <w:color w:val="auto"/>
          <w:highlight w:val="none"/>
        </w:rPr>
      </w:pPr>
      <w:r>
        <w:rPr>
          <w:rFonts w:hint="eastAsia" w:ascii="宋体" w:hAnsi="宋体" w:eastAsia="宋体" w:cs="宋体"/>
          <w:b/>
          <w:color w:val="auto"/>
          <w:highlight w:val="none"/>
        </w:rPr>
        <w:t>附件七 、承诺书</w:t>
      </w:r>
    </w:p>
    <w:p w14:paraId="516797DD">
      <w:pPr>
        <w:widowControl/>
        <w:jc w:val="center"/>
        <w:rPr>
          <w:rFonts w:hint="eastAsia" w:ascii="宋体" w:hAnsi="宋体" w:eastAsia="宋体" w:cs="宋体"/>
          <w:color w:val="auto"/>
          <w:highlight w:val="none"/>
        </w:rPr>
      </w:pPr>
    </w:p>
    <w:p w14:paraId="5E6A5C7D">
      <w:pPr>
        <w:pStyle w:val="21"/>
        <w:spacing w:before="73" w:after="73" w:line="320" w:lineRule="exac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1</w:t>
      </w:r>
      <w:r>
        <w:rPr>
          <w:rFonts w:hint="eastAsia" w:ascii="宋体" w:hAnsi="宋体" w:eastAsia="宋体" w:cs="宋体"/>
          <w:color w:val="auto"/>
          <w:sz w:val="21"/>
          <w:highlight w:val="none"/>
          <w:lang w:eastAsia="zh-CN"/>
        </w:rPr>
        <w:t>）本单位（公司名称） 郑重承诺对于 （项目名称） 采购活动</w:t>
      </w:r>
      <w:r>
        <w:rPr>
          <w:rFonts w:hint="eastAsia" w:ascii="宋体" w:hAnsi="宋体" w:eastAsia="宋体" w:cs="宋体"/>
          <w:color w:val="auto"/>
          <w:sz w:val="21"/>
          <w:highlight w:val="none"/>
          <w:lang w:val="zh-CN" w:eastAsia="zh-CN"/>
        </w:rPr>
        <w:t>：</w:t>
      </w:r>
      <w:r>
        <w:rPr>
          <w:rFonts w:hint="eastAsia" w:ascii="宋体" w:hAnsi="宋体" w:eastAsia="宋体" w:cs="宋体"/>
          <w:color w:val="auto"/>
          <w:sz w:val="21"/>
          <w:highlight w:val="none"/>
          <w:lang w:eastAsia="zh-CN"/>
        </w:rPr>
        <w:t>在参加本次政府采购活动不存在与参加本项目的其他供应商单位负责人为同一人或者存在直接控股、管理关系情形。</w:t>
      </w:r>
    </w:p>
    <w:p w14:paraId="7CB4E052">
      <w:pPr>
        <w:pStyle w:val="21"/>
        <w:spacing w:before="73" w:after="73" w:line="320" w:lineRule="exac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2</w:t>
      </w:r>
      <w:r>
        <w:rPr>
          <w:rFonts w:hint="eastAsia" w:ascii="宋体" w:hAnsi="宋体" w:eastAsia="宋体" w:cs="宋体"/>
          <w:color w:val="auto"/>
          <w:sz w:val="21"/>
          <w:highlight w:val="none"/>
          <w:lang w:eastAsia="zh-CN"/>
        </w:rPr>
        <w:t>）我单位没有为采购项目提供整体设计、规范编制或者项目管理、监理、检测等服务。</w:t>
      </w:r>
    </w:p>
    <w:p w14:paraId="29B37E6B">
      <w:pPr>
        <w:pStyle w:val="21"/>
        <w:spacing w:before="73" w:after="73" w:line="320" w:lineRule="exact"/>
        <w:rPr>
          <w:rFonts w:hint="eastAsia" w:ascii="宋体" w:hAnsi="宋体" w:eastAsia="宋体" w:cs="宋体"/>
          <w:color w:val="auto"/>
          <w:sz w:val="21"/>
          <w:highlight w:val="none"/>
          <w:lang w:eastAsia="zh-CN"/>
        </w:rPr>
      </w:pPr>
      <w:r>
        <w:rPr>
          <w:rFonts w:hint="eastAsia" w:ascii="宋体" w:hAnsi="宋体" w:eastAsia="宋体" w:cs="宋体"/>
          <w:color w:val="auto"/>
          <w:sz w:val="21"/>
          <w:highlight w:val="none"/>
          <w:lang w:eastAsia="zh-CN"/>
        </w:rPr>
        <w:t>（</w:t>
      </w:r>
      <w:r>
        <w:rPr>
          <w:rFonts w:hint="eastAsia" w:ascii="宋体" w:hAnsi="宋体" w:eastAsia="宋体" w:cs="宋体"/>
          <w:color w:val="auto"/>
          <w:sz w:val="21"/>
          <w:highlight w:val="none"/>
          <w:lang w:val="en-US" w:eastAsia="zh-CN"/>
        </w:rPr>
        <w:t>3</w:t>
      </w:r>
      <w:r>
        <w:rPr>
          <w:rFonts w:hint="eastAsia" w:ascii="宋体" w:hAnsi="宋体" w:eastAsia="宋体" w:cs="宋体"/>
          <w:color w:val="auto"/>
          <w:sz w:val="21"/>
          <w:highlight w:val="none"/>
          <w:lang w:eastAsia="zh-CN"/>
        </w:rPr>
        <w:t>）我单位未被列入失信被执行人、重大税收违法失信主体、政府采购严重违法失信行为记录名单中。</w:t>
      </w:r>
    </w:p>
    <w:p w14:paraId="3F3F32D6">
      <w:pPr>
        <w:pStyle w:val="38"/>
        <w:rPr>
          <w:rFonts w:hint="eastAsia" w:ascii="宋体" w:hAnsi="宋体" w:eastAsia="宋体" w:cs="宋体"/>
          <w:color w:val="auto"/>
          <w:sz w:val="21"/>
          <w:szCs w:val="21"/>
          <w:highlight w:val="none"/>
        </w:rPr>
      </w:pPr>
    </w:p>
    <w:p w14:paraId="40509748">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声明人：（公章）</w:t>
      </w:r>
    </w:p>
    <w:p w14:paraId="50464132">
      <w:pPr>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日期：______年月日</w:t>
      </w:r>
    </w:p>
    <w:p w14:paraId="6E5F2FBF">
      <w:pPr>
        <w:pStyle w:val="41"/>
        <w:widowControl/>
        <w:ind w:left="0"/>
        <w:outlineLvl w:val="9"/>
        <w:rPr>
          <w:rFonts w:hint="eastAsia" w:ascii="宋体" w:hAnsi="宋体" w:eastAsia="宋体" w:cs="宋体"/>
          <w:color w:val="auto"/>
          <w:highlight w:val="none"/>
        </w:rPr>
      </w:pPr>
    </w:p>
    <w:p w14:paraId="76D17892">
      <w:pPr>
        <w:pStyle w:val="41"/>
        <w:widowControl/>
        <w:ind w:left="0"/>
        <w:outlineLvl w:val="9"/>
        <w:rPr>
          <w:rFonts w:hint="eastAsia" w:ascii="宋体" w:hAnsi="宋体" w:eastAsia="宋体" w:cs="宋体"/>
          <w:b/>
          <w:color w:val="auto"/>
          <w:kern w:val="2"/>
          <w:sz w:val="21"/>
          <w:szCs w:val="20"/>
          <w:highlight w:val="none"/>
          <w:lang w:val="en-US" w:eastAsia="zh-CN" w:bidi="ar-SA"/>
        </w:rPr>
      </w:pPr>
    </w:p>
    <w:p w14:paraId="5DD381D9">
      <w:pPr>
        <w:spacing w:line="360" w:lineRule="auto"/>
        <w:rPr>
          <w:rFonts w:hint="eastAsia" w:ascii="宋体" w:hAnsi="宋体" w:eastAsia="宋体" w:cs="宋体"/>
          <w:b/>
          <w:color w:val="auto"/>
          <w:kern w:val="2"/>
          <w:sz w:val="21"/>
          <w:szCs w:val="20"/>
          <w:highlight w:val="none"/>
          <w:lang w:val="en-US" w:eastAsia="zh-CN" w:bidi="ar-SA"/>
        </w:rPr>
      </w:pPr>
      <w:r>
        <w:rPr>
          <w:rFonts w:hint="eastAsia" w:ascii="宋体" w:hAnsi="宋体" w:eastAsia="宋体" w:cs="宋体"/>
          <w:b/>
          <w:color w:val="auto"/>
          <w:kern w:val="2"/>
          <w:sz w:val="21"/>
          <w:szCs w:val="20"/>
          <w:highlight w:val="none"/>
          <w:lang w:val="en-US" w:eastAsia="zh-CN" w:bidi="ar-SA"/>
        </w:rPr>
        <w:t>附件八、符合法律、行政法规规定的其他条件承诺书格式</w:t>
      </w:r>
    </w:p>
    <w:p w14:paraId="2079A30D">
      <w:pPr>
        <w:keepNext w:val="0"/>
        <w:keepLines w:val="0"/>
        <w:pageBreakBefore w:val="0"/>
        <w:numPr>
          <w:ilvl w:val="0"/>
          <w:numId w:val="0"/>
        </w:numPr>
        <w:kinsoku/>
        <w:wordWrap/>
        <w:overflowPunct/>
        <w:topLinePunct w:val="0"/>
        <w:bidi w:val="0"/>
        <w:adjustRightInd w:val="0"/>
        <w:snapToGrid w:val="0"/>
        <w:spacing w:line="360" w:lineRule="auto"/>
        <w:ind w:leftChars="200"/>
        <w:textAlignment w:val="auto"/>
        <w:rPr>
          <w:rFonts w:hint="eastAsia" w:ascii="宋体" w:hAnsi="宋体" w:eastAsia="宋体" w:cs="宋体"/>
          <w:color w:val="auto"/>
          <w:sz w:val="24"/>
          <w:szCs w:val="24"/>
          <w:highlight w:val="none"/>
          <w:lang w:eastAsia="zh-CN"/>
        </w:rPr>
      </w:pPr>
    </w:p>
    <w:p w14:paraId="365DD4DD">
      <w:pPr>
        <w:keepNext w:val="0"/>
        <w:keepLines w:val="0"/>
        <w:pageBreakBefore w:val="0"/>
        <w:kinsoku/>
        <w:wordWrap/>
        <w:overflowPunct/>
        <w:topLinePunct w:val="0"/>
        <w:bidi w:val="0"/>
        <w:adjustRightInd w:val="0"/>
        <w:snapToGrid w:val="0"/>
        <w:spacing w:line="360" w:lineRule="auto"/>
        <w:ind w:left="0" w:firstLine="602" w:firstLineChars="200"/>
        <w:jc w:val="center"/>
        <w:textAlignment w:val="auto"/>
        <w:rPr>
          <w:rFonts w:hint="eastAsia" w:ascii="宋体" w:hAnsi="宋体" w:eastAsia="宋体" w:cs="宋体"/>
          <w:b/>
          <w:bCs/>
          <w:color w:val="auto"/>
          <w:sz w:val="30"/>
          <w:szCs w:val="30"/>
          <w:highlight w:val="none"/>
          <w:lang w:val="en-US" w:eastAsia="zh-CN"/>
        </w:rPr>
      </w:pPr>
    </w:p>
    <w:p w14:paraId="6216E903">
      <w:pPr>
        <w:keepNext w:val="0"/>
        <w:keepLines w:val="0"/>
        <w:pageBreakBefore w:val="0"/>
        <w:kinsoku/>
        <w:wordWrap/>
        <w:overflowPunct/>
        <w:topLinePunct w:val="0"/>
        <w:bidi w:val="0"/>
        <w:adjustRightInd w:val="0"/>
        <w:snapToGrid w:val="0"/>
        <w:spacing w:line="360" w:lineRule="auto"/>
        <w:ind w:left="0" w:firstLine="602" w:firstLineChars="200"/>
        <w:jc w:val="center"/>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符合法律、行政法规规定的其他条件承诺书格式</w:t>
      </w:r>
    </w:p>
    <w:p w14:paraId="3E869110">
      <w:pPr>
        <w:keepNext w:val="0"/>
        <w:keepLines w:val="0"/>
        <w:pageBreakBefore w:val="0"/>
        <w:kinsoku/>
        <w:wordWrap/>
        <w:overflowPunct/>
        <w:topLinePunct w:val="0"/>
        <w:bidi w:val="0"/>
        <w:adjustRightInd w:val="0"/>
        <w:snapToGrid w:val="0"/>
        <w:spacing w:line="360" w:lineRule="auto"/>
        <w:ind w:lef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中国药科大学：</w:t>
      </w:r>
    </w:p>
    <w:p w14:paraId="633A35F8">
      <w:pPr>
        <w:keepNext w:val="0"/>
        <w:keepLines w:val="0"/>
        <w:pageBreakBefore w:val="0"/>
        <w:kinsoku/>
        <w:wordWrap/>
        <w:overflowPunct/>
        <w:topLinePunct w:val="0"/>
        <w:bidi w:val="0"/>
        <w:adjustRightInd w:val="0"/>
        <w:snapToGrid w:val="0"/>
        <w:spacing w:line="360" w:lineRule="auto"/>
        <w:ind w:left="0" w:firstLine="1200" w:firstLineChars="500"/>
        <w:jc w:val="both"/>
        <w:textAlignment w:val="auto"/>
        <w:rPr>
          <w:rFonts w:hint="eastAsia" w:ascii="宋体" w:hAnsi="宋体" w:eastAsia="宋体" w:cs="宋体"/>
          <w:b/>
          <w:bCs/>
          <w:color w:val="auto"/>
          <w:sz w:val="30"/>
          <w:szCs w:val="30"/>
          <w:highlight w:val="none"/>
          <w:lang w:val="en-US" w:eastAsia="zh-CN"/>
        </w:rPr>
      </w:pPr>
      <w:r>
        <w:rPr>
          <w:rFonts w:hint="eastAsia" w:ascii="宋体" w:hAnsi="宋体" w:eastAsia="宋体" w:cs="宋体"/>
          <w:color w:val="auto"/>
          <w:sz w:val="24"/>
          <w:szCs w:val="24"/>
          <w:highlight w:val="none"/>
        </w:rPr>
        <w:t>我单位</w:t>
      </w:r>
      <w:r>
        <w:rPr>
          <w:rFonts w:hint="eastAsia" w:ascii="宋体" w:hAnsi="宋体" w:eastAsia="宋体" w:cs="宋体"/>
          <w:color w:val="auto"/>
          <w:sz w:val="24"/>
          <w:szCs w:val="24"/>
          <w:highlight w:val="none"/>
          <w:u w:val="single"/>
        </w:rPr>
        <w:t xml:space="preserve">  （供应商名称）</w:t>
      </w:r>
      <w:r>
        <w:rPr>
          <w:rFonts w:hint="eastAsia" w:ascii="宋体" w:hAnsi="宋体" w:eastAsia="宋体" w:cs="宋体"/>
          <w:color w:val="auto"/>
          <w:sz w:val="24"/>
          <w:szCs w:val="24"/>
          <w:highlight w:val="none"/>
        </w:rPr>
        <w:t>郑重声明：</w:t>
      </w:r>
      <w:r>
        <w:rPr>
          <w:rFonts w:hint="eastAsia" w:ascii="宋体" w:hAnsi="宋体" w:eastAsia="宋体" w:cs="宋体"/>
          <w:color w:val="auto"/>
          <w:sz w:val="24"/>
          <w:szCs w:val="24"/>
          <w:highlight w:val="none"/>
          <w:lang w:val="en-US" w:eastAsia="zh-CN"/>
        </w:rPr>
        <w:t>我单位符合并满足</w:t>
      </w:r>
      <w:r>
        <w:rPr>
          <w:rFonts w:hint="eastAsia" w:ascii="宋体" w:hAnsi="宋体" w:eastAsia="宋体" w:cs="宋体"/>
          <w:color w:val="auto"/>
          <w:sz w:val="24"/>
          <w:szCs w:val="24"/>
          <w:highlight w:val="none"/>
        </w:rPr>
        <w:t>法律、行政法规规定的其他条件</w:t>
      </w:r>
      <w:r>
        <w:rPr>
          <w:rFonts w:hint="eastAsia" w:ascii="宋体" w:hAnsi="宋体" w:eastAsia="宋体" w:cs="宋体"/>
          <w:color w:val="auto"/>
          <w:sz w:val="24"/>
          <w:szCs w:val="24"/>
          <w:highlight w:val="none"/>
          <w:lang w:eastAsia="zh-CN"/>
        </w:rPr>
        <w:t>。</w:t>
      </w:r>
    </w:p>
    <w:p w14:paraId="4D8AB240">
      <w:pPr>
        <w:keepNext w:val="0"/>
        <w:keepLines w:val="0"/>
        <w:pageBreakBefore w:val="0"/>
        <w:kinsoku/>
        <w:wordWrap/>
        <w:overflowPunct/>
        <w:topLinePunct w:val="0"/>
        <w:bidi w:val="0"/>
        <w:adjustRightInd w:val="0"/>
        <w:snapToGrid w:val="0"/>
        <w:spacing w:line="360" w:lineRule="auto"/>
        <w:ind w:left="0" w:firstLine="480" w:firstLineChars="20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声明人：（公章）</w:t>
      </w:r>
    </w:p>
    <w:p w14:paraId="76AD37A8">
      <w:pPr>
        <w:keepNext w:val="0"/>
        <w:keepLines w:val="0"/>
        <w:pageBreakBefore w:val="0"/>
        <w:kinsoku/>
        <w:wordWrap/>
        <w:overflowPunct/>
        <w:topLinePunct w:val="0"/>
        <w:bidi w:val="0"/>
        <w:adjustRightInd w:val="0"/>
        <w:snapToGrid w:val="0"/>
        <w:spacing w:line="360" w:lineRule="auto"/>
        <w:ind w:left="0" w:firstLine="480" w:firstLineChars="200"/>
        <w:jc w:val="center"/>
        <w:textAlignment w:val="auto"/>
        <w:rPr>
          <w:rFonts w:hint="eastAsia" w:ascii="宋体" w:hAnsi="宋体" w:eastAsia="宋体" w:cs="宋体"/>
          <w:b/>
          <w:bCs/>
          <w:color w:val="auto"/>
          <w:sz w:val="30"/>
          <w:szCs w:val="30"/>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日期：    年    月    日</w:t>
      </w:r>
    </w:p>
    <w:p w14:paraId="34C2DCD5">
      <w:pPr>
        <w:widowControl/>
        <w:jc w:val="left"/>
        <w:rPr>
          <w:rFonts w:hint="eastAsia" w:ascii="宋体" w:hAnsi="宋体" w:eastAsia="宋体" w:cs="宋体"/>
          <w:b/>
          <w:color w:val="auto"/>
          <w:highlight w:val="none"/>
        </w:rPr>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B2C849">
    <w:pPr>
      <w:pStyle w:val="16"/>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254151">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7C254151">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76CB92">
    <w:pPr>
      <w:pStyle w:val="16"/>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35B2B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5035B2B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521787">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9623528">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wrap="none" lIns="0" tIns="0" rIns="0" bIns="0" upright="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4LazoskBAACZAwAADgAAAGRycy9lMm9Eb2MueG1srVPNjtMwEL6vxDtY&#10;vlNnK4G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gtrOiyQEAAJkDAAAOAAAAAAAAAAEAIAAAAB4BAABkcnMvZTJvRG9j&#10;LnhtbFBLBQYAAAAABgAGAFkBAABZBQAAAAA=&#10;">
              <v:fill on="f" focussize="0,0"/>
              <v:stroke on="f"/>
              <v:imagedata o:title=""/>
              <o:lock v:ext="edit" aspectratio="f"/>
              <v:textbox inset="0mm,0mm,0mm,0mm" style="mso-fit-shape-to-text:t;">
                <w:txbxContent>
                  <w:p w14:paraId="39623528">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EB9BFF">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3C3364A9">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GkyuWdcBAACgAwAADgAAAGRycy9lMm9Eb2MueG1srVNLbtswEN0X&#10;yB0I7mtJsZ2kguWggZGiQNEGSHsAmqIsAvyBQ1vyBdobdNVN9z2Xz5EhJTlFusmiG2rImXkz781o&#10;ddtrRQ7Cg7SmosUsp0QYbmtpdhX99vX+7Q0lEJipmbJGVPQogN6uL96sOleKS9taVQtPEMRA2bmK&#10;tiG4MsuAt0IzmFknDDob6zULePW7rPasQ3Stsss8v8o662vnLRcA+LoZnHRE9K8BtE0judhYvtfC&#10;hAHVC8UCUoJWOqDr1G3TCB6+NA2IQFRFkWlIJxZBexvPbL1i5c4z10o+tsBe08ILTppJg0XPUBsW&#10;GNl7+Q+UltxbsE2YcauzgUhSBFkU+QttHlvmROKCUoM7iw7/D5Z/Pjx4IuuKXlNimMaBn37+OP36&#10;c/r9nVxHeToHJUY9OowL/Z3tcWmmd8DHyLpvvI5f5EPQj+Iez+KKPhAek4rFu/mSEo6uYl4sFsuI&#10;kj0nOw/hg7CaRKOiHmeXJGWHTxCG0Ckk1jL2XiqV5qcM6Sp6NV/mKeHsQXBlsEakMLQardBv+5HX&#10;1tZHpNXh/CtqcN0pUR8NyhtXZTL8ZGwnY++83LXYY5HqgXu/D9hNajJWGGDHwji4RHNcsrgZf99T&#10;1POPtX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dxhddIAAAADAQAADwAAAAAAAAABACAAAAAi&#10;AAAAZHJzL2Rvd25yZXYueG1sUEsBAhQAFAAAAAgAh07iQBpMrlnXAQAAoAMAAA4AAAAAAAAAAQAg&#10;AAAAIQEAAGRycy9lMm9Eb2MueG1sUEsFBgAAAAAGAAYAWQEAAGoFAAAAAA==&#10;">
              <v:fill on="f" focussize="0,0"/>
              <v:stroke on="f" weight="0.5pt"/>
              <v:imagedata o:title=""/>
              <o:lock v:ext="edit" aspectratio="f"/>
              <v:textbox inset="0mm,0mm,0mm,0mm" style="mso-fit-shape-to-text:t;">
                <w:txbxContent>
                  <w:p w14:paraId="3C3364A9">
                    <w:pPr>
                      <w:pStyle w:val="16"/>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A16F7">
    <w:pPr>
      <w:pStyle w:val="16"/>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14935" cy="131445"/>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9413F75">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438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h8HpkjgCAABjBAAADgAAAGRycy9lMm9Eb2MueG1srVTNjtMwEL4j&#10;8Q6W7zTt9kdQNV2VXS1CqtiVCuLsOk4TyX+y3SblAeANOHHhznP1OfjsNF20cNgDF2fsGX/j75uZ&#10;LK5bJclBOF8bndPRYEiJ0NwUtd7l9NPHu1evKfGB6YJJo0VOj8LT6+XLF4vGzsWVqYwshCMA0X7e&#10;2JxWIdh5lnleCcX8wFih4SyNUyxg63ZZ4VgDdCWzq+FwljXGFdYZLrzH6W3npGdE9xxAU5Y1F7eG&#10;75XQoUN1QrIASr6qrafL9NqyFDzcl6UXgcicgmlIK5LA3sY1Wy7YfOeYrWp+fgJ7zhOecFKs1kh6&#10;gbplgZG9q/+CUjV3xpsyDLhRWUckKQIWo+ETbTYVsyJxgdTeXkT3/w+Wfzg8OFIXOR3PKNFMoeKn&#10;799OP36dfn4lOINAjfVzxG0sIkP71rRom/7c4zDybkun4heMCPyQ93iRV7SB8HhpNHkznlLC4RqN&#10;R5PJNKJkj5et8+GdMIpEI6cO1UuissPahy60D4m5tLmrpUwVlJo0OZ2Np8N04eIBuNQxVqReOMNE&#10;Qt3DoxXabXtmuTXFESSd6frEW35X4ylr5sMDc2gM8MLohHsspTRIac4WJZVxX/51HuNRL3gpadBo&#10;OdWYK0rke406xp7sDdcb297Qe3Vj0LkjjKTlycQFF2Rvls6oz5inVcwBF9McmXIaevMmdM2OeeRi&#10;tUpB6DzLwlpvLI/QUR5vV/sAOZPKUZROCVQnbtB7qU7nOYnN/ec+RT3+G5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KXcYXXSAAAAAwEAAA8AAAAAAAAAAQAgAAAAIgAAAGRycy9kb3ducmV2Lnht&#10;bFBLAQIUABQAAAAIAIdO4kCHwemSOAIAAGMEAAAOAAAAAAAAAAEAIAAAACEBAABkcnMvZTJvRG9j&#10;LnhtbFBLBQYAAAAABgAGAFkBAADLBQAAAAA=&#10;">
              <v:fill on="f" focussize="0,0"/>
              <v:stroke on="f" weight="0.5pt"/>
              <v:imagedata o:title=""/>
              <o:lock v:ext="edit" aspectratio="f"/>
              <v:textbox inset="0mm,0mm,0mm,0mm" style="mso-fit-shape-to-text:t;">
                <w:txbxContent>
                  <w:p w14:paraId="79413F75">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224B6">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78BF75B">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60288;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q1es79cBAACiAwAADgAAAGRycy9lMm9Eb2MueG1srVNLbtswEN0X&#10;6B0I7mtJsR20guWghZGiQNEGcHsAmqIsAvyBQ1vyBdobdNVN9zmXz5EhJTlFsskiG2o4M3wz781o&#10;ddNrRY7Cg7SmosUsp0QYbmtp9hX9+eP23XtKIDBTM2WNqOhJAL1Zv32z6lwprmxrVS08QRADZecq&#10;2obgyiwD3grNYGadMBhsrNcs4NXvs9qzDtG1yq7y/DrrrK+dt1wAoHczBOmI6F8CaJtGcrGx/KCF&#10;CQOqF4oFpAStdEDXqdumETx8bxoQgaiKItOQTiyC9i6e2XrFyr1nrpV8bIG9pIUnnDSTBoteoDYs&#10;MHLw8hmUltxbsE2YcauzgUhSBFkU+RNtti1zInFBqcFdRIfXg+XfjneeyBo3oaDEMI0TP//5ff57&#10;f/73i6APBeoclJi3dZgZ+k+2x+TJD+iMvPvG6/hFRgTjKO/pIq/oA+HxUbH4MF9SwjFUzIvFYhlR&#10;ssfHzkP4LKwm0aiox+klUdnxK4QhdUqJtYy9lUqlCSpDuopez5d5enCJILgyWCNSGFqNVuh3/chr&#10;Z+sT0upwAypqcOEpUV8MChyXZTL8ZOwm4+C83LfYY5Hqgft4CNhNajJWGGDHwji6RHNcs7gb/99T&#10;1uOvtX4A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pdxhddIAAAADAQAADwAAAAAAAAABACAAAAAi&#10;AAAAZHJzL2Rvd25yZXYueG1sUEsBAhQAFAAAAAgAh07iQKtXrO/XAQAAogMAAA4AAAAAAAAAAQAg&#10;AAAAIQEAAGRycy9lMm9Eb2MueG1sUEsFBgAAAAAGAAYAWQEAAGoFAAAAAA==&#10;">
              <v:fill on="f" focussize="0,0"/>
              <v:stroke on="f" weight="0.5pt"/>
              <v:imagedata o:title=""/>
              <o:lock v:ext="edit" aspectratio="f"/>
              <v:textbox inset="0mm,0mm,0mm,0mm" style="mso-fit-shape-to-text:t;">
                <w:txbxContent>
                  <w:p w14:paraId="078BF75B">
                    <w:pPr>
                      <w:pStyle w:val="16"/>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41</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64437">
    <w:pPr>
      <w:pStyle w:val="16"/>
      <w:rPr>
        <w:rFonts w:ascii="仿宋_GB2312"/>
        <w:sz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546430A">
                          <w:pPr>
                            <w:pStyle w:val="1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wps:txbx>
                    <wps:bodyPr wrap="none" lIns="0" tIns="0" rIns="0" bIns="0" upright="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B1q+sgBAACZAwAADgAAAGRycy9lMm9Eb2MueG1srVNLbtswEN0X6B0I&#10;7msqXgSGYDloYaQoEKQF0h6ApkiLAH/g0JZ8gfYGXXXTfc/lc3RISU6bbLLIhhrODN/MezNa3wzW&#10;kKOMoL1r6NWiokQ64Vvt9g399vX23YoSSNy13HgnG3qSQG82b9+s+1DLpe+8aWUkCOKg7kNDu5RC&#10;zRiITloOCx+kw6Dy0fKE17hnbeQ9olvDllV1zXof2xC9kADo3Y5BOiHGlwB6pbSQWy8OVro0okZp&#10;eEJK0OkAdFO6VUqK9FkpkImYhiLTVE4sgvYun2yz5vU+8tBpMbXAX9LCE06Wa4dFL1Bbnjg5RP0M&#10;ymoRPXiVFsJbNhIpiiCLq+qJNg8dD7JwQakhXESH14MV98cvkei2oUtKHLc48PPPH+dff86/v5Pr&#10;LE8foMash4B5afjgB1ya2Q/ozKwHFW3+Ih+CcRT3dBFXDomI/Gi1XK0qDAmMzRfEZ4/PQ4T0UXpL&#10;stHQiNMrovLjHaQxdU7J1Zy/1caUCRr3nwMxs4fl3sces5WG3TAR2vn2hHx6HHxDHe45JeaTQ13z&#10;jsxGnI3dbBxC1PuuLFGuB+H9IWETpbdcYYSdCuPECrtpu/JK/HsvWY9/1OYv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PAdavrIAQAAmQMAAA4AAAAAAAAAAQAgAAAAHgEAAGRycy9lMm9Eb2Mu&#10;eG1sUEsFBgAAAAAGAAYAWQEAAFgFAAAAAA==&#10;">
              <v:fill on="f" focussize="0,0"/>
              <v:stroke on="f"/>
              <v:imagedata o:title=""/>
              <o:lock v:ext="edit" aspectratio="f"/>
              <v:textbox inset="0mm,0mm,0mm,0mm" style="mso-fit-shape-to-text:t;">
                <w:txbxContent>
                  <w:p w14:paraId="2546430A">
                    <w:pPr>
                      <w:pStyle w:val="16"/>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340A7">
    <w:pPr>
      <w:pStyle w:val="17"/>
      <w:pBdr>
        <w:bottom w:val="none" w:color="auto" w:sz="0" w:space="1"/>
      </w:pBdr>
      <w:jc w:val="both"/>
    </w:pPr>
    <w:r>
      <w:drawing>
        <wp:inline distT="0" distB="0" distL="114300" distR="114300">
          <wp:extent cx="1381125" cy="285750"/>
          <wp:effectExtent l="0" t="0" r="9525" b="0"/>
          <wp:docPr id="3"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c826bae80687e3a7b3b8bc243736336"/>
                  <pic:cNvPicPr>
                    <a:picLocks noChangeAspect="1"/>
                  </pic:cNvPicPr>
                </pic:nvPicPr>
                <pic:blipFill>
                  <a:blip r:embed="rId1"/>
                  <a:stretch>
                    <a:fillRect/>
                  </a:stretch>
                </pic:blipFill>
                <pic:spPr>
                  <a:xfrm>
                    <a:off x="0" y="0"/>
                    <a:ext cx="1381125" cy="285750"/>
                  </a:xfrm>
                  <a:prstGeom prst="rect">
                    <a:avLst/>
                  </a:prstGeom>
                  <a:noFill/>
                  <a:ln>
                    <a:noFill/>
                  </a:ln>
                </pic:spPr>
              </pic:pic>
            </a:graphicData>
          </a:graphic>
        </wp:inline>
      </w:drawing>
    </w: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rPr>
      <w:t xml:space="preserve">   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31B17">
    <w:pPr>
      <w:pStyle w:val="17"/>
      <w:pBdr>
        <w:bottom w:val="none" w:color="auto" w:sz="0" w:space="1"/>
      </w:pBdr>
      <w:jc w:val="both"/>
    </w:pPr>
    <w:r>
      <w:drawing>
        <wp:inline distT="0" distB="0" distL="114300" distR="114300">
          <wp:extent cx="1381125" cy="285750"/>
          <wp:effectExtent l="0" t="0" r="3175" b="6350"/>
          <wp:docPr id="5" name="图片 1"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c826bae80687e3a7b3b8bc243736336"/>
                  <pic:cNvPicPr>
                    <a:picLocks noChangeAspect="1"/>
                  </pic:cNvPicPr>
                </pic:nvPicPr>
                <pic:blipFill>
                  <a:blip r:embed="rId1"/>
                  <a:stretch>
                    <a:fillRect/>
                  </a:stretch>
                </pic:blipFill>
                <pic:spPr>
                  <a:xfrm>
                    <a:off x="0" y="0"/>
                    <a:ext cx="1381125" cy="285750"/>
                  </a:xfrm>
                  <a:prstGeom prst="rect">
                    <a:avLst/>
                  </a:prstGeom>
                  <a:noFill/>
                  <a:ln>
                    <a:noFill/>
                  </a:ln>
                </pic:spPr>
              </pic:pic>
            </a:graphicData>
          </a:graphic>
        </wp:inline>
      </w:drawing>
    </w:r>
    <w:r>
      <w:rPr>
        <w:rFonts w:hint="eastAsia" w:ascii="微软雅黑" w:hAnsi="微软雅黑" w:eastAsia="微软雅黑" w:cs="微软雅黑"/>
        <w:b/>
        <w:bCs/>
        <w:sz w:val="21"/>
        <w:szCs w:val="21"/>
      </w:rPr>
      <w:t xml:space="preserve">                                           </w:t>
    </w:r>
    <w:r>
      <w:rPr>
        <w:rFonts w:hint="eastAsia" w:ascii="微软雅黑" w:hAnsi="微软雅黑" w:eastAsia="微软雅黑" w:cs="微软雅黑"/>
        <w:b/>
        <w:bCs/>
        <w:sz w:val="21"/>
        <w:szCs w:val="21"/>
        <w:lang w:val="en-US" w:eastAsia="zh-CN"/>
      </w:rPr>
      <w:t xml:space="preserve">                                         </w:t>
    </w:r>
    <w:r>
      <w:rPr>
        <w:rFonts w:hint="eastAsia" w:ascii="微软雅黑" w:hAnsi="微软雅黑" w:eastAsia="微软雅黑" w:cs="微软雅黑"/>
        <w:b/>
        <w:bCs/>
        <w:sz w:val="21"/>
        <w:szCs w:val="21"/>
      </w:rPr>
      <w:t xml:space="preserve">   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730AC">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53F12"/>
    <w:multiLevelType w:val="singleLevel"/>
    <w:tmpl w:val="CB153F12"/>
    <w:lvl w:ilvl="0" w:tentative="0">
      <w:start w:val="1"/>
      <w:numFmt w:val="decimal"/>
      <w:suff w:val="nothing"/>
      <w:lvlText w:val="（%1）"/>
      <w:lvlJc w:val="left"/>
    </w:lvl>
  </w:abstractNum>
  <w:abstractNum w:abstractNumId="1">
    <w:nsid w:val="572C08FA"/>
    <w:multiLevelType w:val="singleLevel"/>
    <w:tmpl w:val="572C08FA"/>
    <w:lvl w:ilvl="0" w:tentative="0">
      <w:start w:val="4"/>
      <w:numFmt w:val="chineseCounting"/>
      <w:suff w:val="space"/>
      <w:lvlText w:val="第%1章"/>
      <w:lvlJc w:val="left"/>
      <w:rPr>
        <w:rFonts w:hint="eastAsia"/>
      </w:rPr>
    </w:lvl>
  </w:abstractNum>
  <w:abstractNum w:abstractNumId="2">
    <w:nsid w:val="70197DE5"/>
    <w:multiLevelType w:val="singleLevel"/>
    <w:tmpl w:val="70197DE5"/>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wM2E0OTM1MTNmYjdhZDYzZTk0ZmY4ODg5YjlmZWEifQ=="/>
  </w:docVars>
  <w:rsids>
    <w:rsidRoot w:val="00181009"/>
    <w:rsid w:val="0001359B"/>
    <w:rsid w:val="00014CB3"/>
    <w:rsid w:val="000264DE"/>
    <w:rsid w:val="0002719A"/>
    <w:rsid w:val="00045985"/>
    <w:rsid w:val="00050C60"/>
    <w:rsid w:val="00050F79"/>
    <w:rsid w:val="00053A39"/>
    <w:rsid w:val="0005639F"/>
    <w:rsid w:val="00060CA9"/>
    <w:rsid w:val="0006572F"/>
    <w:rsid w:val="00066F7A"/>
    <w:rsid w:val="000678E7"/>
    <w:rsid w:val="0007712A"/>
    <w:rsid w:val="00081295"/>
    <w:rsid w:val="00083031"/>
    <w:rsid w:val="000837D9"/>
    <w:rsid w:val="00083E53"/>
    <w:rsid w:val="000853EE"/>
    <w:rsid w:val="00085D7B"/>
    <w:rsid w:val="00087049"/>
    <w:rsid w:val="00093176"/>
    <w:rsid w:val="000A0067"/>
    <w:rsid w:val="000A794A"/>
    <w:rsid w:val="000B1F55"/>
    <w:rsid w:val="000B4581"/>
    <w:rsid w:val="000B4746"/>
    <w:rsid w:val="000B48E8"/>
    <w:rsid w:val="000B4AAE"/>
    <w:rsid w:val="000B6378"/>
    <w:rsid w:val="000C03A1"/>
    <w:rsid w:val="000C05E2"/>
    <w:rsid w:val="000C353D"/>
    <w:rsid w:val="000C6A5D"/>
    <w:rsid w:val="000C6BC9"/>
    <w:rsid w:val="000C7F81"/>
    <w:rsid w:val="000D2E22"/>
    <w:rsid w:val="000E04CA"/>
    <w:rsid w:val="000E16F6"/>
    <w:rsid w:val="000E3FC3"/>
    <w:rsid w:val="000E6ED0"/>
    <w:rsid w:val="000F7C23"/>
    <w:rsid w:val="0010029A"/>
    <w:rsid w:val="00101BF8"/>
    <w:rsid w:val="00104508"/>
    <w:rsid w:val="001113BD"/>
    <w:rsid w:val="001131D6"/>
    <w:rsid w:val="00113907"/>
    <w:rsid w:val="0011585E"/>
    <w:rsid w:val="00115B19"/>
    <w:rsid w:val="00115BDB"/>
    <w:rsid w:val="00120008"/>
    <w:rsid w:val="00122482"/>
    <w:rsid w:val="0012642F"/>
    <w:rsid w:val="00132649"/>
    <w:rsid w:val="001335C1"/>
    <w:rsid w:val="00137F9D"/>
    <w:rsid w:val="00144069"/>
    <w:rsid w:val="0014637B"/>
    <w:rsid w:val="00146D2F"/>
    <w:rsid w:val="00151955"/>
    <w:rsid w:val="00156158"/>
    <w:rsid w:val="001613E2"/>
    <w:rsid w:val="00170913"/>
    <w:rsid w:val="00171A87"/>
    <w:rsid w:val="00176751"/>
    <w:rsid w:val="00180912"/>
    <w:rsid w:val="00181009"/>
    <w:rsid w:val="00186EA1"/>
    <w:rsid w:val="00190D8B"/>
    <w:rsid w:val="00193116"/>
    <w:rsid w:val="00196233"/>
    <w:rsid w:val="001A4D5D"/>
    <w:rsid w:val="001A69BE"/>
    <w:rsid w:val="001A7350"/>
    <w:rsid w:val="001B116D"/>
    <w:rsid w:val="001B1E40"/>
    <w:rsid w:val="001B3887"/>
    <w:rsid w:val="001B4162"/>
    <w:rsid w:val="001B4FB6"/>
    <w:rsid w:val="001B5E4B"/>
    <w:rsid w:val="001B67E1"/>
    <w:rsid w:val="001D1ED5"/>
    <w:rsid w:val="001D3772"/>
    <w:rsid w:val="001D5244"/>
    <w:rsid w:val="001E15CE"/>
    <w:rsid w:val="001E6D33"/>
    <w:rsid w:val="001E7498"/>
    <w:rsid w:val="001F3D71"/>
    <w:rsid w:val="001F3E82"/>
    <w:rsid w:val="001F56F0"/>
    <w:rsid w:val="001F6915"/>
    <w:rsid w:val="001F700F"/>
    <w:rsid w:val="00203D51"/>
    <w:rsid w:val="00207B8C"/>
    <w:rsid w:val="00213D8C"/>
    <w:rsid w:val="0021557D"/>
    <w:rsid w:val="00224C25"/>
    <w:rsid w:val="00226F05"/>
    <w:rsid w:val="00230EDC"/>
    <w:rsid w:val="00232251"/>
    <w:rsid w:val="002328CC"/>
    <w:rsid w:val="00235B03"/>
    <w:rsid w:val="00237581"/>
    <w:rsid w:val="0023762F"/>
    <w:rsid w:val="00241A91"/>
    <w:rsid w:val="00251ED5"/>
    <w:rsid w:val="00257C36"/>
    <w:rsid w:val="002618BA"/>
    <w:rsid w:val="0027126B"/>
    <w:rsid w:val="00271DF4"/>
    <w:rsid w:val="00272172"/>
    <w:rsid w:val="002763CB"/>
    <w:rsid w:val="0028261F"/>
    <w:rsid w:val="00284F0F"/>
    <w:rsid w:val="00290667"/>
    <w:rsid w:val="002947E2"/>
    <w:rsid w:val="002A120F"/>
    <w:rsid w:val="002A155D"/>
    <w:rsid w:val="002A2076"/>
    <w:rsid w:val="002A496D"/>
    <w:rsid w:val="002C10CC"/>
    <w:rsid w:val="002C29BC"/>
    <w:rsid w:val="002D03C1"/>
    <w:rsid w:val="002D2A67"/>
    <w:rsid w:val="002D461F"/>
    <w:rsid w:val="002E1D74"/>
    <w:rsid w:val="002E33CA"/>
    <w:rsid w:val="002E6705"/>
    <w:rsid w:val="002F1538"/>
    <w:rsid w:val="002F2CE4"/>
    <w:rsid w:val="002F78C4"/>
    <w:rsid w:val="00303C9A"/>
    <w:rsid w:val="0030520F"/>
    <w:rsid w:val="00305426"/>
    <w:rsid w:val="0030543C"/>
    <w:rsid w:val="00306D8C"/>
    <w:rsid w:val="00312894"/>
    <w:rsid w:val="00317E58"/>
    <w:rsid w:val="003211C4"/>
    <w:rsid w:val="00322E53"/>
    <w:rsid w:val="003246AE"/>
    <w:rsid w:val="003246C1"/>
    <w:rsid w:val="003252CA"/>
    <w:rsid w:val="00325C5A"/>
    <w:rsid w:val="0032659D"/>
    <w:rsid w:val="003330E7"/>
    <w:rsid w:val="00333E68"/>
    <w:rsid w:val="00337DED"/>
    <w:rsid w:val="00350A51"/>
    <w:rsid w:val="00350DFF"/>
    <w:rsid w:val="00351BD2"/>
    <w:rsid w:val="003548CB"/>
    <w:rsid w:val="00354FFB"/>
    <w:rsid w:val="0036033B"/>
    <w:rsid w:val="003723D2"/>
    <w:rsid w:val="00372733"/>
    <w:rsid w:val="003762B5"/>
    <w:rsid w:val="00377304"/>
    <w:rsid w:val="0038750E"/>
    <w:rsid w:val="003A286A"/>
    <w:rsid w:val="003A2CF7"/>
    <w:rsid w:val="003A4B0D"/>
    <w:rsid w:val="003B0467"/>
    <w:rsid w:val="003B0FD8"/>
    <w:rsid w:val="003B3AD6"/>
    <w:rsid w:val="003C083C"/>
    <w:rsid w:val="003D009E"/>
    <w:rsid w:val="003E0637"/>
    <w:rsid w:val="003E1560"/>
    <w:rsid w:val="003E21DA"/>
    <w:rsid w:val="003E3D94"/>
    <w:rsid w:val="003F772A"/>
    <w:rsid w:val="00402760"/>
    <w:rsid w:val="00403D6E"/>
    <w:rsid w:val="00407B80"/>
    <w:rsid w:val="00417770"/>
    <w:rsid w:val="00422FAC"/>
    <w:rsid w:val="00425AC8"/>
    <w:rsid w:val="0043120A"/>
    <w:rsid w:val="0043235E"/>
    <w:rsid w:val="00434399"/>
    <w:rsid w:val="00435E2B"/>
    <w:rsid w:val="00443062"/>
    <w:rsid w:val="00443E8A"/>
    <w:rsid w:val="00444CE1"/>
    <w:rsid w:val="0045492E"/>
    <w:rsid w:val="0045650F"/>
    <w:rsid w:val="00462300"/>
    <w:rsid w:val="00465F2D"/>
    <w:rsid w:val="00472227"/>
    <w:rsid w:val="004722DA"/>
    <w:rsid w:val="00475581"/>
    <w:rsid w:val="004810BB"/>
    <w:rsid w:val="004827FF"/>
    <w:rsid w:val="00483130"/>
    <w:rsid w:val="00484BA8"/>
    <w:rsid w:val="00484FC8"/>
    <w:rsid w:val="00486BEA"/>
    <w:rsid w:val="0049764F"/>
    <w:rsid w:val="004A08FA"/>
    <w:rsid w:val="004A324E"/>
    <w:rsid w:val="004C0D90"/>
    <w:rsid w:val="004C1C06"/>
    <w:rsid w:val="004C4D0C"/>
    <w:rsid w:val="004C6C61"/>
    <w:rsid w:val="004C7D5A"/>
    <w:rsid w:val="004D1568"/>
    <w:rsid w:val="004D3239"/>
    <w:rsid w:val="004D3630"/>
    <w:rsid w:val="004E3E49"/>
    <w:rsid w:val="004E4CB2"/>
    <w:rsid w:val="004E6DAF"/>
    <w:rsid w:val="004E7985"/>
    <w:rsid w:val="004F6AE9"/>
    <w:rsid w:val="004F7AA2"/>
    <w:rsid w:val="004F7EDD"/>
    <w:rsid w:val="00501651"/>
    <w:rsid w:val="00504585"/>
    <w:rsid w:val="00505118"/>
    <w:rsid w:val="00515724"/>
    <w:rsid w:val="0051653C"/>
    <w:rsid w:val="00520CE8"/>
    <w:rsid w:val="0052379E"/>
    <w:rsid w:val="00525214"/>
    <w:rsid w:val="00527C3E"/>
    <w:rsid w:val="00533C9F"/>
    <w:rsid w:val="00535456"/>
    <w:rsid w:val="00540002"/>
    <w:rsid w:val="005406EF"/>
    <w:rsid w:val="0055206B"/>
    <w:rsid w:val="005700AD"/>
    <w:rsid w:val="00574C21"/>
    <w:rsid w:val="00575620"/>
    <w:rsid w:val="00576BDB"/>
    <w:rsid w:val="00580151"/>
    <w:rsid w:val="00586A4C"/>
    <w:rsid w:val="00596D4D"/>
    <w:rsid w:val="005B62AC"/>
    <w:rsid w:val="005C0048"/>
    <w:rsid w:val="005C01D2"/>
    <w:rsid w:val="005C27ED"/>
    <w:rsid w:val="005D1794"/>
    <w:rsid w:val="005D525E"/>
    <w:rsid w:val="005D60C6"/>
    <w:rsid w:val="005E1B19"/>
    <w:rsid w:val="005E476C"/>
    <w:rsid w:val="005E4E52"/>
    <w:rsid w:val="005E64CA"/>
    <w:rsid w:val="005E658C"/>
    <w:rsid w:val="005F2ECB"/>
    <w:rsid w:val="005F6178"/>
    <w:rsid w:val="00606480"/>
    <w:rsid w:val="0061211A"/>
    <w:rsid w:val="00617341"/>
    <w:rsid w:val="00620771"/>
    <w:rsid w:val="00625013"/>
    <w:rsid w:val="00630740"/>
    <w:rsid w:val="006323E3"/>
    <w:rsid w:val="00635D68"/>
    <w:rsid w:val="006435C8"/>
    <w:rsid w:val="00646890"/>
    <w:rsid w:val="00646F90"/>
    <w:rsid w:val="00651E09"/>
    <w:rsid w:val="006605C6"/>
    <w:rsid w:val="00661C9D"/>
    <w:rsid w:val="00661D0E"/>
    <w:rsid w:val="0067080A"/>
    <w:rsid w:val="00670BAF"/>
    <w:rsid w:val="00671861"/>
    <w:rsid w:val="00674ABD"/>
    <w:rsid w:val="006917AC"/>
    <w:rsid w:val="00693AF9"/>
    <w:rsid w:val="006A0562"/>
    <w:rsid w:val="006A14D0"/>
    <w:rsid w:val="006A4860"/>
    <w:rsid w:val="006B4927"/>
    <w:rsid w:val="006C294A"/>
    <w:rsid w:val="006C3760"/>
    <w:rsid w:val="006C39AF"/>
    <w:rsid w:val="006C7CBA"/>
    <w:rsid w:val="006C7F14"/>
    <w:rsid w:val="006D2055"/>
    <w:rsid w:val="006D5B19"/>
    <w:rsid w:val="006D6488"/>
    <w:rsid w:val="006F09AE"/>
    <w:rsid w:val="006F488A"/>
    <w:rsid w:val="00700372"/>
    <w:rsid w:val="00705F95"/>
    <w:rsid w:val="00707679"/>
    <w:rsid w:val="00712EDB"/>
    <w:rsid w:val="00726D6A"/>
    <w:rsid w:val="00726FCA"/>
    <w:rsid w:val="0072769A"/>
    <w:rsid w:val="0073154C"/>
    <w:rsid w:val="00731C94"/>
    <w:rsid w:val="007410E5"/>
    <w:rsid w:val="00757C0C"/>
    <w:rsid w:val="0076287A"/>
    <w:rsid w:val="00763F54"/>
    <w:rsid w:val="00765362"/>
    <w:rsid w:val="00765505"/>
    <w:rsid w:val="00767F60"/>
    <w:rsid w:val="0077751B"/>
    <w:rsid w:val="00777F10"/>
    <w:rsid w:val="00781D89"/>
    <w:rsid w:val="00784972"/>
    <w:rsid w:val="00785FE5"/>
    <w:rsid w:val="007862B0"/>
    <w:rsid w:val="007A3432"/>
    <w:rsid w:val="007B3847"/>
    <w:rsid w:val="007B5014"/>
    <w:rsid w:val="007B668D"/>
    <w:rsid w:val="007C5AEE"/>
    <w:rsid w:val="007D3E6D"/>
    <w:rsid w:val="007D7C81"/>
    <w:rsid w:val="007E008F"/>
    <w:rsid w:val="007E0D7E"/>
    <w:rsid w:val="007F30A3"/>
    <w:rsid w:val="007F7A1F"/>
    <w:rsid w:val="008008FD"/>
    <w:rsid w:val="00806BC8"/>
    <w:rsid w:val="00810006"/>
    <w:rsid w:val="008103B0"/>
    <w:rsid w:val="00813430"/>
    <w:rsid w:val="00821852"/>
    <w:rsid w:val="00825F75"/>
    <w:rsid w:val="00830218"/>
    <w:rsid w:val="00830343"/>
    <w:rsid w:val="0083117B"/>
    <w:rsid w:val="00833AB2"/>
    <w:rsid w:val="00835499"/>
    <w:rsid w:val="0084032B"/>
    <w:rsid w:val="00840917"/>
    <w:rsid w:val="00842F4A"/>
    <w:rsid w:val="0084380A"/>
    <w:rsid w:val="00847298"/>
    <w:rsid w:val="008503BE"/>
    <w:rsid w:val="00850DF2"/>
    <w:rsid w:val="00852B13"/>
    <w:rsid w:val="00853AE0"/>
    <w:rsid w:val="00853D26"/>
    <w:rsid w:val="008579F6"/>
    <w:rsid w:val="00862A1F"/>
    <w:rsid w:val="008842B1"/>
    <w:rsid w:val="0089462A"/>
    <w:rsid w:val="00894835"/>
    <w:rsid w:val="00897310"/>
    <w:rsid w:val="008A10B8"/>
    <w:rsid w:val="008A16FD"/>
    <w:rsid w:val="008A2D34"/>
    <w:rsid w:val="008A3486"/>
    <w:rsid w:val="008A55C6"/>
    <w:rsid w:val="008A6302"/>
    <w:rsid w:val="008C1B98"/>
    <w:rsid w:val="008C26FA"/>
    <w:rsid w:val="008C4FD7"/>
    <w:rsid w:val="008D3D86"/>
    <w:rsid w:val="008D65B3"/>
    <w:rsid w:val="008E2550"/>
    <w:rsid w:val="008F5908"/>
    <w:rsid w:val="008F72F8"/>
    <w:rsid w:val="008F7AB9"/>
    <w:rsid w:val="00900E63"/>
    <w:rsid w:val="00903201"/>
    <w:rsid w:val="00904B04"/>
    <w:rsid w:val="009074D2"/>
    <w:rsid w:val="00910A2E"/>
    <w:rsid w:val="00910C84"/>
    <w:rsid w:val="009151EB"/>
    <w:rsid w:val="00915645"/>
    <w:rsid w:val="009164B0"/>
    <w:rsid w:val="00921EA2"/>
    <w:rsid w:val="00922C0A"/>
    <w:rsid w:val="00926694"/>
    <w:rsid w:val="0093383E"/>
    <w:rsid w:val="00935AF3"/>
    <w:rsid w:val="00936826"/>
    <w:rsid w:val="00940E63"/>
    <w:rsid w:val="00940EF1"/>
    <w:rsid w:val="009445D7"/>
    <w:rsid w:val="00945666"/>
    <w:rsid w:val="00945AA6"/>
    <w:rsid w:val="00950248"/>
    <w:rsid w:val="009511B7"/>
    <w:rsid w:val="00954D06"/>
    <w:rsid w:val="00957651"/>
    <w:rsid w:val="00961CC0"/>
    <w:rsid w:val="00963BC6"/>
    <w:rsid w:val="00964035"/>
    <w:rsid w:val="009679E2"/>
    <w:rsid w:val="00971627"/>
    <w:rsid w:val="0097370F"/>
    <w:rsid w:val="00974454"/>
    <w:rsid w:val="00975FBD"/>
    <w:rsid w:val="00982FE6"/>
    <w:rsid w:val="009A0082"/>
    <w:rsid w:val="009A1BE8"/>
    <w:rsid w:val="009A2D7F"/>
    <w:rsid w:val="009A3FCF"/>
    <w:rsid w:val="009A4E75"/>
    <w:rsid w:val="009A5FBF"/>
    <w:rsid w:val="009B51D5"/>
    <w:rsid w:val="009C03CF"/>
    <w:rsid w:val="009C09DC"/>
    <w:rsid w:val="009C68C4"/>
    <w:rsid w:val="009C7EC2"/>
    <w:rsid w:val="009D002C"/>
    <w:rsid w:val="009D133A"/>
    <w:rsid w:val="009E0181"/>
    <w:rsid w:val="009E16D4"/>
    <w:rsid w:val="009E3AB8"/>
    <w:rsid w:val="009E76DD"/>
    <w:rsid w:val="009F053A"/>
    <w:rsid w:val="009F3008"/>
    <w:rsid w:val="009F54CD"/>
    <w:rsid w:val="009F68CF"/>
    <w:rsid w:val="009F6AFE"/>
    <w:rsid w:val="009F75E4"/>
    <w:rsid w:val="00A069EB"/>
    <w:rsid w:val="00A07EB5"/>
    <w:rsid w:val="00A11859"/>
    <w:rsid w:val="00A15AFC"/>
    <w:rsid w:val="00A22C23"/>
    <w:rsid w:val="00A23E9B"/>
    <w:rsid w:val="00A26265"/>
    <w:rsid w:val="00A26D2C"/>
    <w:rsid w:val="00A31AC7"/>
    <w:rsid w:val="00A34461"/>
    <w:rsid w:val="00A3470B"/>
    <w:rsid w:val="00A35595"/>
    <w:rsid w:val="00A5095E"/>
    <w:rsid w:val="00A50B3B"/>
    <w:rsid w:val="00A578A9"/>
    <w:rsid w:val="00A60D7B"/>
    <w:rsid w:val="00A6167D"/>
    <w:rsid w:val="00A64369"/>
    <w:rsid w:val="00A7182F"/>
    <w:rsid w:val="00A75236"/>
    <w:rsid w:val="00A75FDE"/>
    <w:rsid w:val="00A776F2"/>
    <w:rsid w:val="00A816CB"/>
    <w:rsid w:val="00A81F23"/>
    <w:rsid w:val="00A85AEC"/>
    <w:rsid w:val="00A86352"/>
    <w:rsid w:val="00A9357E"/>
    <w:rsid w:val="00A949DC"/>
    <w:rsid w:val="00AA4FF0"/>
    <w:rsid w:val="00AA50D4"/>
    <w:rsid w:val="00AA6286"/>
    <w:rsid w:val="00AA74F8"/>
    <w:rsid w:val="00AB43D9"/>
    <w:rsid w:val="00AC158C"/>
    <w:rsid w:val="00AC22ED"/>
    <w:rsid w:val="00AC2832"/>
    <w:rsid w:val="00AC2FB0"/>
    <w:rsid w:val="00AC5D76"/>
    <w:rsid w:val="00AC6978"/>
    <w:rsid w:val="00AC6ED8"/>
    <w:rsid w:val="00AE0DA8"/>
    <w:rsid w:val="00AE2854"/>
    <w:rsid w:val="00AE5AEF"/>
    <w:rsid w:val="00AE5F2E"/>
    <w:rsid w:val="00AF1E11"/>
    <w:rsid w:val="00AF3287"/>
    <w:rsid w:val="00AF4FEC"/>
    <w:rsid w:val="00AF66A4"/>
    <w:rsid w:val="00B001B3"/>
    <w:rsid w:val="00B01DAD"/>
    <w:rsid w:val="00B02C7E"/>
    <w:rsid w:val="00B208EF"/>
    <w:rsid w:val="00B20969"/>
    <w:rsid w:val="00B26679"/>
    <w:rsid w:val="00B30B71"/>
    <w:rsid w:val="00B37D25"/>
    <w:rsid w:val="00B37F01"/>
    <w:rsid w:val="00B40E03"/>
    <w:rsid w:val="00B44A51"/>
    <w:rsid w:val="00B44E88"/>
    <w:rsid w:val="00B531F0"/>
    <w:rsid w:val="00B712BC"/>
    <w:rsid w:val="00B7215E"/>
    <w:rsid w:val="00B7663E"/>
    <w:rsid w:val="00B846A6"/>
    <w:rsid w:val="00B9399D"/>
    <w:rsid w:val="00B967C2"/>
    <w:rsid w:val="00BA081C"/>
    <w:rsid w:val="00BA19CE"/>
    <w:rsid w:val="00BA787F"/>
    <w:rsid w:val="00BB3AB5"/>
    <w:rsid w:val="00BC38C2"/>
    <w:rsid w:val="00BC3B85"/>
    <w:rsid w:val="00BD011B"/>
    <w:rsid w:val="00BD06B7"/>
    <w:rsid w:val="00BD3EF7"/>
    <w:rsid w:val="00BE07FE"/>
    <w:rsid w:val="00BE16B6"/>
    <w:rsid w:val="00BE292F"/>
    <w:rsid w:val="00BE7F91"/>
    <w:rsid w:val="00BF1A0E"/>
    <w:rsid w:val="00BF28A6"/>
    <w:rsid w:val="00C013D4"/>
    <w:rsid w:val="00C017B9"/>
    <w:rsid w:val="00C04093"/>
    <w:rsid w:val="00C04BE1"/>
    <w:rsid w:val="00C0696B"/>
    <w:rsid w:val="00C10125"/>
    <w:rsid w:val="00C147BC"/>
    <w:rsid w:val="00C16EC7"/>
    <w:rsid w:val="00C17C28"/>
    <w:rsid w:val="00C30981"/>
    <w:rsid w:val="00C3138E"/>
    <w:rsid w:val="00C31BBD"/>
    <w:rsid w:val="00C33DAB"/>
    <w:rsid w:val="00C4032E"/>
    <w:rsid w:val="00C42935"/>
    <w:rsid w:val="00C42F8F"/>
    <w:rsid w:val="00C54008"/>
    <w:rsid w:val="00C61633"/>
    <w:rsid w:val="00C635B8"/>
    <w:rsid w:val="00C7124B"/>
    <w:rsid w:val="00C7305C"/>
    <w:rsid w:val="00C74626"/>
    <w:rsid w:val="00C76278"/>
    <w:rsid w:val="00C77884"/>
    <w:rsid w:val="00C778FB"/>
    <w:rsid w:val="00C77B4A"/>
    <w:rsid w:val="00C83A70"/>
    <w:rsid w:val="00C867C1"/>
    <w:rsid w:val="00C86D3B"/>
    <w:rsid w:val="00C87C81"/>
    <w:rsid w:val="00C94344"/>
    <w:rsid w:val="00C95106"/>
    <w:rsid w:val="00CA003A"/>
    <w:rsid w:val="00CA0EDA"/>
    <w:rsid w:val="00CA1116"/>
    <w:rsid w:val="00CA1832"/>
    <w:rsid w:val="00CA2E2D"/>
    <w:rsid w:val="00CB1070"/>
    <w:rsid w:val="00CC472B"/>
    <w:rsid w:val="00CC4FEA"/>
    <w:rsid w:val="00CC565F"/>
    <w:rsid w:val="00CC76E0"/>
    <w:rsid w:val="00CD0239"/>
    <w:rsid w:val="00CD4C29"/>
    <w:rsid w:val="00CD53F0"/>
    <w:rsid w:val="00CD623C"/>
    <w:rsid w:val="00CE3F44"/>
    <w:rsid w:val="00CE676F"/>
    <w:rsid w:val="00CF0E6C"/>
    <w:rsid w:val="00CF1510"/>
    <w:rsid w:val="00CF6891"/>
    <w:rsid w:val="00CF7591"/>
    <w:rsid w:val="00D0042D"/>
    <w:rsid w:val="00D02E1F"/>
    <w:rsid w:val="00D05E24"/>
    <w:rsid w:val="00D1275C"/>
    <w:rsid w:val="00D1667F"/>
    <w:rsid w:val="00D17A5F"/>
    <w:rsid w:val="00D221FE"/>
    <w:rsid w:val="00D268AA"/>
    <w:rsid w:val="00D33294"/>
    <w:rsid w:val="00D36D64"/>
    <w:rsid w:val="00D4200F"/>
    <w:rsid w:val="00D43C01"/>
    <w:rsid w:val="00D4785C"/>
    <w:rsid w:val="00D62A67"/>
    <w:rsid w:val="00D63CC2"/>
    <w:rsid w:val="00D63CDF"/>
    <w:rsid w:val="00D66837"/>
    <w:rsid w:val="00D70C28"/>
    <w:rsid w:val="00D71FE5"/>
    <w:rsid w:val="00D74DDA"/>
    <w:rsid w:val="00D808D2"/>
    <w:rsid w:val="00D812C8"/>
    <w:rsid w:val="00D81470"/>
    <w:rsid w:val="00D90781"/>
    <w:rsid w:val="00D95B51"/>
    <w:rsid w:val="00DA4CBE"/>
    <w:rsid w:val="00DA6295"/>
    <w:rsid w:val="00DB628C"/>
    <w:rsid w:val="00DB709C"/>
    <w:rsid w:val="00DC083E"/>
    <w:rsid w:val="00DC45E7"/>
    <w:rsid w:val="00DC528C"/>
    <w:rsid w:val="00DC714A"/>
    <w:rsid w:val="00DD1667"/>
    <w:rsid w:val="00DD3634"/>
    <w:rsid w:val="00DD4C2A"/>
    <w:rsid w:val="00DD4E59"/>
    <w:rsid w:val="00DD5F24"/>
    <w:rsid w:val="00DD73F3"/>
    <w:rsid w:val="00DE188B"/>
    <w:rsid w:val="00DF02B8"/>
    <w:rsid w:val="00DF3C44"/>
    <w:rsid w:val="00DF6C9D"/>
    <w:rsid w:val="00E011B6"/>
    <w:rsid w:val="00E045E7"/>
    <w:rsid w:val="00E04988"/>
    <w:rsid w:val="00E167BD"/>
    <w:rsid w:val="00E17E46"/>
    <w:rsid w:val="00E21399"/>
    <w:rsid w:val="00E238C0"/>
    <w:rsid w:val="00E370FF"/>
    <w:rsid w:val="00E41B38"/>
    <w:rsid w:val="00E4396C"/>
    <w:rsid w:val="00E46199"/>
    <w:rsid w:val="00E50498"/>
    <w:rsid w:val="00E62D85"/>
    <w:rsid w:val="00E63F90"/>
    <w:rsid w:val="00E64406"/>
    <w:rsid w:val="00E64A3D"/>
    <w:rsid w:val="00E67C79"/>
    <w:rsid w:val="00E732EB"/>
    <w:rsid w:val="00E77FCE"/>
    <w:rsid w:val="00E837DA"/>
    <w:rsid w:val="00E839D4"/>
    <w:rsid w:val="00E92183"/>
    <w:rsid w:val="00E961FD"/>
    <w:rsid w:val="00EA1E55"/>
    <w:rsid w:val="00EA7CA9"/>
    <w:rsid w:val="00EB11B9"/>
    <w:rsid w:val="00EB185A"/>
    <w:rsid w:val="00EB3A1B"/>
    <w:rsid w:val="00EB41BE"/>
    <w:rsid w:val="00EB6BB4"/>
    <w:rsid w:val="00EB7B09"/>
    <w:rsid w:val="00EC2E28"/>
    <w:rsid w:val="00EC4EED"/>
    <w:rsid w:val="00EC6BDA"/>
    <w:rsid w:val="00EC759A"/>
    <w:rsid w:val="00ED01F5"/>
    <w:rsid w:val="00ED23A3"/>
    <w:rsid w:val="00EE155A"/>
    <w:rsid w:val="00EE1596"/>
    <w:rsid w:val="00EE1AE3"/>
    <w:rsid w:val="00EE3442"/>
    <w:rsid w:val="00EE6654"/>
    <w:rsid w:val="00EF0027"/>
    <w:rsid w:val="00EF0F7B"/>
    <w:rsid w:val="00EF1B54"/>
    <w:rsid w:val="00EF3113"/>
    <w:rsid w:val="00EF3A2F"/>
    <w:rsid w:val="00EF535E"/>
    <w:rsid w:val="00EF730B"/>
    <w:rsid w:val="00F01418"/>
    <w:rsid w:val="00F02789"/>
    <w:rsid w:val="00F06A6C"/>
    <w:rsid w:val="00F07C3D"/>
    <w:rsid w:val="00F14F9F"/>
    <w:rsid w:val="00F17B8C"/>
    <w:rsid w:val="00F22F3D"/>
    <w:rsid w:val="00F24DFD"/>
    <w:rsid w:val="00F31147"/>
    <w:rsid w:val="00F334CE"/>
    <w:rsid w:val="00F40440"/>
    <w:rsid w:val="00F41ED8"/>
    <w:rsid w:val="00F443C5"/>
    <w:rsid w:val="00F5248C"/>
    <w:rsid w:val="00F63D3E"/>
    <w:rsid w:val="00F64102"/>
    <w:rsid w:val="00F65B21"/>
    <w:rsid w:val="00F7062A"/>
    <w:rsid w:val="00F71453"/>
    <w:rsid w:val="00F73F2B"/>
    <w:rsid w:val="00F8056D"/>
    <w:rsid w:val="00F94772"/>
    <w:rsid w:val="00FA143D"/>
    <w:rsid w:val="00FA6895"/>
    <w:rsid w:val="00FB0C3E"/>
    <w:rsid w:val="00FB20AF"/>
    <w:rsid w:val="00FB20D5"/>
    <w:rsid w:val="00FB2D0F"/>
    <w:rsid w:val="00FB32F3"/>
    <w:rsid w:val="00FB5381"/>
    <w:rsid w:val="00FB5F71"/>
    <w:rsid w:val="00FB6EDF"/>
    <w:rsid w:val="00FC2F20"/>
    <w:rsid w:val="00FC6E34"/>
    <w:rsid w:val="00FD0A4E"/>
    <w:rsid w:val="00FD3612"/>
    <w:rsid w:val="00FD708A"/>
    <w:rsid w:val="00FE1149"/>
    <w:rsid w:val="00FE1391"/>
    <w:rsid w:val="00FE1D5C"/>
    <w:rsid w:val="00FE2558"/>
    <w:rsid w:val="00FE3FCD"/>
    <w:rsid w:val="00FE66B7"/>
    <w:rsid w:val="00FF056B"/>
    <w:rsid w:val="00FF3AD3"/>
    <w:rsid w:val="01613C46"/>
    <w:rsid w:val="016B1A90"/>
    <w:rsid w:val="017D7944"/>
    <w:rsid w:val="018A3F4D"/>
    <w:rsid w:val="019610AF"/>
    <w:rsid w:val="01D152A8"/>
    <w:rsid w:val="01EF05E9"/>
    <w:rsid w:val="03253423"/>
    <w:rsid w:val="035717DD"/>
    <w:rsid w:val="03E272F9"/>
    <w:rsid w:val="03E273F4"/>
    <w:rsid w:val="050B6D23"/>
    <w:rsid w:val="051401CD"/>
    <w:rsid w:val="05634349"/>
    <w:rsid w:val="062F259D"/>
    <w:rsid w:val="066A7A79"/>
    <w:rsid w:val="06AB431A"/>
    <w:rsid w:val="06B3208A"/>
    <w:rsid w:val="076C4702"/>
    <w:rsid w:val="08395955"/>
    <w:rsid w:val="08BF5E5A"/>
    <w:rsid w:val="09933DFE"/>
    <w:rsid w:val="09D65B51"/>
    <w:rsid w:val="0AE0030A"/>
    <w:rsid w:val="0B3864F3"/>
    <w:rsid w:val="0B745622"/>
    <w:rsid w:val="0B754EF6"/>
    <w:rsid w:val="0BD55995"/>
    <w:rsid w:val="0C3F39FC"/>
    <w:rsid w:val="0CA4371A"/>
    <w:rsid w:val="0D3B429C"/>
    <w:rsid w:val="0DE46C0C"/>
    <w:rsid w:val="0E010CC3"/>
    <w:rsid w:val="0E2F5830"/>
    <w:rsid w:val="0E5C239D"/>
    <w:rsid w:val="0E8A6F0A"/>
    <w:rsid w:val="0EAA4EB7"/>
    <w:rsid w:val="0ED2440E"/>
    <w:rsid w:val="0ED83D17"/>
    <w:rsid w:val="0EF06F05"/>
    <w:rsid w:val="0F021CB4"/>
    <w:rsid w:val="0F300A4C"/>
    <w:rsid w:val="0F692FC4"/>
    <w:rsid w:val="0F76748F"/>
    <w:rsid w:val="0F825E34"/>
    <w:rsid w:val="0F9A4F2B"/>
    <w:rsid w:val="0FFA0C33"/>
    <w:rsid w:val="0FFF56D6"/>
    <w:rsid w:val="106C2D6C"/>
    <w:rsid w:val="10E3683D"/>
    <w:rsid w:val="10F935A7"/>
    <w:rsid w:val="11212C58"/>
    <w:rsid w:val="11EC57E6"/>
    <w:rsid w:val="12D978A4"/>
    <w:rsid w:val="14654487"/>
    <w:rsid w:val="14B4083D"/>
    <w:rsid w:val="14DB04C0"/>
    <w:rsid w:val="14DB73E8"/>
    <w:rsid w:val="14EC447B"/>
    <w:rsid w:val="15632263"/>
    <w:rsid w:val="15D8055B"/>
    <w:rsid w:val="15DA7B59"/>
    <w:rsid w:val="16082510"/>
    <w:rsid w:val="163B2C5B"/>
    <w:rsid w:val="16ED0036"/>
    <w:rsid w:val="172D48D7"/>
    <w:rsid w:val="185A794E"/>
    <w:rsid w:val="18BE7BE7"/>
    <w:rsid w:val="190D5854"/>
    <w:rsid w:val="195D4CFB"/>
    <w:rsid w:val="19F32C5C"/>
    <w:rsid w:val="1A0F29BA"/>
    <w:rsid w:val="1A1A55E6"/>
    <w:rsid w:val="1AA72BF2"/>
    <w:rsid w:val="1AFA5418"/>
    <w:rsid w:val="1B544B28"/>
    <w:rsid w:val="1B5C4DFC"/>
    <w:rsid w:val="1B75574A"/>
    <w:rsid w:val="1B9E2247"/>
    <w:rsid w:val="1BBB0703"/>
    <w:rsid w:val="1BD16179"/>
    <w:rsid w:val="1BFB31F6"/>
    <w:rsid w:val="1C3F7586"/>
    <w:rsid w:val="1C550710"/>
    <w:rsid w:val="1C9D605B"/>
    <w:rsid w:val="1D1722B1"/>
    <w:rsid w:val="1D57445C"/>
    <w:rsid w:val="1D61177E"/>
    <w:rsid w:val="1D7C4ED0"/>
    <w:rsid w:val="1DE81558"/>
    <w:rsid w:val="1E854FF8"/>
    <w:rsid w:val="1ED50819"/>
    <w:rsid w:val="1F5A46D7"/>
    <w:rsid w:val="1F881244"/>
    <w:rsid w:val="1FFE32B4"/>
    <w:rsid w:val="20570270"/>
    <w:rsid w:val="206E4763"/>
    <w:rsid w:val="20913F51"/>
    <w:rsid w:val="21503430"/>
    <w:rsid w:val="21F7445F"/>
    <w:rsid w:val="22A66B96"/>
    <w:rsid w:val="22E76282"/>
    <w:rsid w:val="23502079"/>
    <w:rsid w:val="23983A20"/>
    <w:rsid w:val="239B0E1A"/>
    <w:rsid w:val="2401038C"/>
    <w:rsid w:val="24253506"/>
    <w:rsid w:val="245636BF"/>
    <w:rsid w:val="24EE7D9B"/>
    <w:rsid w:val="250D7AF6"/>
    <w:rsid w:val="25937906"/>
    <w:rsid w:val="25CB3C39"/>
    <w:rsid w:val="270A253F"/>
    <w:rsid w:val="272A2BE1"/>
    <w:rsid w:val="272B57A3"/>
    <w:rsid w:val="27B716B6"/>
    <w:rsid w:val="27CE17BE"/>
    <w:rsid w:val="27DC212D"/>
    <w:rsid w:val="282A35C4"/>
    <w:rsid w:val="282D2989"/>
    <w:rsid w:val="285717B4"/>
    <w:rsid w:val="286E4D4F"/>
    <w:rsid w:val="28BE2E9B"/>
    <w:rsid w:val="28D9666D"/>
    <w:rsid w:val="294D2BB7"/>
    <w:rsid w:val="29BA649E"/>
    <w:rsid w:val="2A554419"/>
    <w:rsid w:val="2A5C57A7"/>
    <w:rsid w:val="2AA44A58"/>
    <w:rsid w:val="2AA9206F"/>
    <w:rsid w:val="2AED28A3"/>
    <w:rsid w:val="2B006133"/>
    <w:rsid w:val="2B3C5E38"/>
    <w:rsid w:val="2B681F2A"/>
    <w:rsid w:val="2B7F799F"/>
    <w:rsid w:val="2BE801F0"/>
    <w:rsid w:val="2D9A3BB6"/>
    <w:rsid w:val="2DFE18A3"/>
    <w:rsid w:val="2E2276FF"/>
    <w:rsid w:val="2E402CEA"/>
    <w:rsid w:val="2E444588"/>
    <w:rsid w:val="2EB96B21"/>
    <w:rsid w:val="2EF20488"/>
    <w:rsid w:val="2EF76D74"/>
    <w:rsid w:val="2F0106CB"/>
    <w:rsid w:val="2F524E90"/>
    <w:rsid w:val="30843054"/>
    <w:rsid w:val="30C418AA"/>
    <w:rsid w:val="313E1763"/>
    <w:rsid w:val="31463ADD"/>
    <w:rsid w:val="314C4279"/>
    <w:rsid w:val="321D59C5"/>
    <w:rsid w:val="327F0971"/>
    <w:rsid w:val="329B2BE5"/>
    <w:rsid w:val="32D00AE0"/>
    <w:rsid w:val="33705E1F"/>
    <w:rsid w:val="33BE302F"/>
    <w:rsid w:val="33F2645C"/>
    <w:rsid w:val="34792429"/>
    <w:rsid w:val="34CB45F5"/>
    <w:rsid w:val="34CC7CE6"/>
    <w:rsid w:val="353C245D"/>
    <w:rsid w:val="354B26A0"/>
    <w:rsid w:val="35672644"/>
    <w:rsid w:val="35AD13D2"/>
    <w:rsid w:val="35F7775F"/>
    <w:rsid w:val="36D861B6"/>
    <w:rsid w:val="3710594F"/>
    <w:rsid w:val="378400EB"/>
    <w:rsid w:val="37B82F6C"/>
    <w:rsid w:val="3849704B"/>
    <w:rsid w:val="38685317"/>
    <w:rsid w:val="38FB262F"/>
    <w:rsid w:val="39074B30"/>
    <w:rsid w:val="39FE4185"/>
    <w:rsid w:val="3A4818A4"/>
    <w:rsid w:val="3B3360B0"/>
    <w:rsid w:val="3B895CD0"/>
    <w:rsid w:val="3BA406DF"/>
    <w:rsid w:val="3C1852A6"/>
    <w:rsid w:val="3C3C2D43"/>
    <w:rsid w:val="3CD067C5"/>
    <w:rsid w:val="3CF4186F"/>
    <w:rsid w:val="3D363C36"/>
    <w:rsid w:val="3D58666B"/>
    <w:rsid w:val="3E151375"/>
    <w:rsid w:val="3E5527E2"/>
    <w:rsid w:val="3FAF7CCF"/>
    <w:rsid w:val="405961D5"/>
    <w:rsid w:val="410A7000"/>
    <w:rsid w:val="4125649B"/>
    <w:rsid w:val="420559F8"/>
    <w:rsid w:val="428B1AA5"/>
    <w:rsid w:val="42AE09BA"/>
    <w:rsid w:val="435E3EE6"/>
    <w:rsid w:val="43EC32A0"/>
    <w:rsid w:val="4401577E"/>
    <w:rsid w:val="44366C11"/>
    <w:rsid w:val="44415A65"/>
    <w:rsid w:val="444541D1"/>
    <w:rsid w:val="45141518"/>
    <w:rsid w:val="458A6689"/>
    <w:rsid w:val="45AF4585"/>
    <w:rsid w:val="45C53DA9"/>
    <w:rsid w:val="45EF7078"/>
    <w:rsid w:val="46164604"/>
    <w:rsid w:val="46410203"/>
    <w:rsid w:val="467C4DAF"/>
    <w:rsid w:val="467D0B27"/>
    <w:rsid w:val="46E808B9"/>
    <w:rsid w:val="470B6133"/>
    <w:rsid w:val="478761A9"/>
    <w:rsid w:val="495D254A"/>
    <w:rsid w:val="49C10D2B"/>
    <w:rsid w:val="49EF3AEA"/>
    <w:rsid w:val="4A3414FD"/>
    <w:rsid w:val="4ADA52E2"/>
    <w:rsid w:val="4AE72DEF"/>
    <w:rsid w:val="4B0C5FD6"/>
    <w:rsid w:val="4B3774F7"/>
    <w:rsid w:val="4B776900"/>
    <w:rsid w:val="4BA426B2"/>
    <w:rsid w:val="4C0F2247"/>
    <w:rsid w:val="4C8F3363"/>
    <w:rsid w:val="4C9F7C81"/>
    <w:rsid w:val="4CB54B4F"/>
    <w:rsid w:val="4D0B1254"/>
    <w:rsid w:val="4D862070"/>
    <w:rsid w:val="4DAE7818"/>
    <w:rsid w:val="4DD54B34"/>
    <w:rsid w:val="4E53000A"/>
    <w:rsid w:val="4E8C5DAC"/>
    <w:rsid w:val="4EE74D90"/>
    <w:rsid w:val="4EEF00E8"/>
    <w:rsid w:val="4F2064F4"/>
    <w:rsid w:val="4F8E7901"/>
    <w:rsid w:val="4F9C3DCC"/>
    <w:rsid w:val="505A77E4"/>
    <w:rsid w:val="50607952"/>
    <w:rsid w:val="51B353FD"/>
    <w:rsid w:val="51BA78BD"/>
    <w:rsid w:val="52701540"/>
    <w:rsid w:val="527F63DD"/>
    <w:rsid w:val="52E1101E"/>
    <w:rsid w:val="530562F3"/>
    <w:rsid w:val="532C190B"/>
    <w:rsid w:val="533C1422"/>
    <w:rsid w:val="53584D54"/>
    <w:rsid w:val="53A476F3"/>
    <w:rsid w:val="53B35D18"/>
    <w:rsid w:val="53DF24DA"/>
    <w:rsid w:val="53E421E6"/>
    <w:rsid w:val="53E465FE"/>
    <w:rsid w:val="545033D7"/>
    <w:rsid w:val="549459BA"/>
    <w:rsid w:val="554747DA"/>
    <w:rsid w:val="556B3400"/>
    <w:rsid w:val="55DF4A13"/>
    <w:rsid w:val="56DB78D0"/>
    <w:rsid w:val="57BE4AFC"/>
    <w:rsid w:val="57F81DBC"/>
    <w:rsid w:val="580A1AEF"/>
    <w:rsid w:val="582C415B"/>
    <w:rsid w:val="58523BC2"/>
    <w:rsid w:val="589D6981"/>
    <w:rsid w:val="58EC0A6C"/>
    <w:rsid w:val="59E34F77"/>
    <w:rsid w:val="5A820063"/>
    <w:rsid w:val="5A867B53"/>
    <w:rsid w:val="5A89319F"/>
    <w:rsid w:val="5A902780"/>
    <w:rsid w:val="5B152C85"/>
    <w:rsid w:val="5B61411C"/>
    <w:rsid w:val="5B9444F1"/>
    <w:rsid w:val="5CD679A9"/>
    <w:rsid w:val="5CFD0369"/>
    <w:rsid w:val="5D635F29"/>
    <w:rsid w:val="5D72144F"/>
    <w:rsid w:val="5D9205BD"/>
    <w:rsid w:val="5DCE3659"/>
    <w:rsid w:val="5EA04F5B"/>
    <w:rsid w:val="5EE72B8A"/>
    <w:rsid w:val="5F6917F1"/>
    <w:rsid w:val="604E1113"/>
    <w:rsid w:val="607D19A6"/>
    <w:rsid w:val="609B3C2C"/>
    <w:rsid w:val="60BA7569"/>
    <w:rsid w:val="61462D9B"/>
    <w:rsid w:val="6162474A"/>
    <w:rsid w:val="61A46B11"/>
    <w:rsid w:val="61F96E5C"/>
    <w:rsid w:val="62F12014"/>
    <w:rsid w:val="630C0E11"/>
    <w:rsid w:val="63C8712F"/>
    <w:rsid w:val="65DE4CE7"/>
    <w:rsid w:val="66100C18"/>
    <w:rsid w:val="66666A8A"/>
    <w:rsid w:val="66B240B2"/>
    <w:rsid w:val="67780823"/>
    <w:rsid w:val="68332285"/>
    <w:rsid w:val="68AA4F77"/>
    <w:rsid w:val="68D423D1"/>
    <w:rsid w:val="68D777CC"/>
    <w:rsid w:val="69B61936"/>
    <w:rsid w:val="69F525FF"/>
    <w:rsid w:val="6A1B23DD"/>
    <w:rsid w:val="6A266C5C"/>
    <w:rsid w:val="6A527A52"/>
    <w:rsid w:val="6A9363A9"/>
    <w:rsid w:val="6AD62B08"/>
    <w:rsid w:val="6B4E646B"/>
    <w:rsid w:val="6B84607A"/>
    <w:rsid w:val="6BB169FA"/>
    <w:rsid w:val="6BBF210D"/>
    <w:rsid w:val="6C832144"/>
    <w:rsid w:val="6C865790"/>
    <w:rsid w:val="6C9F2CF6"/>
    <w:rsid w:val="6CD26C28"/>
    <w:rsid w:val="6CDA3D2E"/>
    <w:rsid w:val="6CF21078"/>
    <w:rsid w:val="6D1C60F5"/>
    <w:rsid w:val="6D7C522C"/>
    <w:rsid w:val="6DC01176"/>
    <w:rsid w:val="6DF11851"/>
    <w:rsid w:val="6DF7412D"/>
    <w:rsid w:val="6E2D11A6"/>
    <w:rsid w:val="6F4436E1"/>
    <w:rsid w:val="6F9B77A5"/>
    <w:rsid w:val="70027824"/>
    <w:rsid w:val="70147557"/>
    <w:rsid w:val="70385A9E"/>
    <w:rsid w:val="70A1703D"/>
    <w:rsid w:val="70BB1B84"/>
    <w:rsid w:val="70F5087F"/>
    <w:rsid w:val="71200441"/>
    <w:rsid w:val="71335868"/>
    <w:rsid w:val="718D75C1"/>
    <w:rsid w:val="71F15DA2"/>
    <w:rsid w:val="7210652D"/>
    <w:rsid w:val="73131D48"/>
    <w:rsid w:val="734017B6"/>
    <w:rsid w:val="73C372CA"/>
    <w:rsid w:val="7407365B"/>
    <w:rsid w:val="74272A33"/>
    <w:rsid w:val="74DA6435"/>
    <w:rsid w:val="74E27C24"/>
    <w:rsid w:val="7511031D"/>
    <w:rsid w:val="75706FDE"/>
    <w:rsid w:val="75864A53"/>
    <w:rsid w:val="759F2FBC"/>
    <w:rsid w:val="75C655A6"/>
    <w:rsid w:val="76B949B4"/>
    <w:rsid w:val="76F1414E"/>
    <w:rsid w:val="77FA638A"/>
    <w:rsid w:val="789D27E0"/>
    <w:rsid w:val="78A7540C"/>
    <w:rsid w:val="78D21D5D"/>
    <w:rsid w:val="79D40418"/>
    <w:rsid w:val="7A0423EA"/>
    <w:rsid w:val="7A3525A4"/>
    <w:rsid w:val="7A88301C"/>
    <w:rsid w:val="7AAA4D40"/>
    <w:rsid w:val="7AF366E7"/>
    <w:rsid w:val="7B1D5512"/>
    <w:rsid w:val="7B8B2DC3"/>
    <w:rsid w:val="7B9A4DB4"/>
    <w:rsid w:val="7BB67C52"/>
    <w:rsid w:val="7C091676"/>
    <w:rsid w:val="7C776EA4"/>
    <w:rsid w:val="7CE85FF3"/>
    <w:rsid w:val="7D0270B5"/>
    <w:rsid w:val="7D032E2D"/>
    <w:rsid w:val="7DDF73F6"/>
    <w:rsid w:val="7E2A0806"/>
    <w:rsid w:val="7EF0118F"/>
    <w:rsid w:val="7EFE145C"/>
    <w:rsid w:val="7F007624"/>
    <w:rsid w:val="7F2F286A"/>
    <w:rsid w:val="7F3C21FB"/>
    <w:rsid w:val="7F7D6EC7"/>
    <w:rsid w:val="7F820039"/>
    <w:rsid w:val="7F842003"/>
    <w:rsid w:val="7F9130B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52"/>
    <w:qFormat/>
    <w:uiPriority w:val="9"/>
    <w:pPr>
      <w:widowControl/>
      <w:spacing w:before="120" w:after="240"/>
      <w:ind w:right="240"/>
      <w:jc w:val="left"/>
      <w:outlineLvl w:val="0"/>
    </w:pPr>
    <w:rPr>
      <w:rFonts w:ascii="宋体" w:hAnsi="宋体" w:eastAsia="宋体" w:cs="Times New Roman"/>
      <w:b/>
      <w:bCs/>
      <w:kern w:val="36"/>
      <w:sz w:val="14"/>
      <w:szCs w:val="14"/>
    </w:rPr>
  </w:style>
  <w:style w:type="paragraph" w:styleId="4">
    <w:name w:val="heading 2"/>
    <w:basedOn w:val="1"/>
    <w:next w:val="1"/>
    <w:link w:val="49"/>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link w:val="53"/>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2">
    <w:name w:val="heading 4"/>
    <w:basedOn w:val="1"/>
    <w:next w:val="1"/>
    <w:link w:val="72"/>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link w:val="68"/>
    <w:unhideWhenUsed/>
    <w:qFormat/>
    <w:uiPriority w:val="0"/>
    <w:pPr>
      <w:jc w:val="left"/>
    </w:pPr>
  </w:style>
  <w:style w:type="paragraph" w:styleId="7">
    <w:name w:val="Body Text"/>
    <w:basedOn w:val="1"/>
    <w:link w:val="40"/>
    <w:qFormat/>
    <w:uiPriority w:val="99"/>
    <w:pPr>
      <w:spacing w:after="120"/>
    </w:pPr>
    <w:rPr>
      <w:rFonts w:ascii="Times New Roman" w:hAnsi="Times New Roman" w:eastAsia="宋体" w:cs="Times New Roman"/>
      <w:kern w:val="0"/>
      <w:sz w:val="24"/>
      <w:szCs w:val="24"/>
    </w:rPr>
  </w:style>
  <w:style w:type="paragraph" w:styleId="8">
    <w:name w:val="Body Text Indent"/>
    <w:basedOn w:val="1"/>
    <w:qFormat/>
    <w:uiPriority w:val="0"/>
    <w:pPr>
      <w:spacing w:after="120"/>
      <w:ind w:left="420" w:leftChars="200"/>
    </w:pPr>
  </w:style>
  <w:style w:type="paragraph" w:styleId="9">
    <w:name w:val="Block Text"/>
    <w:basedOn w:val="1"/>
    <w:qFormat/>
    <w:uiPriority w:val="0"/>
    <w:pPr>
      <w:autoSpaceDE/>
      <w:autoSpaceDN/>
      <w:spacing w:after="120"/>
      <w:ind w:left="1440" w:leftChars="700" w:right="1440" w:rightChars="700"/>
      <w:jc w:val="both"/>
    </w:pPr>
    <w:rPr>
      <w:rFonts w:ascii="Calibri" w:hAnsi="Calibri" w:cs="Times New Roman"/>
      <w:kern w:val="2"/>
      <w:sz w:val="21"/>
      <w:szCs w:val="24"/>
      <w:lang w:eastAsia="zh-CN"/>
    </w:rPr>
  </w:style>
  <w:style w:type="paragraph" w:styleId="10">
    <w:name w:val="index 4"/>
    <w:basedOn w:val="1"/>
    <w:next w:val="1"/>
    <w:unhideWhenUsed/>
    <w:qFormat/>
    <w:uiPriority w:val="99"/>
    <w:pPr>
      <w:ind w:left="600" w:leftChars="600"/>
    </w:pPr>
    <w:rPr>
      <w:rFonts w:ascii="Calibri" w:hAnsi="Calibri" w:eastAsia="宋体" w:cs="Times New Roman"/>
      <w:szCs w:val="24"/>
    </w:rPr>
  </w:style>
  <w:style w:type="paragraph" w:styleId="11">
    <w:name w:val="toc 3"/>
    <w:basedOn w:val="1"/>
    <w:next w:val="1"/>
    <w:qFormat/>
    <w:uiPriority w:val="39"/>
    <w:pPr>
      <w:ind w:left="840" w:leftChars="400"/>
    </w:pPr>
    <w:rPr>
      <w:rFonts w:ascii="Calibri" w:hAnsi="Calibri" w:eastAsia="宋体" w:cs="Times New Roman"/>
    </w:rPr>
  </w:style>
  <w:style w:type="paragraph" w:styleId="12">
    <w:name w:val="Plain Text"/>
    <w:basedOn w:val="1"/>
    <w:link w:val="50"/>
    <w:qFormat/>
    <w:uiPriority w:val="99"/>
    <w:rPr>
      <w:rFonts w:ascii="宋体" w:hAnsi="Courier New"/>
    </w:rPr>
  </w:style>
  <w:style w:type="paragraph" w:styleId="13">
    <w:name w:val="Date"/>
    <w:basedOn w:val="1"/>
    <w:next w:val="1"/>
    <w:link w:val="59"/>
    <w:qFormat/>
    <w:uiPriority w:val="0"/>
    <w:pPr>
      <w:ind w:left="100" w:leftChars="2500"/>
    </w:pPr>
    <w:rPr>
      <w:rFonts w:ascii="Times New Roman" w:hAnsi="Times New Roman" w:eastAsia="宋体" w:cs="Times New Roman"/>
      <w:szCs w:val="24"/>
    </w:rPr>
  </w:style>
  <w:style w:type="paragraph" w:styleId="14">
    <w:name w:val="Body Text Indent 2"/>
    <w:basedOn w:val="1"/>
    <w:next w:val="1"/>
    <w:link w:val="82"/>
    <w:qFormat/>
    <w:uiPriority w:val="0"/>
    <w:pPr>
      <w:spacing w:after="120" w:line="480" w:lineRule="auto"/>
      <w:ind w:left="420" w:leftChars="200"/>
    </w:pPr>
    <w:rPr>
      <w:rFonts w:ascii="Times New Roman" w:hAnsi="Times New Roman" w:eastAsia="宋体" w:cs="Times New Roman"/>
      <w:szCs w:val="20"/>
    </w:rPr>
  </w:style>
  <w:style w:type="paragraph" w:styleId="15">
    <w:name w:val="Balloon Text"/>
    <w:basedOn w:val="1"/>
    <w:link w:val="39"/>
    <w:semiHidden/>
    <w:unhideWhenUsed/>
    <w:qFormat/>
    <w:uiPriority w:val="99"/>
    <w:rPr>
      <w:sz w:val="18"/>
      <w:szCs w:val="18"/>
    </w:rPr>
  </w:style>
  <w:style w:type="paragraph" w:styleId="16">
    <w:name w:val="footer"/>
    <w:basedOn w:val="1"/>
    <w:link w:val="43"/>
    <w:unhideWhenUsed/>
    <w:qFormat/>
    <w:uiPriority w:val="99"/>
    <w:pPr>
      <w:tabs>
        <w:tab w:val="center" w:pos="4153"/>
        <w:tab w:val="right" w:pos="8306"/>
      </w:tabs>
      <w:snapToGrid w:val="0"/>
      <w:jc w:val="left"/>
    </w:pPr>
    <w:rPr>
      <w:sz w:val="18"/>
      <w:szCs w:val="18"/>
    </w:rPr>
  </w:style>
  <w:style w:type="paragraph" w:styleId="17">
    <w:name w:val="header"/>
    <w:basedOn w:val="1"/>
    <w:link w:val="42"/>
    <w:unhideWhenUsed/>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rPr>
      <w:rFonts w:ascii="Calibri" w:hAnsi="Calibri" w:eastAsia="宋体" w:cs="Times New Roman"/>
    </w:rPr>
  </w:style>
  <w:style w:type="paragraph" w:styleId="19">
    <w:name w:val="toc 2"/>
    <w:basedOn w:val="1"/>
    <w:next w:val="1"/>
    <w:qFormat/>
    <w:uiPriority w:val="39"/>
    <w:pPr>
      <w:ind w:left="420" w:leftChars="200"/>
    </w:pPr>
    <w:rPr>
      <w:rFonts w:ascii="Calibri" w:hAnsi="Calibri" w:eastAsia="宋体" w:cs="Times New Roman"/>
    </w:rPr>
  </w:style>
  <w:style w:type="paragraph" w:styleId="20">
    <w:name w:val="HTML Preformatted"/>
    <w:basedOn w:val="1"/>
    <w:link w:val="56"/>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eastAsia="宋体" w:cs="Times New Roman"/>
      <w:kern w:val="0"/>
      <w:sz w:val="11"/>
      <w:szCs w:val="11"/>
    </w:rPr>
  </w:style>
  <w:style w:type="paragraph" w:styleId="2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22">
    <w:name w:val="Title"/>
    <w:basedOn w:val="1"/>
    <w:next w:val="1"/>
    <w:link w:val="60"/>
    <w:qFormat/>
    <w:uiPriority w:val="0"/>
    <w:pPr>
      <w:spacing w:before="240" w:after="60"/>
      <w:jc w:val="center"/>
      <w:outlineLvl w:val="0"/>
    </w:pPr>
    <w:rPr>
      <w:rFonts w:ascii="Cambria" w:hAnsi="Cambria" w:eastAsia="黑体" w:cs="Times New Roman"/>
      <w:b/>
      <w:bCs/>
      <w:sz w:val="52"/>
      <w:szCs w:val="32"/>
    </w:rPr>
  </w:style>
  <w:style w:type="paragraph" w:styleId="23">
    <w:name w:val="annotation subject"/>
    <w:basedOn w:val="6"/>
    <w:next w:val="6"/>
    <w:link w:val="69"/>
    <w:semiHidden/>
    <w:unhideWhenUsed/>
    <w:qFormat/>
    <w:uiPriority w:val="99"/>
    <w:rPr>
      <w:b/>
      <w:bCs/>
    </w:rPr>
  </w:style>
  <w:style w:type="paragraph" w:styleId="24">
    <w:name w:val="Body Text First Indent 2"/>
    <w:basedOn w:val="8"/>
    <w:qFormat/>
    <w:uiPriority w:val="99"/>
    <w:pPr>
      <w:ind w:firstLine="420" w:firstLineChars="200"/>
    </w:p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qFormat/>
    <w:uiPriority w:val="22"/>
    <w:rPr>
      <w:b/>
      <w:bCs/>
    </w:rPr>
  </w:style>
  <w:style w:type="character" w:styleId="29">
    <w:name w:val="page number"/>
    <w:basedOn w:val="27"/>
    <w:qFormat/>
    <w:uiPriority w:val="0"/>
  </w:style>
  <w:style w:type="character" w:styleId="30">
    <w:name w:val="FollowedHyperlink"/>
    <w:qFormat/>
    <w:uiPriority w:val="0"/>
    <w:rPr>
      <w:color w:val="800080"/>
      <w:u w:val="single"/>
    </w:rPr>
  </w:style>
  <w:style w:type="character" w:styleId="31">
    <w:name w:val="HTML Typewriter"/>
    <w:basedOn w:val="27"/>
    <w:semiHidden/>
    <w:unhideWhenUsed/>
    <w:qFormat/>
    <w:uiPriority w:val="99"/>
    <w:rPr>
      <w:rFonts w:hint="default" w:ascii="monospace" w:hAnsi="monospace" w:eastAsia="monospace" w:cs="monospace"/>
      <w:sz w:val="20"/>
    </w:rPr>
  </w:style>
  <w:style w:type="character" w:styleId="32">
    <w:name w:val="HTML Acronym"/>
    <w:basedOn w:val="27"/>
    <w:semiHidden/>
    <w:unhideWhenUsed/>
    <w:qFormat/>
    <w:uiPriority w:val="99"/>
  </w:style>
  <w:style w:type="character" w:styleId="33">
    <w:name w:val="Hyperlink"/>
    <w:basedOn w:val="27"/>
    <w:unhideWhenUsed/>
    <w:qFormat/>
    <w:uiPriority w:val="99"/>
    <w:rPr>
      <w:color w:val="0563C1" w:themeColor="hyperlink"/>
      <w:u w:val="single"/>
      <w14:textFill>
        <w14:solidFill>
          <w14:schemeClr w14:val="hlink"/>
        </w14:solidFill>
      </w14:textFill>
    </w:rPr>
  </w:style>
  <w:style w:type="character" w:styleId="34">
    <w:name w:val="HTML Code"/>
    <w:basedOn w:val="27"/>
    <w:semiHidden/>
    <w:unhideWhenUsed/>
    <w:qFormat/>
    <w:uiPriority w:val="99"/>
    <w:rPr>
      <w:rFonts w:hint="default" w:ascii="monospace" w:hAnsi="monospace" w:eastAsia="monospace" w:cs="monospace"/>
      <w:sz w:val="20"/>
    </w:rPr>
  </w:style>
  <w:style w:type="character" w:styleId="35">
    <w:name w:val="annotation reference"/>
    <w:basedOn w:val="27"/>
    <w:semiHidden/>
    <w:unhideWhenUsed/>
    <w:qFormat/>
    <w:uiPriority w:val="99"/>
    <w:rPr>
      <w:sz w:val="21"/>
      <w:szCs w:val="21"/>
    </w:rPr>
  </w:style>
  <w:style w:type="character" w:styleId="36">
    <w:name w:val="HTML Keyboard"/>
    <w:basedOn w:val="27"/>
    <w:semiHidden/>
    <w:unhideWhenUsed/>
    <w:qFormat/>
    <w:uiPriority w:val="99"/>
    <w:rPr>
      <w:rFonts w:ascii="monospace" w:hAnsi="monospace" w:eastAsia="monospace" w:cs="monospace"/>
      <w:sz w:val="20"/>
    </w:rPr>
  </w:style>
  <w:style w:type="character" w:styleId="37">
    <w:name w:val="HTML Sample"/>
    <w:basedOn w:val="27"/>
    <w:semiHidden/>
    <w:unhideWhenUsed/>
    <w:qFormat/>
    <w:uiPriority w:val="99"/>
    <w:rPr>
      <w:rFonts w:hint="default" w:ascii="monospace" w:hAnsi="monospace" w:eastAsia="monospace" w:cs="monospace"/>
    </w:rPr>
  </w:style>
  <w:style w:type="paragraph" w:styleId="38">
    <w:name w:val="List Paragraph"/>
    <w:basedOn w:val="1"/>
    <w:qFormat/>
    <w:uiPriority w:val="99"/>
    <w:pPr>
      <w:ind w:firstLine="420" w:firstLineChars="200"/>
    </w:pPr>
    <w:rPr>
      <w:rFonts w:ascii="Times New Roman" w:hAnsi="Times New Roman" w:eastAsia="宋体" w:cs="Times New Roman"/>
      <w:szCs w:val="21"/>
    </w:rPr>
  </w:style>
  <w:style w:type="character" w:customStyle="1" w:styleId="39">
    <w:name w:val="批注框文本 Char"/>
    <w:basedOn w:val="27"/>
    <w:link w:val="15"/>
    <w:semiHidden/>
    <w:qFormat/>
    <w:uiPriority w:val="99"/>
    <w:rPr>
      <w:sz w:val="18"/>
      <w:szCs w:val="18"/>
    </w:rPr>
  </w:style>
  <w:style w:type="character" w:customStyle="1" w:styleId="40">
    <w:name w:val="正文文本 Char"/>
    <w:basedOn w:val="27"/>
    <w:link w:val="7"/>
    <w:qFormat/>
    <w:uiPriority w:val="99"/>
    <w:rPr>
      <w:rFonts w:ascii="Times New Roman" w:hAnsi="Times New Roman" w:eastAsia="宋体" w:cs="Times New Roman"/>
      <w:sz w:val="24"/>
      <w:szCs w:val="24"/>
    </w:rPr>
  </w:style>
  <w:style w:type="paragraph" w:customStyle="1" w:styleId="41">
    <w:name w:val="标题 41"/>
    <w:basedOn w:val="1"/>
    <w:qFormat/>
    <w:uiPriority w:val="1"/>
    <w:pPr>
      <w:autoSpaceDE w:val="0"/>
      <w:autoSpaceDN w:val="0"/>
      <w:ind w:left="618"/>
      <w:jc w:val="left"/>
      <w:outlineLvl w:val="4"/>
    </w:pPr>
    <w:rPr>
      <w:rFonts w:ascii="宋体" w:hAnsi="宋体" w:eastAsia="宋体" w:cs="宋体"/>
      <w:b/>
      <w:bCs/>
      <w:kern w:val="0"/>
      <w:sz w:val="24"/>
      <w:szCs w:val="24"/>
      <w:lang w:val="zh-CN" w:bidi="zh-CN"/>
    </w:rPr>
  </w:style>
  <w:style w:type="character" w:customStyle="1" w:styleId="42">
    <w:name w:val="页眉 Char"/>
    <w:basedOn w:val="27"/>
    <w:link w:val="17"/>
    <w:qFormat/>
    <w:uiPriority w:val="0"/>
    <w:rPr>
      <w:kern w:val="2"/>
      <w:sz w:val="18"/>
      <w:szCs w:val="18"/>
    </w:rPr>
  </w:style>
  <w:style w:type="character" w:customStyle="1" w:styleId="43">
    <w:name w:val="页脚 Char"/>
    <w:basedOn w:val="27"/>
    <w:link w:val="16"/>
    <w:qFormat/>
    <w:uiPriority w:val="0"/>
    <w:rPr>
      <w:kern w:val="2"/>
      <w:sz w:val="18"/>
      <w:szCs w:val="18"/>
    </w:rPr>
  </w:style>
  <w:style w:type="paragraph" w:customStyle="1" w:styleId="44">
    <w:name w:val="ewb-con-p2"/>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45">
    <w:name w:val="正文2"/>
    <w:basedOn w:val="46"/>
    <w:link w:val="48"/>
    <w:qFormat/>
    <w:uiPriority w:val="99"/>
    <w:pPr>
      <w:spacing w:line="360" w:lineRule="auto"/>
      <w:ind w:firstLine="420" w:firstLineChars="200"/>
    </w:pPr>
    <w:rPr>
      <w:rFonts w:ascii="宋体" w:hAnsi="宋体" w:eastAsia="宋体" w:cs="宋体"/>
      <w:color w:val="000000"/>
      <w:szCs w:val="21"/>
    </w:rPr>
  </w:style>
  <w:style w:type="paragraph" w:customStyle="1" w:styleId="46">
    <w:name w:val="正文_0_0"/>
    <w:next w:val="47"/>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7">
    <w:name w:val="标题 2_0_0"/>
    <w:basedOn w:val="46"/>
    <w:next w:val="46"/>
    <w:qFormat/>
    <w:uiPriority w:val="0"/>
    <w:pPr>
      <w:keepNext/>
      <w:keepLines/>
      <w:spacing w:before="260" w:after="260" w:line="416" w:lineRule="auto"/>
      <w:outlineLvl w:val="1"/>
    </w:pPr>
    <w:rPr>
      <w:rFonts w:ascii="Cambria" w:hAnsi="Cambria"/>
      <w:b/>
      <w:bCs/>
      <w:sz w:val="32"/>
      <w:szCs w:val="32"/>
    </w:rPr>
  </w:style>
  <w:style w:type="character" w:customStyle="1" w:styleId="48">
    <w:name w:val="正文2 Char Char"/>
    <w:basedOn w:val="27"/>
    <w:link w:val="45"/>
    <w:qFormat/>
    <w:locked/>
    <w:uiPriority w:val="99"/>
    <w:rPr>
      <w:rFonts w:ascii="宋体" w:hAnsi="宋体" w:eastAsia="宋体" w:cs="宋体"/>
      <w:color w:val="000000"/>
      <w:kern w:val="2"/>
      <w:sz w:val="21"/>
      <w:szCs w:val="21"/>
    </w:rPr>
  </w:style>
  <w:style w:type="character" w:customStyle="1" w:styleId="49">
    <w:name w:val="标题 2 Char"/>
    <w:basedOn w:val="27"/>
    <w:link w:val="4"/>
    <w:qFormat/>
    <w:uiPriority w:val="0"/>
    <w:rPr>
      <w:rFonts w:ascii="Arial" w:hAnsi="Arial" w:eastAsia="黑体" w:cs="Arial"/>
      <w:b/>
      <w:bCs/>
      <w:kern w:val="2"/>
      <w:sz w:val="32"/>
      <w:szCs w:val="32"/>
    </w:rPr>
  </w:style>
  <w:style w:type="character" w:customStyle="1" w:styleId="50">
    <w:name w:val="纯文本 Char"/>
    <w:basedOn w:val="27"/>
    <w:link w:val="12"/>
    <w:qFormat/>
    <w:uiPriority w:val="99"/>
    <w:rPr>
      <w:rFonts w:ascii="宋体" w:hAnsi="Courier New"/>
      <w:kern w:val="2"/>
      <w:sz w:val="21"/>
      <w:szCs w:val="22"/>
    </w:rPr>
  </w:style>
  <w:style w:type="paragraph" w:customStyle="1" w:styleId="51">
    <w:name w:val="Table Paragraph"/>
    <w:basedOn w:val="1"/>
    <w:qFormat/>
    <w:uiPriority w:val="1"/>
    <w:pPr>
      <w:autoSpaceDE w:val="0"/>
      <w:autoSpaceDN w:val="0"/>
      <w:jc w:val="left"/>
    </w:pPr>
    <w:rPr>
      <w:rFonts w:ascii="宋体" w:hAnsi="宋体" w:eastAsia="宋体" w:cs="宋体"/>
      <w:kern w:val="0"/>
      <w:sz w:val="22"/>
      <w:lang w:val="zh-CN" w:bidi="zh-CN"/>
    </w:rPr>
  </w:style>
  <w:style w:type="character" w:customStyle="1" w:styleId="52">
    <w:name w:val="标题 1 Char"/>
    <w:basedOn w:val="27"/>
    <w:link w:val="3"/>
    <w:qFormat/>
    <w:uiPriority w:val="9"/>
    <w:rPr>
      <w:rFonts w:ascii="宋体" w:hAnsi="宋体" w:eastAsia="宋体" w:cs="Times New Roman"/>
      <w:b/>
      <w:bCs/>
      <w:kern w:val="36"/>
      <w:sz w:val="14"/>
      <w:szCs w:val="14"/>
    </w:rPr>
  </w:style>
  <w:style w:type="character" w:customStyle="1" w:styleId="53">
    <w:name w:val="标题 3 Char"/>
    <w:basedOn w:val="27"/>
    <w:link w:val="5"/>
    <w:qFormat/>
    <w:uiPriority w:val="0"/>
    <w:rPr>
      <w:rFonts w:ascii="Times New Roman" w:hAnsi="Times New Roman" w:eastAsia="宋体" w:cs="Times New Roman"/>
      <w:b/>
      <w:bCs/>
      <w:kern w:val="2"/>
      <w:sz w:val="32"/>
      <w:szCs w:val="32"/>
    </w:rPr>
  </w:style>
  <w:style w:type="paragraph" w:customStyle="1" w:styleId="54">
    <w:name w:val="contentarticle"/>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55">
    <w:name w:val="p21"/>
    <w:qFormat/>
    <w:uiPriority w:val="0"/>
    <w:rPr>
      <w:sz w:val="9"/>
      <w:szCs w:val="9"/>
    </w:rPr>
  </w:style>
  <w:style w:type="character" w:customStyle="1" w:styleId="56">
    <w:name w:val="HTML 预设格式 Char"/>
    <w:basedOn w:val="27"/>
    <w:link w:val="20"/>
    <w:qFormat/>
    <w:uiPriority w:val="99"/>
    <w:rPr>
      <w:rFonts w:ascii="Arial" w:hAnsi="Arial" w:eastAsia="宋体" w:cs="Times New Roman"/>
      <w:sz w:val="11"/>
      <w:szCs w:val="11"/>
    </w:rPr>
  </w:style>
  <w:style w:type="paragraph" w:customStyle="1" w:styleId="57">
    <w:name w:val="t_black_12_b"/>
    <w:basedOn w:val="1"/>
    <w:qFormat/>
    <w:uiPriority w:val="0"/>
    <w:pPr>
      <w:widowControl/>
      <w:jc w:val="left"/>
    </w:pPr>
    <w:rPr>
      <w:rFonts w:ascii="宋体" w:hAnsi="宋体" w:eastAsia="宋体" w:cs="宋体"/>
      <w:b/>
      <w:bCs/>
      <w:color w:val="212121"/>
      <w:kern w:val="0"/>
      <w:sz w:val="9"/>
      <w:szCs w:val="9"/>
    </w:rPr>
  </w:style>
  <w:style w:type="paragraph" w:customStyle="1" w:styleId="58">
    <w:name w:val="样式 标题 3 + (中文) 黑体 小四 非加粗 段前: 7.8 磅 段后: 0 磅 行距: 固定值 20 磅"/>
    <w:basedOn w:val="5"/>
    <w:qFormat/>
    <w:uiPriority w:val="0"/>
    <w:pPr>
      <w:spacing w:before="0" w:after="0" w:line="400" w:lineRule="exact"/>
    </w:pPr>
    <w:rPr>
      <w:rFonts w:eastAsia="黑体" w:cs="宋体"/>
      <w:b w:val="0"/>
      <w:bCs w:val="0"/>
      <w:sz w:val="24"/>
      <w:szCs w:val="20"/>
    </w:rPr>
  </w:style>
  <w:style w:type="character" w:customStyle="1" w:styleId="59">
    <w:name w:val="日期 Char"/>
    <w:basedOn w:val="27"/>
    <w:link w:val="13"/>
    <w:qFormat/>
    <w:uiPriority w:val="0"/>
    <w:rPr>
      <w:rFonts w:ascii="Times New Roman" w:hAnsi="Times New Roman" w:eastAsia="宋体" w:cs="Times New Roman"/>
      <w:kern w:val="2"/>
      <w:sz w:val="21"/>
      <w:szCs w:val="24"/>
    </w:rPr>
  </w:style>
  <w:style w:type="character" w:customStyle="1" w:styleId="60">
    <w:name w:val="标题 Char"/>
    <w:basedOn w:val="27"/>
    <w:link w:val="22"/>
    <w:qFormat/>
    <w:uiPriority w:val="0"/>
    <w:rPr>
      <w:rFonts w:ascii="Cambria" w:hAnsi="Cambria" w:eastAsia="黑体" w:cs="Times New Roman"/>
      <w:b/>
      <w:bCs/>
      <w:kern w:val="2"/>
      <w:sz w:val="52"/>
      <w:szCs w:val="32"/>
    </w:rPr>
  </w:style>
  <w:style w:type="paragraph" w:customStyle="1" w:styleId="61">
    <w:name w:val="标题3"/>
    <w:basedOn w:val="1"/>
    <w:link w:val="63"/>
    <w:qFormat/>
    <w:uiPriority w:val="0"/>
    <w:pPr>
      <w:pageBreakBefore/>
      <w:jc w:val="center"/>
      <w:outlineLvl w:val="2"/>
    </w:pPr>
    <w:rPr>
      <w:rFonts w:ascii="黑体" w:hAnsi="黑体" w:eastAsia="黑体" w:cs="Times New Roman"/>
      <w:b/>
      <w:sz w:val="32"/>
      <w:szCs w:val="32"/>
    </w:rPr>
  </w:style>
  <w:style w:type="paragraph" w:customStyle="1" w:styleId="62">
    <w:name w:val="TOC 标题1"/>
    <w:basedOn w:val="3"/>
    <w:next w:val="1"/>
    <w:qFormat/>
    <w:uiPriority w:val="39"/>
    <w:pPr>
      <w:keepNext/>
      <w:keepLines/>
      <w:spacing w:before="480" w:after="0" w:line="276" w:lineRule="auto"/>
      <w:ind w:right="0"/>
      <w:outlineLvl w:val="9"/>
    </w:pPr>
    <w:rPr>
      <w:rFonts w:ascii="Cambria" w:hAnsi="Cambria"/>
      <w:color w:val="365F91"/>
      <w:kern w:val="0"/>
      <w:sz w:val="28"/>
      <w:szCs w:val="28"/>
    </w:rPr>
  </w:style>
  <w:style w:type="character" w:customStyle="1" w:styleId="63">
    <w:name w:val="标题3 Char"/>
    <w:link w:val="61"/>
    <w:qFormat/>
    <w:uiPriority w:val="0"/>
    <w:rPr>
      <w:rFonts w:ascii="黑体" w:hAnsi="黑体" w:eastAsia="黑体" w:cs="Times New Roman"/>
      <w:b/>
      <w:kern w:val="2"/>
      <w:sz w:val="32"/>
      <w:szCs w:val="32"/>
    </w:rPr>
  </w:style>
  <w:style w:type="paragraph" w:styleId="64">
    <w:name w:val="No Spacing"/>
    <w:qFormat/>
    <w:uiPriority w:val="1"/>
    <w:pPr>
      <w:widowControl w:val="0"/>
      <w:jc w:val="center"/>
    </w:pPr>
    <w:rPr>
      <w:rFonts w:ascii="Times New Roman" w:hAnsi="Times New Roman" w:eastAsia="黑体" w:cs="Times New Roman"/>
      <w:kern w:val="2"/>
      <w:sz w:val="30"/>
      <w:szCs w:val="24"/>
      <w:lang w:val="en-US" w:eastAsia="zh-CN" w:bidi="ar-SA"/>
    </w:rPr>
  </w:style>
  <w:style w:type="paragraph" w:customStyle="1" w:styleId="65">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6">
    <w:name w:val="正文1"/>
    <w:qFormat/>
    <w:uiPriority w:val="0"/>
    <w:pPr>
      <w:widowControl w:val="0"/>
      <w:jc w:val="both"/>
    </w:pPr>
    <w:rPr>
      <w:rFonts w:ascii="Times New Roman" w:hAnsi="Times New Roman" w:eastAsia="Times New Roman" w:cs="Times New Roman"/>
      <w:kern w:val="2"/>
      <w:sz w:val="21"/>
      <w:szCs w:val="24"/>
      <w:lang w:val="en-US" w:eastAsia="zh-CN" w:bidi="ar-SA"/>
    </w:rPr>
  </w:style>
  <w:style w:type="paragraph" w:customStyle="1" w:styleId="67">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8">
    <w:name w:val="批注文字 Char"/>
    <w:basedOn w:val="27"/>
    <w:link w:val="6"/>
    <w:qFormat/>
    <w:uiPriority w:val="0"/>
    <w:rPr>
      <w:rFonts w:asciiTheme="minorHAnsi" w:hAnsiTheme="minorHAnsi" w:eastAsiaTheme="minorEastAsia" w:cstheme="minorBidi"/>
      <w:kern w:val="2"/>
      <w:sz w:val="21"/>
      <w:szCs w:val="22"/>
    </w:rPr>
  </w:style>
  <w:style w:type="character" w:customStyle="1" w:styleId="69">
    <w:name w:val="批注主题 Char"/>
    <w:basedOn w:val="68"/>
    <w:link w:val="23"/>
    <w:semiHidden/>
    <w:qFormat/>
    <w:uiPriority w:val="99"/>
    <w:rPr>
      <w:rFonts w:asciiTheme="minorHAnsi" w:hAnsiTheme="minorHAnsi" w:eastAsiaTheme="minorEastAsia" w:cstheme="minorBidi"/>
      <w:b/>
      <w:bCs/>
      <w:kern w:val="2"/>
      <w:sz w:val="21"/>
      <w:szCs w:val="22"/>
    </w:rPr>
  </w:style>
  <w:style w:type="paragraph" w:customStyle="1" w:styleId="70">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71">
    <w:name w:val="修订2"/>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72">
    <w:name w:val="标题 4 Char"/>
    <w:basedOn w:val="27"/>
    <w:link w:val="2"/>
    <w:qFormat/>
    <w:uiPriority w:val="9"/>
    <w:rPr>
      <w:rFonts w:asciiTheme="majorHAnsi" w:hAnsiTheme="majorHAnsi" w:eastAsiaTheme="majorEastAsia" w:cstheme="majorBidi"/>
      <w:b/>
      <w:bCs/>
      <w:kern w:val="2"/>
      <w:sz w:val="28"/>
      <w:szCs w:val="28"/>
    </w:rPr>
  </w:style>
  <w:style w:type="paragraph" w:customStyle="1" w:styleId="73">
    <w:name w:val="正文缩进2格"/>
    <w:basedOn w:val="1"/>
    <w:qFormat/>
    <w:uiPriority w:val="0"/>
    <w:pPr>
      <w:spacing w:line="600" w:lineRule="exact"/>
      <w:ind w:firstLine="639" w:firstLineChars="206"/>
    </w:pPr>
    <w:rPr>
      <w:rFonts w:ascii="仿宋_GB2312" w:hAnsi="宋体" w:eastAsia="仿宋_GB2312" w:cs="Times New Roman"/>
      <w:sz w:val="31"/>
      <w:szCs w:val="28"/>
    </w:rPr>
  </w:style>
  <w:style w:type="paragraph" w:customStyle="1" w:styleId="74">
    <w:name w:val="正文首行缩进1"/>
    <w:basedOn w:val="7"/>
    <w:semiHidden/>
    <w:qFormat/>
    <w:uiPriority w:val="0"/>
    <w:pPr>
      <w:spacing w:after="0"/>
      <w:ind w:firstLine="420" w:firstLineChars="100"/>
    </w:pPr>
    <w:rPr>
      <w:rFonts w:ascii="楷体_GB2312" w:hAnsi="Arial" w:eastAsia="楷体_GB2312" w:cs="宋体"/>
      <w:kern w:val="2"/>
      <w:sz w:val="28"/>
      <w:szCs w:val="28"/>
    </w:rPr>
  </w:style>
  <w:style w:type="paragraph" w:customStyle="1" w:styleId="75">
    <w:name w:val="标题 2_0"/>
    <w:basedOn w:val="65"/>
    <w:next w:val="65"/>
    <w:link w:val="76"/>
    <w:qFormat/>
    <w:uiPriority w:val="0"/>
    <w:pPr>
      <w:keepNext/>
      <w:keepLines/>
      <w:spacing w:before="260" w:after="260" w:line="416" w:lineRule="auto"/>
      <w:outlineLvl w:val="1"/>
    </w:pPr>
    <w:rPr>
      <w:rFonts w:ascii="Cambria" w:hAnsi="Cambria"/>
      <w:b/>
      <w:bCs/>
      <w:sz w:val="32"/>
      <w:szCs w:val="32"/>
    </w:rPr>
  </w:style>
  <w:style w:type="character" w:customStyle="1" w:styleId="76">
    <w:name w:val="标题 2 Char_0"/>
    <w:basedOn w:val="27"/>
    <w:link w:val="75"/>
    <w:qFormat/>
    <w:uiPriority w:val="0"/>
    <w:rPr>
      <w:rFonts w:ascii="Cambria" w:hAnsi="Cambria"/>
      <w:b/>
      <w:bCs/>
      <w:kern w:val="2"/>
      <w:sz w:val="32"/>
      <w:szCs w:val="32"/>
    </w:rPr>
  </w:style>
  <w:style w:type="paragraph" w:customStyle="1" w:styleId="77">
    <w:name w:val="标题 3_0"/>
    <w:basedOn w:val="65"/>
    <w:next w:val="65"/>
    <w:link w:val="78"/>
    <w:qFormat/>
    <w:uiPriority w:val="0"/>
    <w:pPr>
      <w:keepNext/>
      <w:keepLines/>
      <w:spacing w:before="260" w:after="260" w:line="413" w:lineRule="auto"/>
      <w:outlineLvl w:val="2"/>
    </w:pPr>
    <w:rPr>
      <w:b/>
      <w:sz w:val="32"/>
      <w:szCs w:val="20"/>
    </w:rPr>
  </w:style>
  <w:style w:type="character" w:customStyle="1" w:styleId="78">
    <w:name w:val="标题 3 Char_0"/>
    <w:basedOn w:val="27"/>
    <w:link w:val="77"/>
    <w:qFormat/>
    <w:uiPriority w:val="0"/>
    <w:rPr>
      <w:b/>
      <w:kern w:val="2"/>
      <w:sz w:val="32"/>
    </w:rPr>
  </w:style>
  <w:style w:type="paragraph" w:customStyle="1" w:styleId="79">
    <w:name w:val="方案正文"/>
    <w:basedOn w:val="1"/>
    <w:qFormat/>
    <w:uiPriority w:val="0"/>
    <w:pPr>
      <w:spacing w:before="156" w:line="360" w:lineRule="auto"/>
      <w:ind w:left="359" w:firstLine="3687"/>
    </w:pPr>
    <w:rPr>
      <w:rFonts w:ascii="Times New Roman" w:hAnsi="Times New Roman" w:eastAsia="宋体" w:cs="Times New Roman"/>
      <w:szCs w:val="20"/>
    </w:rPr>
  </w:style>
  <w:style w:type="character" w:customStyle="1" w:styleId="80">
    <w:name w:val="00-合正 Char"/>
    <w:link w:val="81"/>
    <w:qFormat/>
    <w:uiPriority w:val="0"/>
    <w:rPr>
      <w:rFonts w:ascii="楷体" w:hAnsi="楷体" w:eastAsia="楷体"/>
      <w:color w:val="000000"/>
      <w:sz w:val="28"/>
      <w:szCs w:val="24"/>
    </w:rPr>
  </w:style>
  <w:style w:type="paragraph" w:customStyle="1" w:styleId="81">
    <w:name w:val="00-合正"/>
    <w:basedOn w:val="1"/>
    <w:link w:val="80"/>
    <w:qFormat/>
    <w:uiPriority w:val="0"/>
    <w:pPr>
      <w:spacing w:line="560" w:lineRule="exact"/>
      <w:ind w:firstLine="200" w:firstLineChars="200"/>
      <w:jc w:val="left"/>
    </w:pPr>
    <w:rPr>
      <w:rFonts w:ascii="楷体" w:hAnsi="楷体" w:eastAsia="楷体" w:cs="Times New Roman"/>
      <w:color w:val="000000"/>
      <w:kern w:val="0"/>
      <w:sz w:val="28"/>
      <w:szCs w:val="24"/>
    </w:rPr>
  </w:style>
  <w:style w:type="character" w:customStyle="1" w:styleId="82">
    <w:name w:val="正文文本缩进 2 Char"/>
    <w:basedOn w:val="27"/>
    <w:link w:val="14"/>
    <w:qFormat/>
    <w:uiPriority w:val="0"/>
    <w:rPr>
      <w:kern w:val="2"/>
      <w:sz w:val="21"/>
    </w:rPr>
  </w:style>
  <w:style w:type="table" w:customStyle="1" w:styleId="83">
    <w:name w:val="Table Normal"/>
    <w:autoRedefine/>
    <w:unhideWhenUsed/>
    <w:qFormat/>
    <w:uiPriority w:val="2"/>
    <w:tblPr>
      <w:tblCellMar>
        <w:top w:w="0" w:type="dxa"/>
        <w:left w:w="0" w:type="dxa"/>
        <w:bottom w:w="0" w:type="dxa"/>
        <w:right w:w="0" w:type="dxa"/>
      </w:tblCellMar>
    </w:tblPr>
  </w:style>
  <w:style w:type="paragraph" w:customStyle="1" w:styleId="84">
    <w:name w:val="WPSOffice手动目录 1"/>
    <w:qFormat/>
    <w:uiPriority w:val="0"/>
    <w:pPr>
      <w:ind w:leftChars="0"/>
    </w:pPr>
    <w:rPr>
      <w:rFonts w:ascii="Times New Roman" w:hAnsi="Times New Roman" w:eastAsia="宋体" w:cs="Times New Roman"/>
      <w:sz w:val="20"/>
      <w:szCs w:val="20"/>
    </w:rPr>
  </w:style>
  <w:style w:type="paragraph" w:customStyle="1" w:styleId="85">
    <w:name w:val="列表段落1"/>
    <w:basedOn w:val="1"/>
    <w:qFormat/>
    <w:uiPriority w:val="34"/>
    <w:pPr>
      <w:ind w:firstLine="420" w:firstLineChars="200"/>
    </w:pPr>
    <w:rPr>
      <w:szCs w:val="24"/>
    </w:rPr>
  </w:style>
  <w:style w:type="paragraph" w:customStyle="1" w:styleId="86">
    <w:name w:val="首行缩进"/>
    <w:basedOn w:val="1"/>
    <w:qFormat/>
    <w:uiPriority w:val="0"/>
    <w:pPr>
      <w:ind w:firstLine="480" w:firstLineChars="200"/>
    </w:pPr>
    <w:rPr>
      <w:kern w:val="0"/>
      <w:sz w:val="20"/>
      <w:lang w:val="zh-CN"/>
    </w:rPr>
  </w:style>
  <w:style w:type="paragraph" w:customStyle="1" w:styleId="87">
    <w:name w:val="正文 A"/>
    <w:qFormat/>
    <w:uiPriority w:val="99"/>
    <w:pPr>
      <w:widowControl w:val="0"/>
      <w:jc w:val="both"/>
    </w:pPr>
    <w:rPr>
      <w:rFonts w:hint="eastAsia" w:ascii="Arial Unicode MS" w:hAnsi="Arial Unicode MS" w:eastAsia="Arial Unicode MS" w:cs="Arial Unicode MS"/>
      <w:color w:val="000000"/>
      <w:kern w:val="2"/>
      <w:sz w:val="21"/>
      <w:szCs w:val="21"/>
      <w:lang w:val="en-US" w:eastAsia="zh-CN" w:bidi="ar-SA"/>
    </w:rPr>
  </w:style>
  <w:style w:type="paragraph" w:customStyle="1" w:styleId="88">
    <w:name w:val="小四 段落 宋体 Char Char Char Char"/>
    <w:basedOn w:val="1"/>
    <w:qFormat/>
    <w:uiPriority w:val="0"/>
    <w:pPr>
      <w:spacing w:line="360" w:lineRule="auto"/>
      <w:ind w:right="-33" w:firstLine="480" w:firstLineChars="200"/>
      <w:jc w:val="left"/>
    </w:pPr>
    <w:rPr>
      <w:sz w:val="24"/>
      <w:szCs w:val="24"/>
    </w:rPr>
  </w:style>
  <w:style w:type="paragraph" w:customStyle="1" w:styleId="89">
    <w:name w:val="BodyText"/>
    <w:basedOn w:val="1"/>
    <w:qFormat/>
    <w:uiPriority w:val="99"/>
    <w:pPr>
      <w:spacing w:after="120"/>
      <w:textAlignment w:val="baseline"/>
    </w:pPr>
    <w:rPr>
      <w:kern w:val="0"/>
      <w:sz w:val="20"/>
    </w:rPr>
  </w:style>
  <w:style w:type="character" w:customStyle="1" w:styleId="90">
    <w:name w:val="xmbh"/>
    <w:basedOn w:val="27"/>
    <w:qFormat/>
    <w:uiPriority w:val="0"/>
    <w:rPr>
      <w:color w:val="A98123"/>
    </w:rPr>
  </w:style>
  <w:style w:type="paragraph" w:customStyle="1" w:styleId="91">
    <w:name w:val="正文3"/>
    <w:qFormat/>
    <w:uiPriority w:val="99"/>
    <w:pPr>
      <w:widowControl w:val="0"/>
      <w:jc w:val="both"/>
    </w:pPr>
    <w:rPr>
      <w:rFonts w:ascii="Times New Roman" w:hAnsi="Times New Roman" w:eastAsia="宋体" w:cs="Times New Roman"/>
      <w:kern w:val="2"/>
      <w:sz w:val="21"/>
      <w:szCs w:val="20"/>
      <w:lang w:val="en-US" w:eastAsia="zh-CN" w:bidi="ar-SA"/>
    </w:rPr>
  </w:style>
  <w:style w:type="paragraph" w:customStyle="1" w:styleId="92">
    <w:name w:val="正文文本缩进_0"/>
    <w:basedOn w:val="65"/>
    <w:qFormat/>
    <w:uiPriority w:val="99"/>
    <w:pPr>
      <w:widowControl/>
      <w:ind w:firstLine="576"/>
      <w:jc w:val="left"/>
    </w:pPr>
    <w:rPr>
      <w:rFonts w:ascii="宋体"/>
      <w:kern w:val="0"/>
    </w:rPr>
  </w:style>
  <w:style w:type="paragraph" w:customStyle="1" w:styleId="93">
    <w:name w:val="正文4"/>
    <w:qFormat/>
    <w:uiPriority w:val="0"/>
    <w:pPr>
      <w:widowControl w:val="0"/>
      <w:jc w:val="both"/>
    </w:pPr>
    <w:rPr>
      <w:rFonts w:ascii="Times New Roman" w:hAnsi="Times New Roman" w:eastAsia="宋体" w:cs="Times New Roman"/>
      <w:kern w:val="2"/>
      <w:sz w:val="21"/>
      <w:szCs w:val="20"/>
      <w:lang w:val="en-US" w:eastAsia="zh-CN" w:bidi="ar-SA"/>
    </w:rPr>
  </w:style>
  <w:style w:type="paragraph" w:customStyle="1" w:styleId="94">
    <w:name w:val="正文文本1"/>
    <w:basedOn w:val="45"/>
    <w:qFormat/>
    <w:uiPriority w:val="0"/>
    <w:pPr>
      <w:adjustRightInd w:val="0"/>
      <w:spacing w:after="60" w:line="360" w:lineRule="atLeast"/>
      <w:ind w:left="72" w:leftChars="30" w:right="30" w:rightChars="30"/>
      <w:jc w:val="center"/>
      <w:textAlignment w:val="baseline"/>
    </w:pPr>
    <w:rPr>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83</Pages>
  <Words>32292</Words>
  <Characters>34301</Characters>
  <Lines>354</Lines>
  <Paragraphs>99</Paragraphs>
  <TotalTime>13</TotalTime>
  <ScaleCrop>false</ScaleCrop>
  <LinksUpToDate>false</LinksUpToDate>
  <CharactersWithSpaces>34863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2020-12-07T01:21:00Z</dcterms:created>
  <dc:creator>Administrator</dc:creator>
  <cp:lastModifiedBy>代理</cp:lastModifiedBy>
  <cp:lastPrinted>2022-07-07T07:28:00Z</cp:lastPrinted>
  <dcterms:modified xsi:type="dcterms:W3CDTF">2026-01-26T00:52:23Z</dcterms:modified>
  <cp:revision>103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E705D8B815BA45C4AE0D7FA23ED9A6A8_13</vt:lpwstr>
  </property>
  <property fmtid="{D5CDD505-2E9C-101B-9397-08002B2CF9AE}" pid="4" name="KSOTemplateDocerSaveRecord">
    <vt:lpwstr>eyJoZGlkIjoiMzYwM2E0OTM1MTNmYjdhZDYzZTk0ZmY4ODg5YjlmZWEiLCJ1c2VySWQiOiI0MzkyODMxNDkifQ==</vt:lpwstr>
  </property>
</Properties>
</file>